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C0392B"/>
          <w:sz w:val="18"/>
        </w:rPr>
        <w:t>DOCUMENTO INTERNO · NO SE ENTREGA</w:t>
      </w:r>
    </w:p>
    <w:p>
      <w:pPr>
        <w:spacing w:after="40"/>
      </w:pPr>
      <w:r>
        <w:rPr>
          <w:b/>
          <w:i w:val="0"/>
          <w:color w:val="1F2A36"/>
          <w:sz w:val="40"/>
        </w:rPr>
        <w:t>Dudas y decisiones tomadas por intuición</w:t>
      </w:r>
    </w:p>
    <w:p>
      <w:pPr>
        <w:spacing w:after="240"/>
      </w:pPr>
      <w:r>
        <w:rPr>
          <w:b w:val="0"/>
          <w:i w:val="0"/>
          <w:color w:val="6B7280"/>
          <w:sz w:val="21"/>
        </w:rPr>
        <w:t>Trabajo de Ingeniería Simultánea: taburete-escalera plegable · Iván Roig Pérez</w:t>
      </w:r>
    </w:p>
    <w:p>
      <w:pPr>
        <w:spacing w:after="80"/>
      </w:pPr>
      <w:r>
        <w:rPr>
          <w:b w:val="0"/>
          <w:i w:val="0"/>
        </w:rPr>
        <w:t>Durante el trabajo he tenido que tomar muchas decisiones sin un enunciado ni un criterio del profesor que las respaldara. Aquí están todas las que no puedo justificar del todo: qué decidí, por qué, qué duda me queda y cómo comprobarla. Están ordenadas por lo que podrían afectar a la nota. Úsalo para preparar la defensa y, si puedes, para preguntar al profesor antes de entregar.</w:t>
      </w:r>
    </w:p>
    <w:p>
      <w:pPr>
        <w:spacing w:after="200"/>
      </w:pPr>
      <w:r>
        <w:rPr>
          <w:b w:val="0"/>
          <w:i/>
          <w:color w:val="6B7280"/>
          <w:sz w:val="19"/>
        </w:rPr>
        <w:t>Impacto: Alto = podría cambiar una conclusión o costar bastante nota. Medio = discutible, pero defendible si lo explicas. Bajo = detalle.</w:t>
      </w:r>
    </w:p>
    <w:p>
      <w:pPr>
        <w:spacing w:after="80"/>
      </w:pPr>
      <w:r>
        <w:rPr>
          <w:b/>
          <w:i w:val="0"/>
          <w:color w:val="1F2A36"/>
          <w:sz w:val="26"/>
        </w:rPr>
        <w:t>Resumen</w:t>
      </w:r>
    </w:p>
    <w:tbl>
      <w:tblPr>
        <w:tblStyle w:val="TableGrid"/>
        <w:tblW w:type="auto" w:w="0"/>
        <w:jc w:val="center"/>
        <w:tblLayout w:type="fixed"/>
        <w:tblLook w:firstColumn="1" w:firstRow="1" w:lastColumn="0" w:lastRow="0" w:noHBand="0" w:noVBand="1" w:val="04A0"/>
      </w:tblPr>
      <w:tblGrid>
        <w:gridCol w:w="567"/>
        <w:gridCol w:w="7371"/>
        <w:gridCol w:w="1134"/>
      </w:tblGrid>
      <w:tr>
        <w:tc>
          <w:tcPr>
            <w:tcW w:type="dxa" w:w="567"/>
            <w:shd w:val="clear" w:color="auto" w:fill="1F2A36"/>
          </w:tcPr>
          <w:p>
            <w:r/>
            <w:r>
              <w:rPr>
                <w:b/>
                <w:color w:val="FFFFFF"/>
                <w:sz w:val="19"/>
              </w:rPr>
              <w:t>Nº</w:t>
            </w:r>
          </w:p>
        </w:tc>
        <w:tc>
          <w:tcPr>
            <w:tcW w:type="dxa" w:w="7370"/>
            <w:shd w:val="clear" w:color="auto" w:fill="1F2A36"/>
          </w:tcPr>
          <w:p>
            <w:r/>
            <w:r>
              <w:rPr>
                <w:b/>
                <w:color w:val="FFFFFF"/>
                <w:sz w:val="19"/>
              </w:rPr>
              <w:t>Duda</w:t>
            </w:r>
          </w:p>
        </w:tc>
        <w:tc>
          <w:tcPr>
            <w:tcW w:type="dxa" w:w="1134"/>
            <w:shd w:val="clear" w:color="auto" w:fill="1F2A36"/>
          </w:tcPr>
          <w:p>
            <w:r/>
            <w:r>
              <w:rPr>
                <w:b/>
                <w:color w:val="FFFFFF"/>
                <w:sz w:val="19"/>
              </w:rPr>
              <w:t>Impacto</w:t>
            </w:r>
          </w:p>
        </w:tc>
      </w:tr>
      <w:tr>
        <w:tc>
          <w:tcPr>
            <w:tcW w:type="dxa" w:w="567"/>
          </w:tcPr>
          <w:p>
            <w:r/>
            <w:r>
              <w:rPr>
                <w:sz w:val="19"/>
              </w:rPr>
              <w:t>1</w:t>
            </w:r>
          </w:p>
        </w:tc>
        <w:tc>
          <w:tcPr>
            <w:tcW w:type="dxa" w:w="7370"/>
          </w:tcPr>
          <w:p>
            <w:r/>
            <w:r>
              <w:rPr>
                <w:sz w:val="19"/>
              </w:rPr>
              <w:t>Decisión final: aluminio reciclado (antes era la madera) (4.5)</w:t>
            </w:r>
          </w:p>
        </w:tc>
        <w:tc>
          <w:tcPr>
            <w:tcW w:type="dxa" w:w="1134"/>
            <w:shd w:val="clear" w:color="auto" w:fill="D68910"/>
          </w:tcPr>
          <w:p>
            <w:r>
              <w:rPr>
                <w:b/>
                <w:color w:val="FFFFFF"/>
              </w:rPr>
            </w:r>
            <w:r>
              <w:rPr>
                <w:sz w:val="19"/>
              </w:rPr>
              <w:t>Medio</w:t>
            </w:r>
          </w:p>
        </w:tc>
      </w:tr>
      <w:tr>
        <w:tc>
          <w:tcPr>
            <w:tcW w:type="dxa" w:w="567"/>
          </w:tcPr>
          <w:p>
            <w:r/>
            <w:r>
              <w:rPr>
                <w:sz w:val="19"/>
              </w:rPr>
              <w:t>2</w:t>
            </w:r>
          </w:p>
        </w:tc>
        <w:tc>
          <w:tcPr>
            <w:tcW w:type="dxa" w:w="7370"/>
          </w:tcPr>
          <w:p>
            <w:r/>
            <w:r>
              <w:rPr>
                <w:sz w:val="19"/>
              </w:rPr>
              <w:t>Comprobaciones por cálculo manual (3.5)</w:t>
            </w:r>
          </w:p>
        </w:tc>
        <w:tc>
          <w:tcPr>
            <w:tcW w:type="dxa" w:w="1134"/>
            <w:shd w:val="clear" w:color="auto" w:fill="D68910"/>
          </w:tcPr>
          <w:p>
            <w:r>
              <w:rPr>
                <w:b/>
                <w:color w:val="FFFFFF"/>
              </w:rPr>
            </w:r>
            <w:r>
              <w:rPr>
                <w:sz w:val="19"/>
              </w:rPr>
              <w:t>Medio</w:t>
            </w:r>
          </w:p>
        </w:tc>
      </w:tr>
      <w:tr>
        <w:tc>
          <w:tcPr>
            <w:tcW w:type="dxa" w:w="567"/>
          </w:tcPr>
          <w:p>
            <w:r/>
            <w:r>
              <w:rPr>
                <w:sz w:val="19"/>
              </w:rPr>
              <w:t>3</w:t>
            </w:r>
          </w:p>
        </w:tc>
        <w:tc>
          <w:tcPr>
            <w:tcW w:type="dxa" w:w="7370"/>
          </w:tcPr>
          <w:p>
            <w:r/>
            <w:r>
              <w:rPr>
                <w:sz w:val="19"/>
              </w:rPr>
              <w:t>El pestillo está dimensionado pero no modelado (3.5 y 5.2)</w:t>
            </w:r>
          </w:p>
        </w:tc>
        <w:tc>
          <w:tcPr>
            <w:tcW w:type="dxa" w:w="1134"/>
            <w:shd w:val="clear" w:color="auto" w:fill="D68910"/>
          </w:tcPr>
          <w:p>
            <w:r>
              <w:rPr>
                <w:b/>
                <w:color w:val="FFFFFF"/>
              </w:rPr>
            </w:r>
            <w:r>
              <w:rPr>
                <w:sz w:val="19"/>
              </w:rPr>
              <w:t>Medio</w:t>
            </w:r>
          </w:p>
        </w:tc>
      </w:tr>
      <w:tr>
        <w:tc>
          <w:tcPr>
            <w:tcW w:type="dxa" w:w="567"/>
          </w:tcPr>
          <w:p>
            <w:r/>
            <w:r>
              <w:rPr>
                <w:sz w:val="19"/>
              </w:rPr>
              <w:t>4</w:t>
            </w:r>
          </w:p>
        </w:tc>
        <w:tc>
          <w:tcPr>
            <w:tcW w:type="dxa" w:w="7370"/>
          </w:tcPr>
          <w:p>
            <w:r/>
            <w:r>
              <w:rPr>
                <w:sz w:val="19"/>
              </w:rPr>
              <w:t>He añadido un capítulo 5 (QFD, AMFEC y análisis del valor) que no está en el índice del profesor (Estructura)</w:t>
            </w:r>
          </w:p>
        </w:tc>
        <w:tc>
          <w:tcPr>
            <w:tcW w:type="dxa" w:w="1134"/>
            <w:shd w:val="clear" w:color="auto" w:fill="D68910"/>
          </w:tcPr>
          <w:p>
            <w:r>
              <w:rPr>
                <w:b/>
                <w:color w:val="FFFFFF"/>
              </w:rPr>
            </w:r>
            <w:r>
              <w:rPr>
                <w:sz w:val="19"/>
              </w:rPr>
              <w:t>Medio</w:t>
            </w:r>
          </w:p>
        </w:tc>
      </w:tr>
      <w:tr>
        <w:tc>
          <w:tcPr>
            <w:tcW w:type="dxa" w:w="567"/>
          </w:tcPr>
          <w:p>
            <w:r/>
            <w:r>
              <w:rPr>
                <w:sz w:val="19"/>
              </w:rPr>
              <w:t>5</w:t>
            </w:r>
          </w:p>
        </w:tc>
        <w:tc>
          <w:tcPr>
            <w:tcW w:type="dxa" w:w="7370"/>
          </w:tcPr>
          <w:p>
            <w:r/>
            <w:r>
              <w:rPr>
                <w:sz w:val="19"/>
              </w:rPr>
              <w:t>Hipótesis del ACV (4.1)</w:t>
            </w:r>
          </w:p>
        </w:tc>
        <w:tc>
          <w:tcPr>
            <w:tcW w:type="dxa" w:w="1134"/>
            <w:shd w:val="clear" w:color="auto" w:fill="D68910"/>
          </w:tcPr>
          <w:p>
            <w:r>
              <w:rPr>
                <w:b/>
                <w:color w:val="FFFFFF"/>
              </w:rPr>
            </w:r>
            <w:r>
              <w:rPr>
                <w:sz w:val="19"/>
              </w:rPr>
              <w:t>Medio</w:t>
            </w:r>
          </w:p>
        </w:tc>
      </w:tr>
      <w:tr>
        <w:tc>
          <w:tcPr>
            <w:tcW w:type="dxa" w:w="567"/>
          </w:tcPr>
          <w:p>
            <w:r/>
            <w:r>
              <w:rPr>
                <w:sz w:val="19"/>
              </w:rPr>
              <w:t>6</w:t>
            </w:r>
          </w:p>
        </w:tc>
        <w:tc>
          <w:tcPr>
            <w:tcW w:type="dxa" w:w="7370"/>
          </w:tcPr>
          <w:p>
            <w:r/>
            <w:r>
              <w:rPr>
                <w:sz w:val="19"/>
              </w:rPr>
              <w:t>No he tenido acceso al texto de la UNE-EN 14183 (2.4 y normativa)</w:t>
            </w:r>
          </w:p>
        </w:tc>
        <w:tc>
          <w:tcPr>
            <w:tcW w:type="dxa" w:w="1134"/>
            <w:shd w:val="clear" w:color="auto" w:fill="D68910"/>
          </w:tcPr>
          <w:p>
            <w:r>
              <w:rPr>
                <w:b/>
                <w:color w:val="FFFFFF"/>
              </w:rPr>
            </w:r>
            <w:r>
              <w:rPr>
                <w:sz w:val="19"/>
              </w:rPr>
              <w:t>Medio</w:t>
            </w:r>
          </w:p>
        </w:tc>
      </w:tr>
      <w:tr>
        <w:tc>
          <w:tcPr>
            <w:tcW w:type="dxa" w:w="567"/>
          </w:tcPr>
          <w:p>
            <w:r/>
            <w:r>
              <w:rPr>
                <w:sz w:val="19"/>
              </w:rPr>
              <w:t>7</w:t>
            </w:r>
          </w:p>
        </w:tc>
        <w:tc>
          <w:tcPr>
            <w:tcW w:type="dxa" w:w="7370"/>
          </w:tcPr>
          <w:p>
            <w:r/>
            <w:r>
              <w:rPr>
                <w:sz w:val="19"/>
              </w:rPr>
              <w:t>Estudio de patentes no exhaustivo (2.5)</w:t>
            </w:r>
          </w:p>
        </w:tc>
        <w:tc>
          <w:tcPr>
            <w:tcW w:type="dxa" w:w="1134"/>
            <w:shd w:val="clear" w:color="auto" w:fill="D68910"/>
          </w:tcPr>
          <w:p>
            <w:r>
              <w:rPr>
                <w:b/>
                <w:color w:val="FFFFFF"/>
              </w:rPr>
            </w:r>
            <w:r>
              <w:rPr>
                <w:sz w:val="19"/>
              </w:rPr>
              <w:t>Medio</w:t>
            </w:r>
          </w:p>
        </w:tc>
      </w:tr>
      <w:tr>
        <w:tc>
          <w:tcPr>
            <w:tcW w:type="dxa" w:w="567"/>
          </w:tcPr>
          <w:p>
            <w:r/>
            <w:r>
              <w:rPr>
                <w:sz w:val="19"/>
              </w:rPr>
              <w:t>8</w:t>
            </w:r>
          </w:p>
        </w:tc>
        <w:tc>
          <w:tcPr>
            <w:tcW w:type="dxa" w:w="7370"/>
          </w:tcPr>
          <w:p>
            <w:r/>
            <w:r>
              <w:rPr>
                <w:sz w:val="19"/>
              </w:rPr>
              <w:t>Altura de 0,48 m a partir de un alcance de 1,24 veces la estatura (1.3)</w:t>
            </w:r>
          </w:p>
        </w:tc>
        <w:tc>
          <w:tcPr>
            <w:tcW w:type="dxa" w:w="1134"/>
            <w:shd w:val="clear" w:color="auto" w:fill="D68910"/>
          </w:tcPr>
          <w:p>
            <w:r>
              <w:rPr>
                <w:b/>
                <w:color w:val="FFFFFF"/>
              </w:rPr>
            </w:r>
            <w:r>
              <w:rPr>
                <w:sz w:val="19"/>
              </w:rPr>
              <w:t>Medio</w:t>
            </w:r>
          </w:p>
        </w:tc>
      </w:tr>
      <w:tr>
        <w:tc>
          <w:tcPr>
            <w:tcW w:type="dxa" w:w="567"/>
          </w:tcPr>
          <w:p>
            <w:r/>
            <w:r>
              <w:rPr>
                <w:sz w:val="19"/>
              </w:rPr>
              <w:t>9</w:t>
            </w:r>
          </w:p>
        </w:tc>
        <w:tc>
          <w:tcPr>
            <w:tcW w:type="dxa" w:w="7370"/>
          </w:tcPr>
          <w:p>
            <w:r/>
            <w:r>
              <w:rPr>
                <w:sz w:val="19"/>
              </w:rPr>
              <w:t>Costes y márgenes inventados (2.1)</w:t>
            </w:r>
          </w:p>
        </w:tc>
        <w:tc>
          <w:tcPr>
            <w:tcW w:type="dxa" w:w="1134"/>
            <w:shd w:val="clear" w:color="auto" w:fill="D68910"/>
          </w:tcPr>
          <w:p>
            <w:r>
              <w:rPr>
                <w:b/>
                <w:color w:val="FFFFFF"/>
              </w:rPr>
            </w:r>
            <w:r>
              <w:rPr>
                <w:sz w:val="19"/>
              </w:rPr>
              <w:t>Medio</w:t>
            </w:r>
          </w:p>
        </w:tc>
      </w:tr>
      <w:tr>
        <w:tc>
          <w:tcPr>
            <w:tcW w:type="dxa" w:w="567"/>
          </w:tcPr>
          <w:p>
            <w:r/>
            <w:r>
              <w:rPr>
                <w:sz w:val="19"/>
              </w:rPr>
              <w:t>10</w:t>
            </w:r>
          </w:p>
        </w:tc>
        <w:tc>
          <w:tcPr>
            <w:tcW w:type="dxa" w:w="7370"/>
          </w:tcPr>
          <w:p>
            <w:r/>
            <w:r>
              <w:rPr>
                <w:sz w:val="19"/>
              </w:rPr>
              <w:t>El ACV está en kg de CO₂ equivalente, no en Ecopuntos (ECO-it) (1. Enfoque general)</w:t>
            </w:r>
          </w:p>
        </w:tc>
        <w:tc>
          <w:tcPr>
            <w:tcW w:type="dxa" w:w="1134"/>
            <w:shd w:val="clear" w:color="auto" w:fill="7F8C8D"/>
          </w:tcPr>
          <w:p>
            <w:r>
              <w:rPr>
                <w:b/>
                <w:color w:val="FFFFFF"/>
              </w:rPr>
            </w:r>
            <w:r>
              <w:rPr>
                <w:sz w:val="19"/>
              </w:rPr>
              <w:t>Bajo</w:t>
            </w:r>
          </w:p>
        </w:tc>
      </w:tr>
      <w:tr>
        <w:tc>
          <w:tcPr>
            <w:tcW w:type="dxa" w:w="567"/>
          </w:tcPr>
          <w:p>
            <w:r/>
            <w:r>
              <w:rPr>
                <w:sz w:val="19"/>
              </w:rPr>
              <w:t>11</w:t>
            </w:r>
          </w:p>
        </w:tc>
        <w:tc>
          <w:tcPr>
            <w:tcW w:type="dxa" w:w="7370"/>
          </w:tcPr>
          <w:p>
            <w:r/>
            <w:r>
              <w:rPr>
                <w:sz w:val="19"/>
              </w:rPr>
              <w:t>El AMFEC no calcula la criticidad (G × O) (5.2)</w:t>
            </w:r>
          </w:p>
        </w:tc>
        <w:tc>
          <w:tcPr>
            <w:tcW w:type="dxa" w:w="1134"/>
            <w:shd w:val="clear" w:color="auto" w:fill="7F8C8D"/>
          </w:tcPr>
          <w:p>
            <w:r>
              <w:rPr>
                <w:b/>
                <w:color w:val="FFFFFF"/>
              </w:rPr>
            </w:r>
            <w:r>
              <w:rPr>
                <w:sz w:val="19"/>
              </w:rPr>
              <w:t>Bajo</w:t>
            </w:r>
          </w:p>
        </w:tc>
      </w:tr>
      <w:tr>
        <w:tc>
          <w:tcPr>
            <w:tcW w:type="dxa" w:w="567"/>
          </w:tcPr>
          <w:p>
            <w:r/>
            <w:r>
              <w:rPr>
                <w:sz w:val="19"/>
              </w:rPr>
              <w:t>12</w:t>
            </w:r>
          </w:p>
        </w:tc>
        <w:tc>
          <w:tcPr>
            <w:tcW w:type="dxa" w:w="7370"/>
          </w:tcPr>
          <w:p>
            <w:r/>
            <w:r>
              <w:rPr>
                <w:sz w:val="19"/>
              </w:rPr>
              <w:t>Elección de parámetros TRIZ (3.2)</w:t>
            </w:r>
          </w:p>
        </w:tc>
        <w:tc>
          <w:tcPr>
            <w:tcW w:type="dxa" w:w="1134"/>
            <w:shd w:val="clear" w:color="auto" w:fill="7F8C8D"/>
          </w:tcPr>
          <w:p>
            <w:r>
              <w:rPr>
                <w:b/>
                <w:color w:val="FFFFFF"/>
              </w:rPr>
            </w:r>
            <w:r>
              <w:rPr>
                <w:sz w:val="19"/>
              </w:rPr>
              <w:t>Bajo</w:t>
            </w:r>
          </w:p>
        </w:tc>
      </w:tr>
      <w:tr>
        <w:tc>
          <w:tcPr>
            <w:tcW w:type="dxa" w:w="567"/>
          </w:tcPr>
          <w:p>
            <w:r/>
            <w:r>
              <w:rPr>
                <w:sz w:val="19"/>
              </w:rPr>
              <w:t>13</w:t>
            </w:r>
          </w:p>
        </w:tc>
        <w:tc>
          <w:tcPr>
            <w:tcW w:type="dxa" w:w="7370"/>
          </w:tcPr>
          <w:p>
            <w:r/>
            <w:r>
              <w:rPr>
                <w:sz w:val="19"/>
              </w:rPr>
              <w:t>QFD y AMFEC sin datos de clientes ni de ensayos (5)</w:t>
            </w:r>
          </w:p>
        </w:tc>
        <w:tc>
          <w:tcPr>
            <w:tcW w:type="dxa" w:w="1134"/>
            <w:shd w:val="clear" w:color="auto" w:fill="7F8C8D"/>
          </w:tcPr>
          <w:p>
            <w:r>
              <w:rPr>
                <w:b/>
                <w:color w:val="FFFFFF"/>
              </w:rPr>
            </w:r>
            <w:r>
              <w:rPr>
                <w:sz w:val="19"/>
              </w:rPr>
              <w:t>Bajo</w:t>
            </w:r>
          </w:p>
        </w:tc>
      </w:tr>
      <w:tr>
        <w:tc>
          <w:tcPr>
            <w:tcW w:type="dxa" w:w="567"/>
          </w:tcPr>
          <w:p>
            <w:r/>
            <w:r>
              <w:rPr>
                <w:sz w:val="19"/>
              </w:rPr>
              <w:t>14</w:t>
            </w:r>
          </w:p>
        </w:tc>
        <w:tc>
          <w:tcPr>
            <w:tcW w:type="dxa" w:w="7370"/>
          </w:tcPr>
          <w:p>
            <w:r/>
            <w:r>
              <w:rPr>
                <w:sz w:val="19"/>
              </w:rPr>
              <w:t>Materiales de SolidWorks aproximados (3.4)</w:t>
            </w:r>
          </w:p>
        </w:tc>
        <w:tc>
          <w:tcPr>
            <w:tcW w:type="dxa" w:w="1134"/>
            <w:shd w:val="clear" w:color="auto" w:fill="7F8C8D"/>
          </w:tcPr>
          <w:p>
            <w:r>
              <w:rPr>
                <w:b/>
                <w:color w:val="FFFFFF"/>
              </w:rPr>
            </w:r>
            <w:r>
              <w:rPr>
                <w:sz w:val="19"/>
              </w:rPr>
              <w:t>Bajo</w:t>
            </w:r>
          </w:p>
        </w:tc>
      </w:tr>
      <w:tr>
        <w:tc>
          <w:tcPr>
            <w:tcW w:type="dxa" w:w="567"/>
          </w:tcPr>
          <w:p>
            <w:r/>
            <w:r>
              <w:rPr>
                <w:sz w:val="19"/>
              </w:rPr>
              <w:t>15</w:t>
            </w:r>
          </w:p>
        </w:tc>
        <w:tc>
          <w:tcPr>
            <w:tcW w:type="dxa" w:w="7370"/>
          </w:tcPr>
          <w:p>
            <w:r/>
            <w:r>
              <w:rPr>
                <w:sz w:val="19"/>
              </w:rPr>
              <w:t>Datos de mercado (2.2)</w:t>
            </w:r>
          </w:p>
        </w:tc>
        <w:tc>
          <w:tcPr>
            <w:tcW w:type="dxa" w:w="1134"/>
            <w:shd w:val="clear" w:color="auto" w:fill="7F8C8D"/>
          </w:tcPr>
          <w:p>
            <w:r>
              <w:rPr>
                <w:b/>
                <w:color w:val="FFFFFF"/>
              </w:rPr>
            </w:r>
            <w:r>
              <w:rPr>
                <w:sz w:val="19"/>
              </w:rPr>
              <w:t>Bajo</w:t>
            </w:r>
          </w:p>
        </w:tc>
      </w:tr>
      <w:tr>
        <w:tc>
          <w:tcPr>
            <w:tcW w:type="dxa" w:w="567"/>
          </w:tcPr>
          <w:p>
            <w:r/>
            <w:r>
              <w:rPr>
                <w:sz w:val="19"/>
              </w:rPr>
              <w:t>16</w:t>
            </w:r>
          </w:p>
        </w:tc>
        <w:tc>
          <w:tcPr>
            <w:tcW w:type="dxa" w:w="7370"/>
          </w:tcPr>
          <w:p>
            <w:r/>
            <w:r>
              <w:rPr>
                <w:sz w:val="19"/>
              </w:rPr>
              <w:t>Planos generados por programa, no desde SolidWorks (Anexos)</w:t>
            </w:r>
          </w:p>
        </w:tc>
        <w:tc>
          <w:tcPr>
            <w:tcW w:type="dxa" w:w="1134"/>
            <w:shd w:val="clear" w:color="auto" w:fill="7F8C8D"/>
          </w:tcPr>
          <w:p>
            <w:r>
              <w:rPr>
                <w:b/>
                <w:color w:val="FFFFFF"/>
              </w:rPr>
            </w:r>
            <w:r>
              <w:rPr>
                <w:sz w:val="19"/>
              </w:rPr>
              <w:t>Bajo</w:t>
            </w:r>
          </w:p>
        </w:tc>
      </w:tr>
      <w:tr>
        <w:tc>
          <w:tcPr>
            <w:tcW w:type="dxa" w:w="567"/>
          </w:tcPr>
          <w:p>
            <w:r/>
            <w:r>
              <w:rPr>
                <w:sz w:val="19"/>
              </w:rPr>
              <w:t>17</w:t>
            </w:r>
          </w:p>
        </w:tc>
        <w:tc>
          <w:tcPr>
            <w:tcW w:type="dxa" w:w="7370"/>
          </w:tcPr>
          <w:p>
            <w:r/>
            <w:r>
              <w:rPr>
                <w:sz w:val="19"/>
              </w:rPr>
              <w:t>Embalaje y paletización (2.10)</w:t>
            </w:r>
          </w:p>
        </w:tc>
        <w:tc>
          <w:tcPr>
            <w:tcW w:type="dxa" w:w="1134"/>
            <w:shd w:val="clear" w:color="auto" w:fill="7F8C8D"/>
          </w:tcPr>
          <w:p>
            <w:r>
              <w:rPr>
                <w:b/>
                <w:color w:val="FFFFFF"/>
              </w:rPr>
            </w:r>
            <w:r>
              <w:rPr>
                <w:sz w:val="19"/>
              </w:rPr>
              <w:t>Bajo</w:t>
            </w:r>
          </w:p>
        </w:tc>
      </w:tr>
    </w:tbl>
    <w:p>
      <w:pPr>
        <w:spacing w:after="120"/>
      </w:pPr>
    </w:p>
    <w:p>
      <w:r>
        <w:br w:type="page"/>
      </w:r>
    </w:p>
    <w:p>
      <w:pPr>
        <w:pStyle w:val="Heading2"/>
      </w:pPr>
      <w:r>
        <w:t>1. Decisión final: aluminio reciclado (antes era la madera)</w:t>
      </w:r>
    </w:p>
    <w:p>
      <w:pPr>
        <w:spacing w:after="80"/>
      </w:pPr>
      <w:r>
        <w:rPr>
          <w:b/>
          <w:color w:val="FFFFFF"/>
          <w:sz w:val="17"/>
          <w:shd w:val="clear" w:color="auto" w:fill="D68910"/>
        </w:rPr>
        <w:t xml:space="preserve"> IMPACTO MEDIO </w:t>
      </w:r>
      <w:r>
        <w:rPr>
          <w:color w:val="6B7280"/>
          <w:sz w:val="18"/>
        </w:rPr>
        <w:t xml:space="preserve">   Apartado: 4.5</w:t>
      </w:r>
    </w:p>
    <w:p>
      <w:pPr>
        <w:spacing w:after="60"/>
      </w:pPr>
      <w:r>
        <w:rPr>
          <w:b/>
          <w:color w:val="1F2A36"/>
        </w:rPr>
        <w:t xml:space="preserve">Qué decidí: </w:t>
      </w:r>
      <w:r>
        <w:t>Aplicar primero un filtro de requisitos imprescindibles (Tabla 16). El acero y la madera no cumplen P5 y quedan descartados, así que se elige el aluminio reciclado.</w:t>
      </w:r>
    </w:p>
    <w:p>
      <w:pPr>
        <w:spacing w:after="60"/>
      </w:pPr>
      <w:r>
        <w:rPr>
          <w:b/>
          <w:color w:val="1F2A36"/>
        </w:rPr>
        <w:t xml:space="preserve">Por qué: </w:t>
      </w:r>
      <w:r>
        <w:t>Otra revisión detectó que la versión anterior elegía la madera, que pesa 3,96 kg, y que la matriz le daba un 4 en peso. Con un 1 en peso ganaba el aluminio. Ahora la conclusión coincide con el modelo, los planos y el capítulo 5.</w:t>
      </w:r>
    </w:p>
    <w:p>
      <w:pPr>
        <w:spacing w:after="60"/>
      </w:pPr>
      <w:r>
        <w:rPr>
          <w:b/>
          <w:color w:val="1F2A36"/>
        </w:rPr>
        <w:t xml:space="preserve">Qué duda me queda: </w:t>
      </w:r>
      <w:r>
        <w:t>La madera queda descartada por un peso calculado con una sección simplificada. Puede que un diseño de madera bien hecho también cumpla, pero no está demostrado.</w:t>
      </w:r>
    </w:p>
    <w:p>
      <w:pPr>
        <w:spacing w:after="60"/>
      </w:pPr>
      <w:r>
        <w:rPr>
          <w:b/>
          <w:color w:val="1F2A36"/>
        </w:rPr>
        <w:t xml:space="preserve">Cómo comprobarlo: </w:t>
      </w:r>
      <w:r>
        <w:t>Si te preguntan por qué no la madera: incumple un requisito imprescindible y su modelo no está verificado. Queda como línea futura.</w:t>
      </w:r>
    </w:p>
    <w:p>
      <w:pPr>
        <w:spacing w:after="80"/>
      </w:pPr>
    </w:p>
    <w:p>
      <w:pPr>
        <w:pStyle w:val="Heading2"/>
      </w:pPr>
      <w:r>
        <w:t>2. Comprobaciones por cálculo manual</w:t>
      </w:r>
    </w:p>
    <w:p>
      <w:pPr>
        <w:spacing w:after="80"/>
      </w:pPr>
      <w:r>
        <w:rPr>
          <w:b/>
          <w:color w:val="FFFFFF"/>
          <w:sz w:val="17"/>
          <w:shd w:val="clear" w:color="auto" w:fill="D68910"/>
        </w:rPr>
        <w:t xml:space="preserve"> IMPACTO MEDIO </w:t>
      </w:r>
      <w:r>
        <w:rPr>
          <w:color w:val="6B7280"/>
          <w:sz w:val="18"/>
        </w:rPr>
        <w:t xml:space="preserve">   Apartado: 3.5</w:t>
      </w:r>
    </w:p>
    <w:p>
      <w:pPr>
        <w:spacing w:after="60"/>
      </w:pPr>
      <w:r>
        <w:rPr>
          <w:b/>
          <w:color w:val="1F2A36"/>
        </w:rPr>
        <w:t xml:space="preserve">Qué decidí: </w:t>
      </w:r>
      <w:r>
        <w:t>Añadir el apartado 3.5 con cálculos sencillos: flexión y pandeo del larguero, plataforma, pasadores, vuelco y mecanismo.</w:t>
      </w:r>
    </w:p>
    <w:p>
      <w:pPr>
        <w:spacing w:after="60"/>
      </w:pPr>
      <w:r>
        <w:rPr>
          <w:b/>
          <w:color w:val="1F2A36"/>
        </w:rPr>
        <w:t xml:space="preserve">Por qué: </w:t>
      </w:r>
      <w:r>
        <w:t>No había ninguna comprobación de P1, P2 ni R3.</w:t>
      </w:r>
    </w:p>
    <w:p>
      <w:pPr>
        <w:spacing w:after="60"/>
      </w:pPr>
      <w:r>
        <w:rPr>
          <w:b/>
          <w:color w:val="1F2A36"/>
        </w:rPr>
        <w:t xml:space="preserve">Qué duda me queda: </w:t>
      </w:r>
      <w:r>
        <w:t>Los cálculos son simplificados (viga biapoyada, carga estática de 150 kg, coeficiente de seguridad de 2) y no sustituyen a un estudio por elementos finitos ni a los ensayos de la norma. La plataforma y el peldaño cumplen por poco (coeficiente de seguridad 2,0) y el peso final estimado (3,46 kg) apenas cumple P5. Los nervios no están dibujados en el modelo ni en los planos.</w:t>
      </w:r>
    </w:p>
    <w:p>
      <w:pPr>
        <w:spacing w:after="60"/>
      </w:pPr>
      <w:r>
        <w:rPr>
          <w:b/>
          <w:color w:val="1F2A36"/>
        </w:rPr>
        <w:t xml:space="preserve">Cómo comprobarlo: </w:t>
      </w:r>
      <w:r>
        <w:t>Si quieres reforzarlo, haz un estudio estático de la plataforma en SolidWorks Simulation.</w:t>
      </w:r>
    </w:p>
    <w:p>
      <w:pPr>
        <w:spacing w:after="80"/>
      </w:pPr>
    </w:p>
    <w:p>
      <w:pPr>
        <w:pStyle w:val="Heading2"/>
      </w:pPr>
      <w:r>
        <w:t>3. El pestillo está dimensionado pero no modelado</w:t>
      </w:r>
    </w:p>
    <w:p>
      <w:pPr>
        <w:spacing w:after="80"/>
      </w:pPr>
      <w:r>
        <w:rPr>
          <w:b/>
          <w:color w:val="FFFFFF"/>
          <w:sz w:val="17"/>
          <w:shd w:val="clear" w:color="auto" w:fill="D68910"/>
        </w:rPr>
        <w:t xml:space="preserve"> IMPACTO MEDIO </w:t>
      </w:r>
      <w:r>
        <w:rPr>
          <w:color w:val="6B7280"/>
          <w:sz w:val="18"/>
        </w:rPr>
        <w:t xml:space="preserve">   Apartado: 3.5 y 5.2</w:t>
      </w:r>
    </w:p>
    <w:p>
      <w:pPr>
        <w:spacing w:after="60"/>
      </w:pPr>
      <w:r>
        <w:rPr>
          <w:b/>
          <w:color w:val="1F2A36"/>
        </w:rPr>
        <w:t xml:space="preserve">Qué decidí: </w:t>
      </w:r>
      <w:r>
        <w:t>Calcular con el modelo cinemático cómo actúa el peso del usuario y dimensionar el pestillo en la articulación del peldaño.</w:t>
      </w:r>
    </w:p>
    <w:p>
      <w:pPr>
        <w:spacing w:after="60"/>
      </w:pPr>
      <w:r>
        <w:rPr>
          <w:b/>
          <w:color w:val="1F2A36"/>
        </w:rPr>
        <w:t xml:space="preserve">Por qué: </w:t>
      </w:r>
      <w:r>
        <w:t>El cálculo demuestra que el peso sobre el peldaño tiende a cerrar el taburete, así que el pestillo es imprescindible.</w:t>
      </w:r>
    </w:p>
    <w:p>
      <w:pPr>
        <w:spacing w:after="60"/>
      </w:pPr>
      <w:r>
        <w:rPr>
          <w:b/>
          <w:color w:val="1F2A36"/>
        </w:rPr>
        <w:t xml:space="preserve">Qué duda me queda: </w:t>
      </w:r>
      <w:r>
        <w:t>El pestillo sigue sin estar en el modelo 3D ni en los planos.</w:t>
      </w:r>
    </w:p>
    <w:p>
      <w:pPr>
        <w:spacing w:after="60"/>
      </w:pPr>
      <w:r>
        <w:rPr>
          <w:b/>
          <w:color w:val="1F2A36"/>
        </w:rPr>
        <w:t xml:space="preserve">Cómo comprobarlo: </w:t>
      </w:r>
      <w:r>
        <w:t>Explícalo como diseño de detalle pendiente. Los números (522 N·m y unos 710 N por pasador) están en la Tabla 11.</w:t>
      </w:r>
    </w:p>
    <w:p>
      <w:pPr>
        <w:spacing w:after="80"/>
      </w:pPr>
    </w:p>
    <w:p>
      <w:pPr>
        <w:pStyle w:val="Heading2"/>
      </w:pPr>
      <w:r>
        <w:t>4. He añadido un capítulo 5 (QFD, AMFEC y análisis del valor) que no está en el índice del profesor</w:t>
      </w:r>
    </w:p>
    <w:p>
      <w:pPr>
        <w:spacing w:after="80"/>
      </w:pPr>
      <w:r>
        <w:rPr>
          <w:b/>
          <w:color w:val="FFFFFF"/>
          <w:sz w:val="17"/>
          <w:shd w:val="clear" w:color="auto" w:fill="D68910"/>
        </w:rPr>
        <w:t xml:space="preserve"> IMPACTO MEDIO </w:t>
      </w:r>
      <w:r>
        <w:rPr>
          <w:color w:val="6B7280"/>
          <w:sz w:val="18"/>
        </w:rPr>
        <w:t xml:space="preserve">   Apartado: Estructura</w:t>
      </w:r>
    </w:p>
    <w:p>
      <w:pPr>
        <w:spacing w:after="60"/>
      </w:pPr>
      <w:r>
        <w:rPr>
          <w:b/>
          <w:color w:val="1F2A36"/>
        </w:rPr>
        <w:t xml:space="preserve">Qué decidí: </w:t>
      </w:r>
      <w:r>
        <w:t>Añadir las técnicas de rediseño del temario en un capítulo propio.</w:t>
      </w:r>
    </w:p>
    <w:p>
      <w:pPr>
        <w:spacing w:after="60"/>
      </w:pPr>
      <w:r>
        <w:rPr>
          <w:b/>
          <w:color w:val="1F2A36"/>
        </w:rPr>
        <w:t xml:space="preserve">Por qué: </w:t>
      </w:r>
      <w:r>
        <w:t>Están en los apuntes («Técnicas de rediseño») y me pareció que sumaban.</w:t>
      </w:r>
    </w:p>
    <w:p>
      <w:pPr>
        <w:spacing w:after="60"/>
      </w:pPr>
      <w:r>
        <w:rPr>
          <w:b/>
          <w:color w:val="1F2A36"/>
        </w:rPr>
        <w:t xml:space="preserve">Qué duda me queda: </w:t>
      </w:r>
      <w:r>
        <w:t>El índice de ejemplo termina en «Evaluación» y «Anexos». Puede que el profesor lo valore, que le dé igual o que prefiera que no se alargue el trabajo. Además, el rediseño está hecho sobre la alternativa de aluminio mientras que la conclusión elige la madera; lo justifico en el texto, pero es discutible.</w:t>
      </w:r>
    </w:p>
    <w:p>
      <w:pPr>
        <w:spacing w:after="60"/>
      </w:pPr>
      <w:r>
        <w:rPr>
          <w:b/>
          <w:color w:val="1F2A36"/>
        </w:rPr>
        <w:t xml:space="preserve">Cómo comprobarlo: </w:t>
      </w:r>
      <w:r>
        <w:t>Pregunta si quiere esas técnicas. Si no las quiere, se puede quitar el capítulo 5 entero sin que se rompa nada (solo habría que actualizar el índice).</w:t>
      </w:r>
    </w:p>
    <w:p>
      <w:pPr>
        <w:spacing w:after="80"/>
      </w:pPr>
    </w:p>
    <w:p>
      <w:pPr>
        <w:pStyle w:val="Heading2"/>
      </w:pPr>
      <w:r>
        <w:t>5. Hipótesis del ACV</w:t>
      </w:r>
    </w:p>
    <w:p>
      <w:pPr>
        <w:spacing w:after="80"/>
      </w:pPr>
      <w:r>
        <w:rPr>
          <w:b/>
          <w:color w:val="FFFFFF"/>
          <w:sz w:val="17"/>
          <w:shd w:val="clear" w:color="auto" w:fill="D68910"/>
        </w:rPr>
        <w:t xml:space="preserve"> IMPACTO MEDIO </w:t>
      </w:r>
      <w:r>
        <w:rPr>
          <w:color w:val="6B7280"/>
          <w:sz w:val="18"/>
        </w:rPr>
        <w:t xml:space="preserve">   Apartado: 4.1</w:t>
      </w:r>
    </w:p>
    <w:p>
      <w:pPr>
        <w:spacing w:after="60"/>
      </w:pPr>
      <w:r>
        <w:rPr>
          <w:b/>
          <w:color w:val="1F2A36"/>
        </w:rPr>
        <w:t xml:space="preserve">Qué decidí: </w:t>
      </w:r>
      <w:r>
        <w:t>600 km de transporte, reciclaje del 90 % de los metales, cambio de tacos una vez en 10 años, incineración de plásticos y valorización de la madera con CO₂ biogénico no contabilizado.</w:t>
      </w:r>
    </w:p>
    <w:p>
      <w:pPr>
        <w:spacing w:after="60"/>
      </w:pPr>
      <w:r>
        <w:rPr>
          <w:b/>
          <w:color w:val="1F2A36"/>
        </w:rPr>
        <w:t xml:space="preserve">Por qué: </w:t>
      </w:r>
      <w:r>
        <w:t>Son valores razonables y habituales en ACV simplificados.</w:t>
      </w:r>
    </w:p>
    <w:p>
      <w:pPr>
        <w:spacing w:after="60"/>
      </w:pPr>
      <w:r>
        <w:rPr>
          <w:b/>
          <w:color w:val="1F2A36"/>
        </w:rPr>
        <w:t xml:space="preserve">Qué duda me queda: </w:t>
      </w:r>
      <w:r>
        <w:t>Ninguno está medido. Los factores ICE v2.0 son de 2011. Queda fuera el embalaje, la pintura o el anodizado y las mermas. Separar el módulo D es correcto según la EN 15804, pero si se sumara al total, el acero y el aluminio quedarían más cerca. El orden entre las tres alternativas no cambia en ningún caso, pero las diferencias sí.</w:t>
      </w:r>
    </w:p>
    <w:p>
      <w:pPr>
        <w:spacing w:after="60"/>
      </w:pPr>
      <w:r>
        <w:rPr>
          <w:b/>
          <w:color w:val="1F2A36"/>
        </w:rPr>
        <w:t xml:space="preserve">Cómo comprobarlo: </w:t>
      </w:r>
      <w:r>
        <w:t>Explícalo como ACV comparativo y simplificado (ya está escrito en el apartado 4.1). Si alguien pregunta por el aluminio, la respuesta es el reciclado: con aluminio secundario baja de 27,3 a unos 11,3 kg CO₂-eq.</w:t>
      </w:r>
    </w:p>
    <w:p>
      <w:pPr>
        <w:spacing w:after="80"/>
      </w:pPr>
    </w:p>
    <w:p>
      <w:pPr>
        <w:pStyle w:val="Heading2"/>
      </w:pPr>
      <w:r>
        <w:t>6. No he tenido acceso al texto de la UNE-EN 14183</w:t>
      </w:r>
    </w:p>
    <w:p>
      <w:pPr>
        <w:spacing w:after="80"/>
      </w:pPr>
      <w:r>
        <w:rPr>
          <w:b/>
          <w:color w:val="FFFFFF"/>
          <w:sz w:val="17"/>
          <w:shd w:val="clear" w:color="auto" w:fill="D68910"/>
        </w:rPr>
        <w:t xml:space="preserve"> IMPACTO MEDIO </w:t>
      </w:r>
      <w:r>
        <w:rPr>
          <w:color w:val="6B7280"/>
          <w:sz w:val="18"/>
        </w:rPr>
        <w:t xml:space="preserve">   Apartado: 2.4 y normativa</w:t>
      </w:r>
    </w:p>
    <w:p>
      <w:pPr>
        <w:spacing w:after="60"/>
      </w:pPr>
      <w:r>
        <w:rPr>
          <w:b/>
          <w:color w:val="1F2A36"/>
        </w:rPr>
        <w:t xml:space="preserve">Qué decidí: </w:t>
      </w:r>
      <w:r>
        <w:t>Describir la norma a partir de fuentes secundarias (AFESPO, Test and Research Centre, fichas de fabricantes).</w:t>
      </w:r>
    </w:p>
    <w:p>
      <w:pPr>
        <w:spacing w:after="60"/>
      </w:pPr>
      <w:r>
        <w:rPr>
          <w:b/>
          <w:color w:val="1F2A36"/>
        </w:rPr>
        <w:t xml:space="preserve">Por qué: </w:t>
      </w:r>
      <w:r>
        <w:t>La norma es de pago.</w:t>
      </w:r>
    </w:p>
    <w:p>
      <w:pPr>
        <w:spacing w:after="60"/>
      </w:pPr>
      <w:r>
        <w:rPr>
          <w:b/>
          <w:color w:val="1F2A36"/>
        </w:rPr>
        <w:t xml:space="preserve">Qué duda me queda: </w:t>
      </w:r>
      <w:r>
        <w:t>Los detalles (peldaños a distancias iguales, barandilla obligatoria si la plataforma es menor de 24 × 40 cm y está a más de 75 cm, contenido de los ensayos) están sacados de terceros. La mención a la prEN 131-9 como futura norma de taburetes-escalera tampoco la he podido confirmar en el CEN.</w:t>
      </w:r>
    </w:p>
    <w:p>
      <w:pPr>
        <w:spacing w:after="60"/>
      </w:pPr>
      <w:r>
        <w:rPr>
          <w:b/>
          <w:color w:val="1F2A36"/>
        </w:rPr>
        <w:t xml:space="preserve">Cómo comprobarlo: </w:t>
      </w:r>
      <w:r>
        <w:t>Si la biblioteca de la universidad tiene acceso a AENOR, consulta la norma y corrige lo que haga falta. La frase de la prEN 131-9 se puede borrar sin problema.</w:t>
      </w:r>
    </w:p>
    <w:p>
      <w:pPr>
        <w:spacing w:after="80"/>
      </w:pPr>
    </w:p>
    <w:p>
      <w:pPr>
        <w:pStyle w:val="Heading2"/>
      </w:pPr>
      <w:r>
        <w:t>7. Estudio de patentes no exhaustivo</w:t>
      </w:r>
    </w:p>
    <w:p>
      <w:pPr>
        <w:spacing w:after="80"/>
      </w:pPr>
      <w:r>
        <w:rPr>
          <w:b/>
          <w:color w:val="FFFFFF"/>
          <w:sz w:val="17"/>
          <w:shd w:val="clear" w:color="auto" w:fill="D68910"/>
        </w:rPr>
        <w:t xml:space="preserve"> IMPACTO MEDIO </w:t>
      </w:r>
      <w:r>
        <w:rPr>
          <w:color w:val="6B7280"/>
          <w:sz w:val="18"/>
        </w:rPr>
        <w:t xml:space="preserve">   Apartado: 2.5</w:t>
      </w:r>
    </w:p>
    <w:p>
      <w:pPr>
        <w:spacing w:after="60"/>
      </w:pPr>
      <w:r>
        <w:rPr>
          <w:b/>
          <w:color w:val="1F2A36"/>
        </w:rPr>
        <w:t xml:space="preserve">Qué decidí: </w:t>
      </w:r>
      <w:r>
        <w:t>Analizar 4 documentos cercanos y citar 3 más.</w:t>
      </w:r>
    </w:p>
    <w:p>
      <w:pPr>
        <w:spacing w:after="60"/>
      </w:pPr>
      <w:r>
        <w:rPr>
          <w:b/>
          <w:color w:val="1F2A36"/>
        </w:rPr>
        <w:t xml:space="preserve">Por qué: </w:t>
      </w:r>
      <w:r>
        <w:t>El índice pide 4 patentes.</w:t>
      </w:r>
    </w:p>
    <w:p>
      <w:pPr>
        <w:spacing w:after="60"/>
      </w:pPr>
      <w:r>
        <w:rPr>
          <w:b/>
          <w:color w:val="1F2A36"/>
        </w:rPr>
        <w:t xml:space="preserve">Qué duda me queda: </w:t>
      </w:r>
      <w:r>
        <w:t>La situación del modelo de utilidad ES 1 070 877 U (caducado) la deduzco de su duración máxima, sin consultarla en el registro de la OEPM. Tampoco he podido confirmar que la patente de Jool no tenga una solicitud europea de la misma familia, porque Espacenet me bloqueó el acceso. Las traducciones de las reivindicaciones son mías.</w:t>
      </w:r>
    </w:p>
    <w:p>
      <w:pPr>
        <w:spacing w:after="60"/>
      </w:pPr>
      <w:r>
        <w:rPr>
          <w:b/>
          <w:color w:val="1F2A36"/>
        </w:rPr>
        <w:t xml:space="preserve">Cómo comprobarlo: </w:t>
      </w:r>
      <w:r>
        <w:t>Consulta la situación en el localizador de la OEPM y la familia de US 12 419 421 en Espacenet («Also published as»). Son 5 minutos.</w:t>
      </w:r>
    </w:p>
    <w:p>
      <w:pPr>
        <w:spacing w:after="80"/>
      </w:pPr>
    </w:p>
    <w:p>
      <w:pPr>
        <w:pStyle w:val="Heading2"/>
      </w:pPr>
      <w:r>
        <w:t>8. Altura de 0,48 m a partir de un alcance de 1,24 veces la estatura</w:t>
      </w:r>
    </w:p>
    <w:p>
      <w:pPr>
        <w:spacing w:after="80"/>
      </w:pPr>
      <w:r>
        <w:rPr>
          <w:b/>
          <w:color w:val="FFFFFF"/>
          <w:sz w:val="17"/>
          <w:shd w:val="clear" w:color="auto" w:fill="D68910"/>
        </w:rPr>
        <w:t xml:space="preserve"> IMPACTO MEDIO </w:t>
      </w:r>
      <w:r>
        <w:rPr>
          <w:color w:val="6B7280"/>
          <w:sz w:val="18"/>
        </w:rPr>
        <w:t xml:space="preserve">   Apartado: 1.3</w:t>
      </w:r>
    </w:p>
    <w:p>
      <w:pPr>
        <w:spacing w:after="60"/>
      </w:pPr>
      <w:r>
        <w:rPr>
          <w:b/>
          <w:color w:val="1F2A36"/>
        </w:rPr>
        <w:t xml:space="preserve">Qué decidí: </w:t>
      </w:r>
      <w:r>
        <w:t>Usar la usuaria de percentil 5 (1,49 m) y un alcance de 1,24 × estatura para llegar a 2,30 m.</w:t>
      </w:r>
    </w:p>
    <w:p>
      <w:pPr>
        <w:spacing w:after="60"/>
      </w:pPr>
      <w:r>
        <w:rPr>
          <w:b/>
          <w:color w:val="1F2A36"/>
        </w:rPr>
        <w:t xml:space="preserve">Por qué: </w:t>
      </w:r>
      <w:r>
        <w:t>Da un valor que coincide con los productos de referencia (Hailo K20: 46 cm).</w:t>
      </w:r>
    </w:p>
    <w:p>
      <w:pPr>
        <w:spacing w:after="60"/>
      </w:pPr>
      <w:r>
        <w:rPr>
          <w:b/>
          <w:color w:val="1F2A36"/>
        </w:rPr>
        <w:t xml:space="preserve">Qué duda me queda: </w:t>
      </w:r>
      <w:r>
        <w:t>El factor 1,24 es una aproximación mía, no un dato de la tabla del INSHT. Los datos del INSHT son de 1999 y de población laboral (18 a 65 años), justo cuando digo que el producto está pensado también para personas mayores, que son más bajas. El objetivo de 2,30 m también lo fijé yo.</w:t>
      </w:r>
    </w:p>
    <w:p>
      <w:pPr>
        <w:spacing w:after="60"/>
      </w:pPr>
      <w:r>
        <w:rPr>
          <w:b/>
          <w:color w:val="1F2A36"/>
        </w:rPr>
        <w:t xml:space="preserve">Cómo comprobarlo: </w:t>
      </w:r>
      <w:r>
        <w:t>Si en clase habéis usado otra tabla de alcance vertical, cambia el factor. Si el resultado sigue entre 0,45 y 0,50 m, el diseño no cambia.</w:t>
      </w:r>
    </w:p>
    <w:p>
      <w:pPr>
        <w:spacing w:after="80"/>
      </w:pPr>
    </w:p>
    <w:p>
      <w:pPr>
        <w:pStyle w:val="Heading2"/>
      </w:pPr>
      <w:r>
        <w:t>9. Costes y márgenes inventados</w:t>
      </w:r>
    </w:p>
    <w:p>
      <w:pPr>
        <w:spacing w:after="80"/>
      </w:pPr>
      <w:r>
        <w:rPr>
          <w:b/>
          <w:color w:val="FFFFFF"/>
          <w:sz w:val="17"/>
          <w:shd w:val="clear" w:color="auto" w:fill="D68910"/>
        </w:rPr>
        <w:t xml:space="preserve"> IMPACTO MEDIO </w:t>
      </w:r>
      <w:r>
        <w:rPr>
          <w:color w:val="6B7280"/>
          <w:sz w:val="18"/>
        </w:rPr>
        <w:t xml:space="preserve">   Apartado: 2.1</w:t>
      </w:r>
    </w:p>
    <w:p>
      <w:pPr>
        <w:spacing w:after="60"/>
      </w:pPr>
      <w:r>
        <w:rPr>
          <w:b/>
          <w:color w:val="1F2A36"/>
        </w:rPr>
        <w:t xml:space="preserve">Qué decidí: </w:t>
      </w:r>
      <w:r>
        <w:t>Margen de la distribución del 38 %, margen del fabricante del 25 %, serie de 20.000 unidades al año y un reparto del coste industrial.</w:t>
      </w:r>
    </w:p>
    <w:p>
      <w:pPr>
        <w:spacing w:after="60"/>
      </w:pPr>
      <w:r>
        <w:rPr>
          <w:b/>
          <w:color w:val="1F2A36"/>
        </w:rPr>
        <w:t xml:space="preserve">Por qué: </w:t>
      </w:r>
      <w:r>
        <w:t>Son hipótesis habituales y quedan marcadas como tales.</w:t>
      </w:r>
    </w:p>
    <w:p>
      <w:pPr>
        <w:spacing w:after="60"/>
      </w:pPr>
      <w:r>
        <w:rPr>
          <w:b/>
          <w:color w:val="1F2A36"/>
        </w:rPr>
        <w:t xml:space="preserve">Qué duda me queda: </w:t>
      </w:r>
      <w:r>
        <w:t>No hay datos reales detrás. Los costes por componente del análisis del valor también son estimados, y su suma (13,46 €) supera lo previsto (12,50 €); lo he dejado escrito como hallazgo, no lo he escondido.</w:t>
      </w:r>
    </w:p>
    <w:p>
      <w:pPr>
        <w:spacing w:after="60"/>
      </w:pPr>
      <w:r>
        <w:rPr>
          <w:b/>
          <w:color w:val="1F2A36"/>
        </w:rPr>
        <w:t xml:space="preserve">Cómo comprobarlo: </w:t>
      </w:r>
      <w:r>
        <w:t>Defiéndelo como estimación de orden de magnitud. Si en clase dieron márgenes típicos, usa esos.</w:t>
      </w:r>
    </w:p>
    <w:p>
      <w:pPr>
        <w:spacing w:after="80"/>
      </w:pPr>
    </w:p>
    <w:p>
      <w:pPr>
        <w:pStyle w:val="Heading2"/>
      </w:pPr>
      <w:r>
        <w:t>10. El ACV está en kg de CO₂ equivalente, no en Ecopuntos (ECO-it)</w:t>
      </w:r>
    </w:p>
    <w:p>
      <w:pPr>
        <w:spacing w:after="80"/>
      </w:pPr>
      <w:r>
        <w:rPr>
          <w:b/>
          <w:color w:val="FFFFFF"/>
          <w:sz w:val="17"/>
          <w:shd w:val="clear" w:color="auto" w:fill="7F8C8D"/>
        </w:rPr>
        <w:t xml:space="preserve"> IMPACTO BAJO </w:t>
      </w:r>
      <w:r>
        <w:rPr>
          <w:color w:val="6B7280"/>
          <w:sz w:val="18"/>
        </w:rPr>
        <w:t xml:space="preserve">   Apartado: 1. Enfoque general</w:t>
      </w:r>
    </w:p>
    <w:p>
      <w:pPr>
        <w:spacing w:after="60"/>
      </w:pPr>
      <w:r>
        <w:rPr>
          <w:b/>
          <w:color w:val="1F2A36"/>
        </w:rPr>
        <w:t xml:space="preserve">Qué decidí: </w:t>
      </w:r>
      <w:r>
        <w:t>Calcular la huella de carbono con factores de la base de datos ICE v2.0 y el módulo D de la norma EN 15804.</w:t>
      </w:r>
    </w:p>
    <w:p>
      <w:pPr>
        <w:spacing w:after="60"/>
      </w:pPr>
      <w:r>
        <w:rPr>
          <w:b/>
          <w:color w:val="1F2A36"/>
        </w:rPr>
        <w:t xml:space="preserve">Por qué: </w:t>
      </w:r>
      <w:r>
        <w:t>El índice de ejemplo del profesor evalúa en «kg CO₂-eq por componente en la fase de producción, uso y eliminación», el mismo formato.</w:t>
      </w:r>
    </w:p>
    <w:p>
      <w:pPr>
        <w:spacing w:after="60"/>
      </w:pPr>
      <w:r>
        <w:rPr>
          <w:b/>
          <w:color w:val="1F2A36"/>
        </w:rPr>
        <w:t xml:space="preserve">Qué duda me queda: </w:t>
      </w:r>
      <w:r>
        <w:t>Resuelta en gran parte: el formato coincide con el del ejemplo. Solo queda la duda de si el profesor espera que se use ECO-it como herramienta.</w:t>
      </w:r>
    </w:p>
    <w:p>
      <w:pPr>
        <w:spacing w:after="60"/>
      </w:pPr>
      <w:r>
        <w:rPr>
          <w:b/>
          <w:color w:val="1F2A36"/>
        </w:rPr>
        <w:t xml:space="preserve">Cómo comprobarlo: </w:t>
      </w:r>
      <w:r>
        <w:t>Nada obligatorio. Si en clase se usó ECO-it, puedes comprobar uno de los resultados con él.</w:t>
      </w:r>
    </w:p>
    <w:p>
      <w:pPr>
        <w:spacing w:after="80"/>
      </w:pPr>
    </w:p>
    <w:p>
      <w:pPr>
        <w:pStyle w:val="Heading2"/>
      </w:pPr>
      <w:r>
        <w:t>11. El AMFEC no calcula la criticidad (G × O)</w:t>
      </w:r>
    </w:p>
    <w:p>
      <w:pPr>
        <w:spacing w:after="80"/>
      </w:pPr>
      <w:r>
        <w:rPr>
          <w:b/>
          <w:color w:val="FFFFFF"/>
          <w:sz w:val="17"/>
          <w:shd w:val="clear" w:color="auto" w:fill="7F8C8D"/>
        </w:rPr>
        <w:t xml:space="preserve"> IMPACTO BAJO </w:t>
      </w:r>
      <w:r>
        <w:rPr>
          <w:color w:val="6B7280"/>
          <w:sz w:val="18"/>
        </w:rPr>
        <w:t xml:space="preserve">   Apartado: 5.2</w:t>
      </w:r>
    </w:p>
    <w:p>
      <w:pPr>
        <w:spacing w:after="60"/>
      </w:pPr>
      <w:r>
        <w:rPr>
          <w:b/>
          <w:color w:val="1F2A36"/>
        </w:rPr>
        <w:t xml:space="preserve">Qué decidí: </w:t>
      </w:r>
      <w:r>
        <w:t>Usar solo el IPR = O × G × D.</w:t>
      </w:r>
    </w:p>
    <w:p>
      <w:pPr>
        <w:spacing w:after="60"/>
      </w:pPr>
      <w:r>
        <w:rPr>
          <w:b/>
          <w:color w:val="1F2A36"/>
        </w:rPr>
        <w:t xml:space="preserve">Por qué: </w:t>
      </w:r>
      <w:r>
        <w:t>Es lo único que definen los apuntes de Técnicas de rediseño; la palabra «criticidades» solo aparece en el nombre de la técnica.</w:t>
      </w:r>
    </w:p>
    <w:p>
      <w:pPr>
        <w:spacing w:after="60"/>
      </w:pPr>
      <w:r>
        <w:rPr>
          <w:b/>
          <w:color w:val="1F2A36"/>
        </w:rPr>
        <w:t xml:space="preserve">Qué duda me queda: </w:t>
      </w:r>
      <w:r>
        <w:t>Otra revisión lo señaló como fallo. Según tus apuntes no lo es, pero algunos profesores lo piden.</w:t>
      </w:r>
    </w:p>
    <w:p>
      <w:pPr>
        <w:spacing w:after="60"/>
      </w:pPr>
      <w:r>
        <w:rPr>
          <w:b/>
          <w:color w:val="1F2A36"/>
        </w:rPr>
        <w:t xml:space="preserve">Cómo comprobarlo: </w:t>
      </w:r>
      <w:r>
        <w:t>Si quieres cubrirte, añade una columna G × O a la Tabla 17. Son 8 multiplicaciones.</w:t>
      </w:r>
    </w:p>
    <w:p>
      <w:pPr>
        <w:spacing w:after="80"/>
      </w:pPr>
    </w:p>
    <w:p>
      <w:pPr>
        <w:pStyle w:val="Heading2"/>
      </w:pPr>
      <w:r>
        <w:t>12. Elección de parámetros TRIZ</w:t>
      </w:r>
    </w:p>
    <w:p>
      <w:pPr>
        <w:spacing w:after="80"/>
      </w:pPr>
      <w:r>
        <w:rPr>
          <w:b/>
          <w:color w:val="FFFFFF"/>
          <w:sz w:val="17"/>
          <w:shd w:val="clear" w:color="auto" w:fill="7F8C8D"/>
        </w:rPr>
        <w:t xml:space="preserve"> IMPACTO BAJO </w:t>
      </w:r>
      <w:r>
        <w:rPr>
          <w:color w:val="6B7280"/>
          <w:sz w:val="18"/>
        </w:rPr>
        <w:t xml:space="preserve">   Apartado: 3.2</w:t>
      </w:r>
    </w:p>
    <w:p>
      <w:pPr>
        <w:spacing w:after="60"/>
      </w:pPr>
      <w:r>
        <w:rPr>
          <w:b/>
          <w:color w:val="1F2A36"/>
        </w:rPr>
        <w:t xml:space="preserve">Qué decidí: </w:t>
      </w:r>
      <w:r>
        <w:t>Contradicciones 14/1, 33/27 y 13/7, con las celdas de la matriz de triz40.com.</w:t>
      </w:r>
    </w:p>
    <w:p>
      <w:pPr>
        <w:spacing w:after="60"/>
      </w:pPr>
      <w:r>
        <w:rPr>
          <w:b/>
          <w:color w:val="1F2A36"/>
        </w:rPr>
        <w:t xml:space="preserve">Por qué: </w:t>
      </w:r>
      <w:r>
        <w:t>Son las que mejor describen el problema.</w:t>
      </w:r>
    </w:p>
    <w:p>
      <w:pPr>
        <w:spacing w:after="60"/>
      </w:pPr>
      <w:r>
        <w:rPr>
          <w:b/>
          <w:color w:val="1F2A36"/>
        </w:rPr>
        <w:t xml:space="preserve">Qué duda me queda: </w:t>
      </w:r>
      <w:r>
        <w:t>Hay varias versiones de la matriz y otra persona podría elegir otros parámetros (por ejemplo, 10 fuerza en lugar de 14 resistencia). El principio 8 (contrapeso) lo aplico de forma algo forzada.</w:t>
      </w:r>
    </w:p>
    <w:p>
      <w:pPr>
        <w:spacing w:after="60"/>
      </w:pPr>
      <w:r>
        <w:rPr>
          <w:b/>
          <w:color w:val="1F2A36"/>
        </w:rPr>
        <w:t xml:space="preserve">Cómo comprobarlo: </w:t>
      </w:r>
      <w:r>
        <w:t>Comprueba que las celdas coinciden con la matriz de los apuntes. Si alguna no coincide, cambia los principios de la lista.</w:t>
      </w:r>
    </w:p>
    <w:p>
      <w:pPr>
        <w:spacing w:after="80"/>
      </w:pPr>
    </w:p>
    <w:p>
      <w:pPr>
        <w:pStyle w:val="Heading2"/>
      </w:pPr>
      <w:r>
        <w:t>13. QFD y AMFEC sin datos de clientes ni de ensayos</w:t>
      </w:r>
    </w:p>
    <w:p>
      <w:pPr>
        <w:spacing w:after="80"/>
      </w:pPr>
      <w:r>
        <w:rPr>
          <w:b/>
          <w:color w:val="FFFFFF"/>
          <w:sz w:val="17"/>
          <w:shd w:val="clear" w:color="auto" w:fill="7F8C8D"/>
        </w:rPr>
        <w:t xml:space="preserve"> IMPACTO BAJO </w:t>
      </w:r>
      <w:r>
        <w:rPr>
          <w:color w:val="6B7280"/>
          <w:sz w:val="18"/>
        </w:rPr>
        <w:t xml:space="preserve">   Apartado: 5</w:t>
      </w:r>
    </w:p>
    <w:p>
      <w:pPr>
        <w:spacing w:after="60"/>
      </w:pPr>
      <w:r>
        <w:rPr>
          <w:b/>
          <w:color w:val="1F2A36"/>
        </w:rPr>
        <w:t xml:space="preserve">Qué decidí: </w:t>
      </w:r>
      <w:r>
        <w:t>Importancias, relaciones, percepción de la competencia y valores O, G y D puestos por mí.</w:t>
      </w:r>
    </w:p>
    <w:p>
      <w:pPr>
        <w:spacing w:after="60"/>
      </w:pPr>
      <w:r>
        <w:rPr>
          <w:b/>
          <w:color w:val="1F2A36"/>
        </w:rPr>
        <w:t xml:space="preserve">Por qué: </w:t>
      </w:r>
      <w:r>
        <w:t>Es un trabajo académico sin encuestas ni prototipo.</w:t>
      </w:r>
    </w:p>
    <w:p>
      <w:pPr>
        <w:spacing w:after="60"/>
      </w:pPr>
      <w:r>
        <w:rPr>
          <w:b/>
          <w:color w:val="1F2A36"/>
        </w:rPr>
        <w:t xml:space="preserve">Qué duda me queda: </w:t>
      </w:r>
      <w:r>
        <w:t>Los resultados (por ejemplo, que el peso sea lo más importante con un 15,7 %) salen de mis propias puntuaciones, así que en parte confirman lo que yo ya pensaba.</w:t>
      </w:r>
    </w:p>
    <w:p>
      <w:pPr>
        <w:spacing w:after="60"/>
      </w:pPr>
      <w:r>
        <w:rPr>
          <w:b/>
          <w:color w:val="1F2A36"/>
        </w:rPr>
        <w:t xml:space="preserve">Cómo comprobarlo: </w:t>
      </w:r>
      <w:r>
        <w:t>Admítelo si te preguntan: en un proyecto real se harían encuestas a usuarios y ensayos de prototipos.</w:t>
      </w:r>
    </w:p>
    <w:p>
      <w:pPr>
        <w:spacing w:after="80"/>
      </w:pPr>
    </w:p>
    <w:p>
      <w:pPr>
        <w:pStyle w:val="Heading2"/>
      </w:pPr>
      <w:r>
        <w:t>14. Materiales de SolidWorks aproximados</w:t>
      </w:r>
    </w:p>
    <w:p>
      <w:pPr>
        <w:spacing w:after="80"/>
      </w:pPr>
      <w:r>
        <w:rPr>
          <w:b/>
          <w:color w:val="FFFFFF"/>
          <w:sz w:val="17"/>
          <w:shd w:val="clear" w:color="auto" w:fill="7F8C8D"/>
        </w:rPr>
        <w:t xml:space="preserve"> IMPACTO BAJO </w:t>
      </w:r>
      <w:r>
        <w:rPr>
          <w:color w:val="6B7280"/>
          <w:sz w:val="18"/>
        </w:rPr>
        <w:t xml:space="preserve">   Apartado: 3.4</w:t>
      </w:r>
    </w:p>
    <w:p>
      <w:pPr>
        <w:spacing w:after="60"/>
      </w:pPr>
      <w:r>
        <w:rPr>
          <w:b/>
          <w:color w:val="1F2A36"/>
        </w:rPr>
        <w:t xml:space="preserve">Qué decidí: </w:t>
      </w:r>
      <w:r>
        <w:t>PP copolímero en lugar de PP con 30 % de fibra de vidrio, haya en lugar de contrachapado en la plataforma y acero al carbono no aleado en lugar de S235.</w:t>
      </w:r>
    </w:p>
    <w:p>
      <w:pPr>
        <w:spacing w:after="60"/>
      </w:pPr>
      <w:r>
        <w:rPr>
          <w:b/>
          <w:color w:val="1F2A36"/>
        </w:rPr>
        <w:t xml:space="preserve">Por qué: </w:t>
      </w:r>
      <w:r>
        <w:t>Son los que había en la biblioteca de SolidWorks en español.</w:t>
      </w:r>
    </w:p>
    <w:p>
      <w:pPr>
        <w:spacing w:after="60"/>
      </w:pPr>
      <w:r>
        <w:rPr>
          <w:b/>
          <w:color w:val="1F2A36"/>
        </w:rPr>
        <w:t xml:space="preserve">Qué duda me queda: </w:t>
      </w:r>
      <w:r>
        <w:t>Las masas cambian poco (unos 170 g en el PP, ya indicado en el texto), pero el ACV usa el factor del contrachapado con la masa calculada con la densidad de la haya.</w:t>
      </w:r>
    </w:p>
    <w:p>
      <w:pPr>
        <w:spacing w:after="60"/>
      </w:pPr>
      <w:r>
        <w:rPr>
          <w:b/>
          <w:color w:val="1F2A36"/>
        </w:rPr>
        <w:t xml:space="preserve">Cómo comprobarlo: </w:t>
      </w:r>
      <w:r>
        <w:t>Si quieres afinar, crea materiales personalizados en SolidWorks con la densidad correcta.</w:t>
      </w:r>
    </w:p>
    <w:p>
      <w:pPr>
        <w:spacing w:after="80"/>
      </w:pPr>
    </w:p>
    <w:p>
      <w:pPr>
        <w:pStyle w:val="Heading2"/>
      </w:pPr>
      <w:r>
        <w:t>15. Datos de mercado</w:t>
      </w:r>
    </w:p>
    <w:p>
      <w:pPr>
        <w:spacing w:after="80"/>
      </w:pPr>
      <w:r>
        <w:rPr>
          <w:b/>
          <w:color w:val="FFFFFF"/>
          <w:sz w:val="17"/>
          <w:shd w:val="clear" w:color="auto" w:fill="7F8C8D"/>
        </w:rPr>
        <w:t xml:space="preserve"> IMPACTO BAJO </w:t>
      </w:r>
      <w:r>
        <w:rPr>
          <w:color w:val="6B7280"/>
          <w:sz w:val="18"/>
        </w:rPr>
        <w:t xml:space="preserve">   Apartado: 2.2</w:t>
      </w:r>
    </w:p>
    <w:p>
      <w:pPr>
        <w:spacing w:after="60"/>
      </w:pPr>
      <w:r>
        <w:rPr>
          <w:b/>
          <w:color w:val="1F2A36"/>
        </w:rPr>
        <w:t xml:space="preserve">Qué decidí: </w:t>
      </w:r>
      <w:r>
        <w:t>Precios y características tomados de webs de tiendas en septiembre de 2026.</w:t>
      </w:r>
    </w:p>
    <w:p>
      <w:pPr>
        <w:spacing w:after="60"/>
      </w:pPr>
      <w:r>
        <w:rPr>
          <w:b/>
          <w:color w:val="1F2A36"/>
        </w:rPr>
        <w:t xml:space="preserve">Por qué: </w:t>
      </w:r>
      <w:r>
        <w:t>No hay otra fuente.</w:t>
      </w:r>
    </w:p>
    <w:p>
      <w:pPr>
        <w:spacing w:after="60"/>
      </w:pPr>
      <w:r>
        <w:rPr>
          <w:b/>
          <w:color w:val="1F2A36"/>
        </w:rPr>
        <w:t xml:space="preserve">Qué duda me queda: </w:t>
      </w:r>
      <w:r>
        <w:t>El precio del IKEA BOLMEN (1,50 €) me parece demasiado bajo y no lo he podido volver a comprobar. Varios pesos figuran como «n. d.».</w:t>
      </w:r>
    </w:p>
    <w:p>
      <w:pPr>
        <w:spacing w:after="60"/>
      </w:pPr>
      <w:r>
        <w:rPr>
          <w:b/>
          <w:color w:val="1F2A36"/>
        </w:rPr>
        <w:t xml:space="preserve">Cómo comprobarlo: </w:t>
      </w:r>
      <w:r>
        <w:t>Mira el precio actual en ikea.es y corrígelo en la Tabla 4 (y en la Ilustración 5 si cambia mucho).</w:t>
      </w:r>
    </w:p>
    <w:p>
      <w:pPr>
        <w:spacing w:after="80"/>
      </w:pPr>
    </w:p>
    <w:p>
      <w:pPr>
        <w:pStyle w:val="Heading2"/>
      </w:pPr>
      <w:r>
        <w:t>16. Planos generados por programa, no desde SolidWorks</w:t>
      </w:r>
    </w:p>
    <w:p>
      <w:pPr>
        <w:spacing w:after="80"/>
      </w:pPr>
      <w:r>
        <w:rPr>
          <w:b/>
          <w:color w:val="FFFFFF"/>
          <w:sz w:val="17"/>
          <w:shd w:val="clear" w:color="auto" w:fill="7F8C8D"/>
        </w:rPr>
        <w:t xml:space="preserve"> IMPACTO BAJO </w:t>
      </w:r>
      <w:r>
        <w:rPr>
          <w:color w:val="6B7280"/>
          <w:sz w:val="18"/>
        </w:rPr>
        <w:t xml:space="preserve">   Apartado: Anexos</w:t>
      </w:r>
    </w:p>
    <w:p>
      <w:pPr>
        <w:spacing w:after="60"/>
      </w:pPr>
      <w:r>
        <w:rPr>
          <w:b/>
          <w:color w:val="1F2A36"/>
        </w:rPr>
        <w:t xml:space="preserve">Qué decidí: </w:t>
      </w:r>
      <w:r>
        <w:t>Dibujar los planos proyectando el modelo en Python, con cajetín propio y en primer diedro.</w:t>
      </w:r>
    </w:p>
    <w:p>
      <w:pPr>
        <w:spacing w:after="60"/>
      </w:pPr>
      <w:r>
        <w:rPr>
          <w:b/>
          <w:color w:val="1F2A36"/>
        </w:rPr>
        <w:t xml:space="preserve">Por qué: </w:t>
      </w:r>
      <w:r>
        <w:t>Así quedaban completos y coherentes con el modelo.</w:t>
      </w:r>
    </w:p>
    <w:p>
      <w:pPr>
        <w:spacing w:after="60"/>
      </w:pPr>
      <w:r>
        <w:rPr>
          <w:b/>
          <w:color w:val="1F2A36"/>
        </w:rPr>
        <w:t xml:space="preserve">Qué duda me queda: </w:t>
      </w:r>
      <w:r>
        <w:t>Les faltan tolerancias, acabados superficiales y algunas cotas de detalle, y el estilo no es el de un dibujo de SolidWorks. Si el profesor pide los .SLDDRW, no los tienes.</w:t>
      </w:r>
    </w:p>
    <w:p>
      <w:pPr>
        <w:spacing w:after="60"/>
      </w:pPr>
      <w:r>
        <w:rPr>
          <w:b/>
          <w:color w:val="1F2A36"/>
        </w:rPr>
        <w:t xml:space="preserve">Cómo comprobarlo: </w:t>
      </w:r>
      <w:r>
        <w:t>Si te los piden, usa la macro de planos (cad/Planos_macro_para_copiar.txt) y añade las cotas a mano.</w:t>
      </w:r>
    </w:p>
    <w:p>
      <w:pPr>
        <w:spacing w:after="80"/>
      </w:pPr>
    </w:p>
    <w:p>
      <w:pPr>
        <w:pStyle w:val="Heading2"/>
      </w:pPr>
      <w:r>
        <w:t>17. Embalaje y paletización</w:t>
      </w:r>
    </w:p>
    <w:p>
      <w:pPr>
        <w:spacing w:after="80"/>
      </w:pPr>
      <w:r>
        <w:rPr>
          <w:b/>
          <w:color w:val="FFFFFF"/>
          <w:sz w:val="17"/>
          <w:shd w:val="clear" w:color="auto" w:fill="7F8C8D"/>
        </w:rPr>
        <w:t xml:space="preserve"> IMPACTO BAJO </w:t>
      </w:r>
      <w:r>
        <w:rPr>
          <w:color w:val="6B7280"/>
          <w:sz w:val="18"/>
        </w:rPr>
        <w:t xml:space="preserve">   Apartado: 2.10</w:t>
      </w:r>
    </w:p>
    <w:p>
      <w:pPr>
        <w:spacing w:after="60"/>
      </w:pPr>
      <w:r>
        <w:rPr>
          <w:b/>
          <w:color w:val="1F2A36"/>
        </w:rPr>
        <w:t xml:space="preserve">Qué decidí: </w:t>
      </w:r>
      <w:r>
        <w:t>Caja de 880 × 470 × 60 mm y 39 unidades por palé, de canto.</w:t>
      </w:r>
    </w:p>
    <w:p>
      <w:pPr>
        <w:spacing w:after="60"/>
      </w:pPr>
      <w:r>
        <w:rPr>
          <w:b/>
          <w:color w:val="1F2A36"/>
        </w:rPr>
        <w:t xml:space="preserve">Por qué: </w:t>
      </w:r>
      <w:r>
        <w:t>Sale del tamaño plegado medido en el modelo (861 × 450 × 40 mm).</w:t>
      </w:r>
    </w:p>
    <w:p>
      <w:pPr>
        <w:spacing w:after="60"/>
      </w:pPr>
      <w:r>
        <w:rPr>
          <w:b/>
          <w:color w:val="1F2A36"/>
        </w:rPr>
        <w:t xml:space="preserve">Qué duda me queda: </w:t>
      </w:r>
      <w:r>
        <w:t>En la versión anterior la caja medía 640 mm, un error que he corregido en esta revisión. No he contado cantoneras ni el grosor real del cartón.</w:t>
      </w:r>
    </w:p>
    <w:p>
      <w:pPr>
        <w:spacing w:after="60"/>
      </w:pPr>
      <w:r>
        <w:rPr>
          <w:b/>
          <w:color w:val="1F2A36"/>
        </w:rPr>
        <w:t xml:space="preserve">Cómo comprobarlo: </w:t>
      </w:r>
      <w:r>
        <w:t>Nada que hacer; solo tenlo en cuenta si comparas con una versión antigua del documento.</w:t>
      </w:r>
    </w:p>
    <w:p>
      <w:pPr>
        <w:spacing w:after="80"/>
      </w:pPr>
    </w:p>
    <w:p>
      <w:pPr>
        <w:pStyle w:val="Heading1"/>
      </w:pPr>
      <w:r>
        <w:t>Consejo final para la defensa</w:t>
      </w:r>
    </w:p>
    <w:p>
      <w:pPr>
        <w:spacing w:after="80"/>
      </w:pPr>
      <w:r>
        <w:rPr>
          <w:b w:val="0"/>
          <w:i w:val="0"/>
        </w:rPr>
        <w:t>Las dudas de impacto medio son las que un profesor de Ingeniería Mecánica puede ver con más facilidad. No hace falta resolverlas todas; basta con que las conozcas y sepas explicar por qué se tomó esa decisión y cuál sería el siguiente paso. Decir «esto no está verificado y se comprobaría así» suele puntuar mejor que dar un dato que luego no sabes justificar.</w:t>
      </w:r>
    </w:p>
    <w:p>
      <w:pPr>
        <w:spacing w:after="80"/>
      </w:pPr>
      <w:r>
        <w:rPr>
          <w:b w:val="0"/>
          <w:i w:val="0"/>
        </w:rPr>
        <w:t>Recuerda también que todo el trabajo tiene que poder defenderlo quien lo firma. Repasa los cálculos del ACV, la cinemática del plegado y la matriz de decisión hasta que puedas explicarlos sin el documento delante.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3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