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 ETAPA INICIAL</w:t>
      </w:r>
    </w:p>
    <w:p>
      <w:pPr>
        <w:pStyle w:val="Heading2"/>
      </w:pPr>
      <w:r>
        <w:t>1.1. INTRODUCCIÓN</w:t>
      </w:r>
    </w:p>
    <w:p>
      <w:pPr>
        <w:pStyle w:val="Heading3"/>
      </w:pPr>
      <w:r>
        <w:t>1.1.1. CONTEXTO</w:t>
      </w:r>
    </w:p>
    <w:p>
      <w:r>
        <w:t>Hoy en día buena parte del espacio de almacenaje de una vivienda está en altura: muebles altos de cocina, armarios que llegan hasta el techo, altillos o estanterías. En una cocina estándar los muebles altos se colocan aproximadamente entre 1,45 y 2,20 m del suelo, y los altillos pueden llegar a los 2,50 m.</w:t>
      </w:r>
    </w:p>
    <w:p>
      <w:r>
        <w:t>El problema es que estas alturas no están al alcance de todo el mundo. Si tomamos como referencia el percentil 5 de la población femenina española (estatura de unos 1,50 m), el alcance vertical máximo de pie ronda los 1,85 m, por lo que la balda superior de un mueble alto y todo el altillo quedan fuera de su alcance (Ilustración 1). Incluso para un hombre de estatura media el altillo sigue siendo inaccesible sin ayuda.</w:t>
      </w:r>
    </w:p>
    <w:p>
      <w:r>
        <w:drawing>
          <wp:inline xmlns:a="http://schemas.openxmlformats.org/drawingml/2006/main" xmlns:pic="http://schemas.openxmlformats.org/drawingml/2006/picture">
            <wp:extent cx="5400000" cy="3510000"/>
            <wp:docPr id="1" name="Picture 1"/>
            <wp:cNvGraphicFramePr>
              <a:graphicFrameLocks noChangeAspect="1"/>
            </wp:cNvGraphicFramePr>
            <a:graphic>
              <a:graphicData uri="http://schemas.openxmlformats.org/drawingml/2006/picture">
                <pic:pic>
                  <pic:nvPicPr>
                    <pic:cNvPr id="0" name="figura1_alcance_mobiliario.png"/>
                    <pic:cNvPicPr/>
                  </pic:nvPicPr>
                  <pic:blipFill>
                    <a:blip r:embed="rId9"/>
                    <a:stretch>
                      <a:fillRect/>
                    </a:stretch>
                  </pic:blipFill>
                  <pic:spPr>
                    <a:xfrm>
                      <a:off x="0" y="0"/>
                      <a:ext cx="5400000" cy="3510000"/>
                    </a:xfrm>
                    <a:prstGeom prst="rect"/>
                  </pic:spPr>
                </pic:pic>
              </a:graphicData>
            </a:graphic>
          </wp:inline>
        </w:drawing>
      </w:r>
    </w:p>
    <w:p>
      <w:r>
        <w:rPr>
          <w:i/>
          <w:sz w:val="18"/>
        </w:rPr>
        <w:t>Ilustración 1. Alturas habituales del mobiliario de cocina frente al alcance del usuario. Elaboración propia.</w:t>
      </w:r>
    </w:p>
    <w:p>
      <w:r>
        <w:t>A esto se suma que las viviendas, sobre todo en ciudad, son cada vez más pequeñas, así que cualquier objeto auxiliar tiene que poder guardarse en poco espacio. Como consecuencia, mucha gente acaba subiéndose a una silla, a una caja o incluso a la encimera para llegar a lo que necesita, lo cual es claramente peligroso.</w:t>
      </w:r>
    </w:p>
    <w:p>
      <w:r>
        <w:t>Los datos lo confirman: según el informe DADO (Detección de Accidentes Domésticos y de Ocio) del Ministerio de Sanidad, las caídas son el tipo de accidente más frecuente, con un 51,1 % del total, y el interior de la vivienda es el lugar donde se producen la mayoría de estos accidentes (54,5 %). Además, la población española está cada vez más envejecida: a 1 de enero de 2025 el 20,7 % de la población tenía 65 años o más (INE), y en este grupo una caída desde poca altura puede tener consecuencias graves.</w:t>
      </w:r>
    </w:p>
    <w:p>
      <w:pPr>
        <w:pStyle w:val="Heading3"/>
      </w:pPr>
      <w:r>
        <w:t>1.1.2. MOTIVACIÓN</w:t>
      </w:r>
    </w:p>
    <w:p>
      <w:r>
        <w:t>El taburete-escalera es un producto muy común, pero al revisar los modelos que hay en el mercado se ve que casi siempre hay que elegir entre dos cosas. Los modelos más robustos y estables pesan y ocupan bastante, por lo que acaban guardados en un trastero y el usuario vuelve a usar la silla. Los más compactos y baratos, en cambio, dan poca sensación de seguridad: peldaños estrechos, bloqueos poco fiables o apoyos que resbalan.</w:t>
      </w:r>
    </w:p>
    <w:p>
      <w:r>
        <w:t>La motivación de este trabajo es diseñar un taburete-escalera para uso doméstico que no obligue a renunciar a ninguna de las dos cosas, es decir, que sea seguro y estable durante el uso y a la vez fácil de guardar y de mover. Además, se tendrán en cuenta criterios de ecodiseño para reducir su impacto ambiental durante todo su ciclo de vida.</w:t>
      </w:r>
    </w:p>
    <w:p>
      <w:pPr>
        <w:pStyle w:val="Heading3"/>
      </w:pPr>
      <w:r>
        <w:t>1.1.3. NECESIDADES</w:t>
      </w:r>
    </w:p>
    <w:p>
      <w:r>
        <w:t>A partir del contexto anterior se han identificado las siguientes necesidades del usuario:</w:t>
      </w:r>
    </w:p>
    <w:p>
      <w:pPr>
        <w:pStyle w:val="ListBullet"/>
      </w:pPr>
      <w:r>
        <w:t>Poder alcanzar de forma segura objetos situados hasta unos 2,20 – 2,50 m de altura.</w:t>
      </w:r>
    </w:p>
    <w:p>
      <w:pPr>
        <w:pStyle w:val="ListBullet"/>
      </w:pPr>
      <w:r>
        <w:t>Estabilidad al subir, al estar arriba y al bajar, sin balanceos ni riesgo de vuelco, incluso inclinando el cuerpo hacia un lado.</w:t>
      </w:r>
    </w:p>
    <w:p>
      <w:pPr>
        <w:pStyle w:val="ListBullet"/>
      </w:pPr>
      <w:r>
        <w:t>Apoyar bien el pie, con peldaños de tamaño suficiente y superficie antideslizante.</w:t>
      </w:r>
    </w:p>
    <w:p>
      <w:pPr>
        <w:pStyle w:val="ListBullet"/>
      </w:pPr>
      <w:r>
        <w:t>Poder guardarlo en poco espacio cuando no se utiliza.</w:t>
      </w:r>
    </w:p>
    <w:p>
      <w:pPr>
        <w:pStyle w:val="ListBullet"/>
      </w:pPr>
      <w:r>
        <w:t>Poder llevarlo de una habitación a otra con facilidad, con una sola mano.</w:t>
      </w:r>
    </w:p>
    <w:p>
      <w:pPr>
        <w:pStyle w:val="ListBullet"/>
      </w:pPr>
      <w:r>
        <w:t>Abrirlo y plegarlo de forma rápida e intuitiva, sin riesgo de pillarse los dedos.</w:t>
      </w:r>
    </w:p>
    <w:p>
      <w:pPr>
        <w:pStyle w:val="ListBullet"/>
      </w:pPr>
      <w:r>
        <w:t>Que sea apto para personas mayores, con algún punto de agarre en el que apoyarse.</w:t>
      </w:r>
    </w:p>
    <w:p>
      <w:pPr>
        <w:pStyle w:val="ListBullet"/>
      </w:pPr>
      <w:r>
        <w:t>Que no dañe el suelo ni haga ruido al usarlo o moverlo.</w:t>
      </w:r>
    </w:p>
    <w:p>
      <w:pPr>
        <w:pStyle w:val="ListBullet"/>
      </w:pPr>
      <w:r>
        <w:t>Que sea duradero y que al final de su vida útil se pueda reparar o reciclar.</w:t>
      </w:r>
    </w:p>
    <w:p>
      <w:pPr>
        <w:pStyle w:val="ListBullet"/>
      </w:pPr>
      <w:r>
        <w:t>Que tenga un precio asequible para un producto de uso doméstico.</w:t>
      </w:r>
    </w:p>
    <w:p>
      <w:pPr>
        <w:pStyle w:val="Heading3"/>
      </w:pPr>
      <w:r>
        <w:t>Bibliografía (apartado 1.1)</w:t>
      </w:r>
    </w:p>
    <w:p>
      <w:pPr>
        <w:pStyle w:val="ListNumber"/>
      </w:pPr>
      <w:r>
        <w:t>Instituto Nacional de Estadística (INE). Censo Anual de Población. Primeros resultados 2025. https://www.ine.es/dyngs/Prensa/CensoVariables2025.htm</w:t>
      </w:r>
    </w:p>
    <w:p>
      <w:pPr>
        <w:pStyle w:val="ListNumber"/>
      </w:pPr>
      <w:r>
        <w:t>Ministerio de Sanidad, Servicios Sociales e Igualdad / Instituto Nacional del Consumo. Red de Detección de Accidentes Domésticos y de Ocio (DADO), informe 2011. https://www.sanidad.gob.es/gabinete/notasPrensa.do?id=2714</w:t>
      </w:r>
    </w:p>
    <w:p>
      <w:pPr>
        <w:pStyle w:val="ListNumber"/>
      </w:pPr>
      <w:r>
        <w:t>INSST. NTP 1050: Alcance máximo en el plano sagital. 2015.</w:t>
      </w:r>
    </w:p>
    <w:p>
      <w:pPr>
        <w:pStyle w:val="ListNumber"/>
      </w:pPr>
      <w:r>
        <w:t>INSHT. Datos antropométricos de la población laboral española. 1999.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