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Este reporte presenta la validación del método de valoración por HPLC con detección UV para cuantificar dos principios activos (Activo_1 y Activo_2) en el producto terminado, incluyendo selectividad, linealidad, exactitud, precisión (sistema, método e intermedia), rango, estabilidad de soluciones y fase móvil, y robustez, conforme a ICH Q2(R2).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3DC1847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Tabletas Recubiertas X-200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PRD-TRX-200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79F8BE14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>PV-AN-HPLC-045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Validación de método HPLC para valoración de Activo_1 y Activo_2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>selectividad, linealidad, exactitud, precisión del sistema, precisión del método, precisión intermedia, rango, estabilidad de soluciones, estabilidad de fase móvil, robustez</w:t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PV-AN-HPLC-045</w:t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Con base en los resultados obtenidos, el método analítico cumple con los criterios de aceptación definidos en el protocolo PV-AN-HPLC-045 para todos los parámetros evaluados.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deben observarse picos que coeluyan con los analitos de interés ni interferencias &gt; 2% del área a NMT 0.05 AUFS.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No se evidenciaron interferencias en blanco, excipientes ni placebos.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SI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 ≥ 0.999 y r² ≥ 0.998; intercepto (% de ŷ al 100%) entre -2% y 2%; RSD de factores ≤ 2.0%.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Cumple criterios de correlación, pendiente e intercepto; distribución de residuales aleatoria.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Recuperación media entre 98.0% y 102.0% con RSD ≤ 2.0% por nivel.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en los tres niveles 50–150% para ambos activos.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RSD de áreas ≤ 1.0% (n≥6).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para ambos activos con RSD  0.5%.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RSD del % de contenido ≤ 2.0% (n≥6).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con RSD  1.0% para ambos activos.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Diferencia entre promedios de analistas/días ≤ 2.0% y RSD combinado ≤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Cumple; variación entre analistas y días dentro de límites.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Al menos 50%–150% de la concentración nominal con linealidad, exactitud y precisión aceptables.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Valido de 50% a 150% de la concentración nominal.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Diferencia absoluta de promedios (|di|) ≤ 2.0% respecto a t0.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Estandar estable 8 días; muestra estable 7 días en las condiciones evaluadas.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Parámetros del sistema dentro de límites por ≥ 5 días; ΔT ≤ 0.2 min; RSD áreas ≤ 2.0%.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durante 6 días a temperatura ambiente.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Cambios pequeños en flujo (±10–15%), temperatura (±2 °C), composición (±6%), e inyección (±10%) no afectan criterios del sistema ni resultados.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en todas las variaciones evaluadas.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Muestra PT Lote A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PT-A-001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A00124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CIM-78421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Muestra PT Lote B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PT-B-002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B00224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CIM-78422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Activo_1 RS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F0H321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122345-1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RS-ACT1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 mg/mL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2026-12-31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Activo_2 RS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G9K221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122346-2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RS-ACT2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0.03 mg/mL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2026-11-30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Acetonitrilo HPLC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JT Baker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ACN2405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JT-ACN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2027-05-31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Fosfato Mono/Disódico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PHOS0924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MER-PO4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2028-01-31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Viales HPLC 2 mL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Agilent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5182-0714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VIA0924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Filtros 0.45 µm PVDF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Millex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SLHV033RS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FIL0824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HPLC 1260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EQ-HPLC-1260-07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Agilent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1260 Infinity II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DEAB12345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2025_12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Analítica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EQ-BAL-204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Mettler Toledo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XS204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MTX204778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2025_11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C18, 150×4.6 mm, 5 µm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Phenomenex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00G-4252-E0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PXN55231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COL-0193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Activo_1 y Activo_2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RPT-SEL-2025-09-16.pdf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512345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1313705.1282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80%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0.6240000000000001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825432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1322807.6923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100%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1032543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1323773.0769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120%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0.9359999999999999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1254789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1340586.5385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1543210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1318982.906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0.89%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1324567.0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1500.0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0.9996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0.9992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0.14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r≥0.999; r²≥0.998; |%intercepto|≤2%; RSD factores≤2%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15234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1269500.0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80%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0.019200000000000002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24321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1266718.75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100%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30123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1255125.0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120%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36045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1251562.5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0.036000000000000004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45120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1253333.3333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0.23%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1250000.0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500.0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0.9998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0.9996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1.64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r≥0.999; r²≥0.998; |%intercepto|≤2%; RSD factores≤2%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50%–150%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Activo_1: 0.78 mg/mL; Activo_2: 0.024 mg/mL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RPT-LIN-2025-09-16.pdf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Activo_1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101.3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101.3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 (100%)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99.5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99.5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 (150%)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98.2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98.2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/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Activo_2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101.2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101.2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 (100%)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101.0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101.0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 (150%)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99.3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99.3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>Activo_1 y Activo_2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RPT-EXA-2025-09-16.pdf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Activo_1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301200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302400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303600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304800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306000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307200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0.2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Activo_2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25100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25300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25400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25500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25600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0.3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RPT-PS-2025-09-16.pdf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Activo_1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100.47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100.15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99.89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100.15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100.11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100.42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0.9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 xml:space="preserve"/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Activo_2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100.02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100.71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100.69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100.36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99.26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0.9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RPT-PM-2025-09-16.pdf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 xml:space="preserve"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100.33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100.85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99.35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100.67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99.76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100.63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100.99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101.15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100.86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100.77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1.4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100.6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0.5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/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 xml:space="preserve"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99.96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99.41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98.74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100.64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100.61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101.09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98.92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100.78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98.86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100.91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101.07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99.8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0.6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RPT-PI-2025-09-16.pdf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302000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303000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8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301750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302700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303650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│di│ ≤ 2.0% respecto a t0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25240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25360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5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25105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25230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25355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│di│ ≤ 2.0% respecto a t0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Muestra 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 xml:space="preserve"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300200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301300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7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299020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300140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301260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│di│ ≤ 2.0% respecto a t0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>Las soluciones de muestra se consideran estables por 7 días en las condiciones evaluadas.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RPT-ES-STD-2025-09-16.pdf</w:t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RPT-ES-MTA-2025-09-16.pdf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Activo_1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t0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1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300900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2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301800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3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302700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301200.0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0.4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RSD áreas ≤2.0%; ΔT≤0.2 min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Cumple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/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Día 6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1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300720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5.23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2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301640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5.24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3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302560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5.25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301000.0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5.24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1.12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0.6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RSD áreas ≤2.0%; ΔT≤0.2 min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Cumple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/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/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Se mantiene la adecuabilidad del sistema por 6 días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RPT-EFM-2025-09-16.pdf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EXP-01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28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0.9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18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55:45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EXP-02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30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1.0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20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50:50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EXP-03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32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1.1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22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45:55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</w:tr>
      <w:tr w:rsidR="00020C25" w:rsidRPr="00334440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EXP-01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99.8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100.1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0.3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Parámetros del sistema dentro de límites; diferencias ≤ 2.0%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Cumple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Parámetros del sistema dentro de límites; diferencias ≤ 2.0%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74C31" w14:textId="77777777" w:rsidR="00587816" w:rsidRDefault="00587816">
      <w:r>
        <w:separator/>
      </w:r>
    </w:p>
  </w:endnote>
  <w:endnote w:type="continuationSeparator" w:id="0">
    <w:p w14:paraId="153E7BCC" w14:textId="77777777" w:rsidR="00587816" w:rsidRDefault="00587816">
      <w:r>
        <w:continuationSeparator/>
      </w:r>
    </w:p>
  </w:endnote>
  <w:endnote w:type="continuationNotice" w:id="1">
    <w:p w14:paraId="79A95F27" w14:textId="77777777" w:rsidR="00587816" w:rsidRDefault="00587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AF11" w14:textId="77777777" w:rsidR="0092141C" w:rsidRDefault="00921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C80CF" w14:textId="77777777" w:rsidR="0092141C" w:rsidRDefault="00921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BBE5" w14:textId="77777777" w:rsidR="00587816" w:rsidRDefault="00587816">
      <w:r>
        <w:separator/>
      </w:r>
    </w:p>
  </w:footnote>
  <w:footnote w:type="continuationSeparator" w:id="0">
    <w:p w14:paraId="535A9495" w14:textId="77777777" w:rsidR="00587816" w:rsidRDefault="00587816">
      <w:r>
        <w:continuationSeparator/>
      </w:r>
    </w:p>
  </w:footnote>
  <w:footnote w:type="continuationNotice" w:id="1">
    <w:p w14:paraId="6C854EB6" w14:textId="77777777" w:rsidR="00587816" w:rsidRDefault="00587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6DBD7" w14:textId="77777777" w:rsidR="0092141C" w:rsidRDefault="00921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21088931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>
            <w:rPr>
              <w:b/>
              <w:bCs/>
              <w:color w:val="000000" w:themeColor="text1"/>
              <w:lang w:val="es-CO"/>
            </w:rPr>
            <w:t xml:space="preserve">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A4ADBA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C4FBDCD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>
            <w:rPr>
              <w:b/>
              <w:color w:val="000000" w:themeColor="text1"/>
            </w:rPr>
            <w:t xml:space="preserve"/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DF0BC" w14:textId="77777777" w:rsidR="0092141C" w:rsidRDefault="00921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11C77F9B168489830D88793673908" ma:contentTypeVersion="17" ma:contentTypeDescription="Crear nuevo documento." ma:contentTypeScope="" ma:versionID="a7ded8f009e59d4ff852e8b26d7a152d">
  <xsd:schema xmlns:xsd="http://www.w3.org/2001/XMLSchema" xmlns:xs="http://www.w3.org/2001/XMLSchema" xmlns:p="http://schemas.microsoft.com/office/2006/metadata/properties" xmlns:ns2="c865f1ec-3281-4510-ae01-f935e460beb1" xmlns:ns3="c850680d-9dbb-41f5-8c4e-d2cb17f1df9f" targetNamespace="http://schemas.microsoft.com/office/2006/metadata/properties" ma:root="true" ma:fieldsID="4ec5c40aa09632216605b579240da610" ns2:_="" ns3:_="">
    <xsd:import namespace="c865f1ec-3281-4510-ae01-f935e460beb1"/>
    <xsd:import namespace="c850680d-9dbb-41f5-8c4e-d2cb17f1d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5f1ec-3281-4510-ae01-f935e460b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0680d-9dbb-41f5-8c4e-d2cb17f1d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763629b-5168-42aa-9d54-b51f6e08594c}" ma:internalName="TaxCatchAll" ma:showField="CatchAllData" ma:web="c850680d-9dbb-41f5-8c4e-d2cb17f1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50680d-9dbb-41f5-8c4e-d2cb17f1df9f" xsi:nil="true"/>
    <lcf76f155ced4ddcb4097134ff3c332f xmlns="c865f1ec-3281-4510-ae01-f935e460beb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CAC4-9CC3-4585-AFA9-738F4BFD7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5f1ec-3281-4510-ae01-f935e460beb1"/>
    <ds:schemaRef ds:uri="c850680d-9dbb-41f5-8c4e-d2cb17f1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683A3-F6D1-4820-A0C1-8A71709D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3033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</cp:revision>
  <cp:lastPrinted>2025-08-08T19:29:00Z</cp:lastPrinted>
  <dcterms:created xsi:type="dcterms:W3CDTF">2025-09-16T22:10:00Z</dcterms:created>
  <dcterms:modified xsi:type="dcterms:W3CDTF">2025-09-16T22:20:00Z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0x0101004B611C77F9B168489830D88793673908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