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9F03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9F03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9F03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9F03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9F03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9F03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9F03D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9F03D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9F03D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9F03D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9F03D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9F03D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 xml:space="preserve"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73B0AD47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6EE968F9" w14:textId="77777777" w:rsidR="00800978" w:rsidRDefault="00800978" w:rsidP="00800978">
      <w:r>
        <w:t xml:space="preserve"/>
      </w:r>
    </w:p>
    <w:p w14:paraId="0B6CFA8B" w14:textId="77777777" w:rsidR="00800978" w:rsidRDefault="00800978" w:rsidP="00800978">
      <w:r>
        <w:rPr>
          <w:sz w:val="21"/>
        </w:rPr>
        <w:t xml:space="preserve">Tabla 17. Resultados de estabilidad de la solución estándar de </w:t>
      </w:r>
      <w:proofErr w:type="gramStart"/>
      <w:r>
        <w:rPr>
          <w:b/>
          <w:sz w:val="21"/>
        </w:rPr>
        <w:t xml:space="preserve">ACETAMINOFEN - Solucion Estandar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4"/>
        <w:gridCol w:w="364"/>
        <w:gridCol w:w="128"/>
        <w:gridCol w:w="278"/>
        <w:gridCol w:w="300"/>
        <w:gridCol w:w="171"/>
        <w:gridCol w:w="300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800978" w14:paraId="3D65B0FB" w14:textId="77777777" w:rsidTr="00C17FC2">
        <w:trPr>
          <w:jc w:val="center"/>
        </w:trPr>
        <w:tc>
          <w:tcPr>
            <w:tcW w:w="1928" w:type="dxa"/>
            <w:vAlign w:val="center"/>
          </w:tcPr>
          <w:p w14:paraId="6ED45121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Condición de</w:t>
            </w:r>
            <w:r>
              <w:rPr>
                <w:b/>
                <w:sz w:val="18"/>
              </w:rPr>
              <w:br/>
              <w:t>estabilidad</w:t>
            </w:r>
          </w:p>
        </w:tc>
        <w:tc>
          <w:tcPr>
            <w:tcW w:w="1928" w:type="dxa"/>
            <w:vAlign w:val="center"/>
          </w:tcPr>
          <w:p w14:paraId="62394663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Tiempo de</w:t>
            </w:r>
            <w:r>
              <w:rPr>
                <w:b/>
                <w:sz w:val="18"/>
              </w:rPr>
              <w:br/>
              <w:t>estabilidad</w:t>
            </w:r>
          </w:p>
        </w:tc>
        <w:tc>
          <w:tcPr>
            <w:tcW w:w="680" w:type="dxa"/>
            <w:vAlign w:val="center"/>
          </w:tcPr>
          <w:p w14:paraId="4A4E3747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Réplica</w:t>
            </w:r>
          </w:p>
        </w:tc>
        <w:tc>
          <w:tcPr>
            <w:tcW w:w="1474" w:type="dxa"/>
            <w:vAlign w:val="center"/>
          </w:tcPr>
          <w:p w14:paraId="35AB8D8A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Áreas</w:t>
            </w:r>
          </w:p>
        </w:tc>
        <w:tc>
          <w:tcPr>
            <w:tcW w:w="1587" w:type="dxa"/>
            <w:vAlign w:val="center"/>
          </w:tcPr>
          <w:p w14:paraId="1161AC72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Promedio de</w:t>
            </w:r>
            <w:r>
              <w:rPr>
                <w:b/>
                <w:sz w:val="18"/>
              </w:rPr>
              <w:br/>
              <w:t>Áreas</w:t>
            </w:r>
          </w:p>
        </w:tc>
        <w:tc>
          <w:tcPr>
            <w:tcW w:w="907" w:type="dxa"/>
            <w:vAlign w:val="center"/>
          </w:tcPr>
          <w:p w14:paraId="6B214590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|di| (%)</w:t>
            </w:r>
          </w:p>
        </w:tc>
        <w:tc>
          <w:tcPr>
            <w:tcW w:w="1587" w:type="dxa"/>
            <w:vAlign w:val="center"/>
          </w:tcPr>
          <w:p w14:paraId="76768F55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 xml:space="preserve">Conclusión</w:t>
            </w:r>
          </w:p>
        </w:tc>
      </w:tr>
      <w:tr w:rsidR="00800978" w:rsidRPr="00800978" w14:paraId="0629D7A2" w14:textId="77777777" w:rsidTr="00C17FC2">
        <w:trPr>
          <w:jc w:val="center"/>
        </w:trPr>
        <w:tc>
          <w:tcPr>
            <w:tcW w:w="1928" w:type="dxa"/>
            <w:vAlign w:val="center"/>
          </w:tcPr>
          <w:p w14:paraId="014365D4" w14:textId="77777777" w:rsidR="00800978" w:rsidRDefault="00800978" w:rsidP="00C17FC2">
            <w:r>
              <w:rPr>
                <w:sz w:val="18"/>
              </w:rPr>
              <w:t xml:space="preserve">Condicion 1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>Tiempo Inicial</w:t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1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3113.64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3119.185</w:t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0.0</w:t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Cumple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/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2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3124.73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Condicion 1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>Sample Stability Time 1</w:t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1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3062.14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3061.754</w:t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-1.8769</w:t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Cumple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/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2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3061.367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Condicion 2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>Tiempo Inicial</w:t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1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3090.263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3087.756</w:t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-0.0784</w:t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Pendiente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/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2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3085.249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</w:tr>
      <w:tr w:rsidR="00800978" w14:paraId="0FE5B87F" w14:textId="77777777" w:rsidTr="00C17FC2">
        <w:trPr>
          <w:jc w:val="center"/>
        </w:trPr>
        <w:tc>
          <w:tcPr>
            <w:tcW w:w="1928" w:type="dxa"/>
            <w:vAlign w:val="center"/>
          </w:tcPr>
          <w:p w14:paraId="0E422810" w14:textId="77777777" w:rsidR="00800978" w:rsidRDefault="00800978" w:rsidP="00C17FC2">
            <w:r>
              <w:rPr>
                <w:b/>
                <w:sz w:val="18"/>
              </w:rPr>
              <w:t>Criterio de</w:t>
            </w:r>
            <w:r>
              <w:rPr>
                <w:b/>
                <w:sz w:val="18"/>
              </w:rPr>
              <w:br/>
              <w:t xml:space="preserve">aceptación</w:t>
            </w:r>
          </w:p>
        </w:tc>
        <w:tc>
          <w:tcPr>
            <w:tcW w:w="8163" w:type="dxa"/>
            <w:gridSpan w:val="6"/>
            <w:vAlign w:val="center"/>
          </w:tcPr>
          <w:p w14:paraId="1B07A8DC" w14:textId="77777777" w:rsidR="00800978" w:rsidRDefault="00800978" w:rsidP="00C17FC2">
            <w:r>
              <w:rPr>
                <w:sz w:val="18"/>
              </w:rPr>
              <w:t xml:space="preserve">La solución estándar y la solución muestra se consideran estables hasta un determinado tiempo de análisis, siempre que el porcentaje de cambio sea menor o igual al 2.0 %, o que el porcentaje de similitud se mantenga entre 98.0 % y 102.0 %, en comparación con los resultados del análisis inicial.</w:t>
            </w:r>
          </w:p>
        </w:tc>
      </w:tr>
    </w:tbl>
    <w:p w14:paraId="7AE398EE" w14:textId="77777777" w:rsidR="00800978" w:rsidRDefault="00800978" w:rsidP="00800978"/>
    <w:p w14:paraId="086ED687" w14:textId="77777777" w:rsidR="00800978" w:rsidRDefault="00800978" w:rsidP="00800978">
      <w:r>
        <w:t xml:space="preserve"/>
      </w:r>
    </w:p>
    <w:p w14:paraId="0B6CFA8B" w14:textId="77777777" w:rsidR="00800978" w:rsidRDefault="00800978" w:rsidP="00800978">
      <w:r>
        <w:rPr>
          <w:sz w:val="21"/>
        </w:rPr>
        <w:t xml:space="preserve">Tabla 17. Resultados de estabilidad de la solución estándar de </w:t>
      </w:r>
      <w:proofErr w:type="gramStart"/>
      <w:r>
        <w:rPr>
          <w:b/>
          <w:sz w:val="21"/>
        </w:rPr>
        <w:t xml:space="preserve">HIDROCODONA - Solucion Estandar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5"/>
        <w:gridCol w:w="275"/>
        <w:gridCol w:w="97"/>
        <w:gridCol w:w="210"/>
        <w:gridCol w:w="226"/>
        <w:gridCol w:w="129"/>
        <w:gridCol w:w="226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</w:tblGrid>
      <w:tr w:rsidR="00800978" w14:paraId="3D65B0FB" w14:textId="77777777" w:rsidTr="00C17FC2">
        <w:trPr>
          <w:jc w:val="center"/>
        </w:trPr>
        <w:tc>
          <w:tcPr>
            <w:tcW w:w="1928" w:type="dxa"/>
            <w:vAlign w:val="center"/>
          </w:tcPr>
          <w:p w14:paraId="6ED45121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Condición de</w:t>
            </w:r>
            <w:r>
              <w:rPr>
                <w:b/>
                <w:sz w:val="18"/>
              </w:rPr>
              <w:br/>
              <w:t>estabilidad</w:t>
            </w:r>
          </w:p>
        </w:tc>
        <w:tc>
          <w:tcPr>
            <w:tcW w:w="1928" w:type="dxa"/>
            <w:vAlign w:val="center"/>
          </w:tcPr>
          <w:p w14:paraId="62394663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Tiempo de</w:t>
            </w:r>
            <w:r>
              <w:rPr>
                <w:b/>
                <w:sz w:val="18"/>
              </w:rPr>
              <w:br/>
              <w:t>estabilidad</w:t>
            </w:r>
          </w:p>
        </w:tc>
        <w:tc>
          <w:tcPr>
            <w:tcW w:w="680" w:type="dxa"/>
            <w:vAlign w:val="center"/>
          </w:tcPr>
          <w:p w14:paraId="4A4E3747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Réplica</w:t>
            </w:r>
          </w:p>
        </w:tc>
        <w:tc>
          <w:tcPr>
            <w:tcW w:w="1474" w:type="dxa"/>
            <w:vAlign w:val="center"/>
          </w:tcPr>
          <w:p w14:paraId="35AB8D8A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Áreas</w:t>
            </w:r>
          </w:p>
        </w:tc>
        <w:tc>
          <w:tcPr>
            <w:tcW w:w="1587" w:type="dxa"/>
            <w:vAlign w:val="center"/>
          </w:tcPr>
          <w:p w14:paraId="1161AC72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Promedio de</w:t>
            </w:r>
            <w:r>
              <w:rPr>
                <w:b/>
                <w:sz w:val="18"/>
              </w:rPr>
              <w:br/>
              <w:t>Áreas</w:t>
            </w:r>
          </w:p>
        </w:tc>
        <w:tc>
          <w:tcPr>
            <w:tcW w:w="907" w:type="dxa"/>
            <w:vAlign w:val="center"/>
          </w:tcPr>
          <w:p w14:paraId="6B214590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>|di| (%)</w:t>
            </w:r>
          </w:p>
        </w:tc>
        <w:tc>
          <w:tcPr>
            <w:tcW w:w="1587" w:type="dxa"/>
            <w:vAlign w:val="center"/>
          </w:tcPr>
          <w:p w14:paraId="76768F55" w14:textId="77777777" w:rsidR="00800978" w:rsidRDefault="00800978" w:rsidP="00C17FC2">
            <w:pPr>
              <w:jc w:val="center"/>
            </w:pPr>
            <w:r>
              <w:rPr>
                <w:b/>
                <w:sz w:val="18"/>
              </w:rPr>
              <w:t xml:space="preserve">Conclusión</w:t>
            </w:r>
          </w:p>
        </w:tc>
      </w:tr>
      <w:tr w:rsidR="00800978" w:rsidRPr="00800978" w14:paraId="0629D7A2" w14:textId="77777777" w:rsidTr="00C17FC2">
        <w:trPr>
          <w:jc w:val="center"/>
        </w:trPr>
        <w:tc>
          <w:tcPr>
            <w:tcW w:w="1928" w:type="dxa"/>
            <w:vAlign w:val="center"/>
          </w:tcPr>
          <w:p w14:paraId="014365D4" w14:textId="77777777" w:rsidR="00800978" w:rsidRDefault="00800978" w:rsidP="00C17FC2">
            <w:r>
              <w:rPr>
                <w:sz w:val="18"/>
              </w:rPr>
              <w:t xml:space="preserve">Condicion 1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>Tiempo Inicial</w:t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1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928.691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935.013</w:t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0.6826</w:t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Pendiente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/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2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941.336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Condicion 2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>Tiempo Inicial</w:t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1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943.981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938.372</w:t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0.6002</w:t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Pendiente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/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2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932.763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Condicion 1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>Sample Stability Time 1</w:t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1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927.505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928.355</w:t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-0.1269</w:t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Cumple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/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2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929.206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Condicion 2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>Sample Stability Time 1</w:t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1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936.926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939.346</w:t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-0.2098</w:t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>Cumple</w:t>
            </w:r>
          </w:p>
        </w:tc>
        <w:tc>
          <w:tcPr>
            <w:tcW w:w="1928" w:type="dxa"/>
            <w:vAlign w:val="center"/>
          </w:tcPr>
          <w:p w14:paraId="11A624ED" w14:textId="77777777" w:rsidR="00800978" w:rsidRDefault="00800978" w:rsidP="00C17FC2">
            <w:r>
              <w:rPr>
                <w:sz w:val="18"/>
              </w:rPr>
              <w:t xml:space="preserve"/>
            </w:r>
          </w:p>
        </w:tc>
        <w:tc>
          <w:tcPr>
            <w:tcW w:w="680" w:type="dxa"/>
            <w:vAlign w:val="center"/>
          </w:tcPr>
          <w:p w14:paraId="2DE34056" w14:textId="77777777" w:rsidR="00800978" w:rsidRDefault="00800978" w:rsidP="00C17FC2">
            <w:pPr>
              <w:jc w:val="center"/>
            </w:pPr>
            <w:r>
              <w:rPr>
                <w:sz w:val="18"/>
              </w:rPr>
              <w:t xml:space="preserve">2</w:t>
            </w:r>
          </w:p>
        </w:tc>
        <w:tc>
          <w:tcPr>
            <w:tcW w:w="1474" w:type="dxa"/>
            <w:vAlign w:val="center"/>
          </w:tcPr>
          <w:p w14:paraId="0227F6FB" w14:textId="77777777" w:rsidR="00800978" w:rsidRDefault="00800978" w:rsidP="00C17FC2">
            <w:pPr>
              <w:jc w:val="right"/>
            </w:pPr>
            <w:r>
              <w:rPr>
                <w:sz w:val="18"/>
              </w:rPr>
              <w:t xml:space="preserve">941.766</w:t>
            </w:r>
          </w:p>
        </w:tc>
        <w:tc>
          <w:tcPr>
            <w:tcW w:w="1587" w:type="dxa"/>
            <w:vAlign w:val="center"/>
          </w:tcPr>
          <w:p w14:paraId="523A9AD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907" w:type="dxa"/>
            <w:vAlign w:val="center"/>
          </w:tcPr>
          <w:p w14:paraId="2D530D47" w14:textId="77777777" w:rsidR="00800978" w:rsidRPr="00800978" w:rsidRDefault="00800978" w:rsidP="00C17FC2">
            <w:pPr>
              <w:jc w:val="right"/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  <w:tc>
          <w:tcPr>
            <w:tcW w:w="1587" w:type="dxa"/>
            <w:vAlign w:val="center"/>
          </w:tcPr>
          <w:p w14:paraId="66312373" w14:textId="77777777" w:rsidR="00800978" w:rsidRPr="00800978" w:rsidRDefault="00800978" w:rsidP="00C17FC2">
            <w:pPr>
              <w:rPr>
                <w:lang w:val="en-AU"/>
              </w:rPr>
            </w:pPr>
            <w:r w:rsidRPr="00800978">
              <w:rPr>
                <w:sz w:val="18"/>
                <w:lang w:val="en-AU"/>
              </w:rPr>
              <w:t xml:space="preserve"/>
            </w:r>
          </w:p>
        </w:tc>
      </w:tr>
      <w:tr w:rsidR="00800978" w14:paraId="0FE5B87F" w14:textId="77777777" w:rsidTr="00C17FC2">
        <w:trPr>
          <w:jc w:val="center"/>
        </w:trPr>
        <w:tc>
          <w:tcPr>
            <w:tcW w:w="1928" w:type="dxa"/>
            <w:vAlign w:val="center"/>
          </w:tcPr>
          <w:p w14:paraId="0E422810" w14:textId="77777777" w:rsidR="00800978" w:rsidRDefault="00800978" w:rsidP="00C17FC2">
            <w:r>
              <w:rPr>
                <w:b/>
                <w:sz w:val="18"/>
              </w:rPr>
              <w:t>Criterio de</w:t>
            </w:r>
            <w:r>
              <w:rPr>
                <w:b/>
                <w:sz w:val="18"/>
              </w:rPr>
              <w:br/>
              <w:t xml:space="preserve">aceptación</w:t>
            </w:r>
          </w:p>
        </w:tc>
        <w:tc>
          <w:tcPr>
            <w:tcW w:w="8163" w:type="dxa"/>
            <w:gridSpan w:val="6"/>
            <w:vAlign w:val="center"/>
          </w:tcPr>
          <w:p w14:paraId="1B07A8DC" w14:textId="77777777" w:rsidR="00800978" w:rsidRDefault="00800978" w:rsidP="00C17FC2">
            <w:r>
              <w:rPr>
                <w:sz w:val="18"/>
              </w:rPr>
              <w:t xml:space="preserve">La solución estándar y la solución muestra se consideran estables hasta un determinado tiempo de análisis, siempre que el porcentaje de cambio sea menor o igual al 2.0 %, o que el porcentaje de similitud se mantenga entre 98.0 % y 102.0 %, en comparación con los resultados del análisis inicial.</w:t>
            </w:r>
          </w:p>
        </w:tc>
      </w:tr>
    </w:tbl>
    <w:p w14:paraId="7AE398EE" w14:textId="77777777" w:rsidR="00800978" w:rsidRDefault="00800978" w:rsidP="00800978"/>
    <w:p w14:paraId="086ED687" w14:textId="77777777" w:rsidR="00800978" w:rsidRDefault="00800978" w:rsidP="00800978">
      <w:r>
        <w:t xml:space="preserve"/>
      </w:r>
    </w:p>
    <w:p w14:paraId="5BF46E29" w14:textId="482A870E" w:rsidR="00341BC3" w:rsidRDefault="00341BC3" w:rsidP="00CB649E">
      <w:pPr>
        <w:ind w:left="-11"/>
        <w:jc w:val="both"/>
        <w:rPr>
          <w:b/>
          <w:bCs/>
          <w:lang w:val="es-CO"/>
        </w:rPr>
      </w:pPr>
      <w:bookmarkStart w:id="33" w:name="_GoBack"/>
      <w:bookmarkEnd w:id="33"/>
    </w:p>
    <w:p w14:paraId="228C01F9" w14:textId="77777777" w:rsidR="00341BC3" w:rsidRDefault="00341BC3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6C438A18" w:rsidR="00654DF0" w:rsidRPr="00E20D04" w:rsidRDefault="00524370" w:rsidP="00444BB8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6C438A18" w:rsidR="00654DF0" w:rsidRPr="00E20D04" w:rsidRDefault="00524370" w:rsidP="00444BB8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070D78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F03DF">
            <w:rPr>
              <w:noProof/>
              <w:color w:val="000000" w:themeColor="text1"/>
              <w:lang w:val="es-CO"/>
            </w:rPr>
            <w:t>4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F03DF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0CE428-CD17-4E08-A669-0B37A419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17</Pages>
  <Words>2333</Words>
  <Characters>17744</Characters>
  <Application>Microsoft Office Word</Application>
  <DocSecurity>0</DocSecurity>
  <Lines>147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77</cp:revision>
  <cp:lastPrinted>2025-08-08T19:29:00Z</cp:lastPrinted>
  <dcterms:created xsi:type="dcterms:W3CDTF">2025-09-16T22:10:00Z</dcterms:created>
  <dcterms:modified xsi:type="dcterms:W3CDTF">2025-09-24T02:21:00Z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