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6D" w:rsidRDefault="0005646D" w14:paraId="6A61C2C0" w14:textId="77777777">
      <w:pPr>
        <w:rPr>
          <w:sz w:val="20"/>
          <w:szCs w:val="20"/>
          <w:lang w:val="en-US"/>
        </w:rPr>
      </w:pPr>
    </w:p>
    <w:tbl>
      <w:tblPr>
        <w:tblpPr w:leftFromText="141" w:rightFromText="141" w:vertAnchor="page" w:horzAnchor="margin" w:tblpY="2411"/>
        <w:tblW w:w="10631"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823"/>
        <w:gridCol w:w="6808"/>
      </w:tblGrid>
      <w:tr w:rsidRPr="0005646D" w:rsidR="00990997" w:rsidTr="6026102E" w14:paraId="03F4ED6A" w14:textId="77777777">
        <w:trPr>
          <w:trHeight w:val="680"/>
        </w:trPr>
        <w:tc>
          <w:tcPr>
            <w:tcW w:w="10631" w:type="dxa"/>
            <w:gridSpan w:val="2"/>
            <w:shd w:val="clear" w:color="auto" w:fill="DBE5F1" w:themeFill="accent1" w:themeFillTint="33"/>
            <w:tcMar/>
            <w:vAlign w:val="center"/>
          </w:tcPr>
          <w:p w:rsidRPr="00161EAF" w:rsidR="00990997" w:rsidP="00990997" w:rsidRDefault="00990997" w14:paraId="1000A635" w14:textId="7777777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Pr="003133B2" w:rsidR="00990997" w:rsidTr="6026102E" w14:paraId="4F3BFB3E" w14:textId="77777777">
        <w:trPr>
          <w:trHeight w:val="510"/>
        </w:trPr>
        <w:tc>
          <w:tcPr>
            <w:tcW w:w="3823" w:type="dxa"/>
            <w:tcMar/>
            <w:vAlign w:val="center"/>
          </w:tcPr>
          <w:p w:rsidRPr="00161EAF" w:rsidR="00990997" w:rsidP="00990997" w:rsidRDefault="00990997" w14:paraId="6644AAC9" w14:textId="77777777">
            <w:pPr>
              <w:ind w:left="1440" w:right="-29" w:hanging="1440"/>
              <w:jc w:val="both"/>
              <w:rPr>
                <w:sz w:val="20"/>
                <w:szCs w:val="20"/>
                <w:lang w:val="en-US"/>
              </w:rPr>
            </w:pPr>
            <w:r w:rsidRPr="00161EAF">
              <w:rPr>
                <w:sz w:val="20"/>
                <w:szCs w:val="20"/>
                <w:lang w:val="en-US"/>
              </w:rPr>
              <w:t xml:space="preserve">Product name:</w:t>
            </w:r>
          </w:p>
        </w:tc>
        <w:tc>
          <w:tcPr>
            <w:tcW w:w="6808" w:type="dxa"/>
            <w:tcMar/>
            <w:vAlign w:val="center"/>
          </w:tcPr>
          <w:p w:rsidRPr="00E6410B" w:rsidR="00990997" w:rsidP="00055909" w:rsidRDefault="00990997" w14:paraId="318ED2DB" w14:textId="1376B055">
            <w:pPr>
              <w:ind w:left="-108" w:right="-29"/>
              <w:jc w:val="both"/>
              <w:rPr>
                <w:bCs/>
                <w:iCs/>
                <w:sz w:val="20"/>
                <w:szCs w:val="20"/>
                <w:lang w:val="es-CO"/>
              </w:rPr>
            </w:pPr>
            <w:r w:rsidRPr="001F05D8">
              <w:rPr>
                <w:bCs/>
                <w:iCs/>
                <w:sz w:val="20"/>
                <w:szCs w:val="20"/>
                <w:lang w:val="en-US"/>
              </w:rPr>
              <w:t xml:space="preserve">Oral Solution THC+Melatonin</w:t>
            </w:r>
          </w:p>
        </w:tc>
      </w:tr>
      <w:tr w:rsidRPr="00161EAF" w:rsidR="00990997" w:rsidTr="6026102E" w14:paraId="46632668" w14:textId="77777777">
        <w:trPr>
          <w:trHeight w:val="510"/>
        </w:trPr>
        <w:tc>
          <w:tcPr>
            <w:tcW w:w="3823" w:type="dxa"/>
            <w:tcMar/>
            <w:vAlign w:val="center"/>
          </w:tcPr>
          <w:p w:rsidRPr="00161EAF" w:rsidR="00990997" w:rsidP="00990997" w:rsidRDefault="00990997" w14:paraId="4B2251A4" w14:textId="7777777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tcMar/>
            <w:vAlign w:val="center"/>
          </w:tcPr>
          <w:p w:rsidRPr="00161EAF" w:rsidR="00990997" w:rsidP="6026102E" w:rsidRDefault="00990997" w14:paraId="7EA2CB6E" w14:textId="55D1540D">
            <w:pPr>
              <w:ind w:left="-108" w:right="-29"/>
              <w:jc w:val="both"/>
              <w:rPr>
                <w:sz w:val="20"/>
                <w:szCs w:val="20"/>
                <w:lang w:val="en-GB"/>
              </w:rPr>
            </w:pPr>
            <w:r w:rsidRPr="6026102E" w:rsidR="00990997">
              <w:rPr>
                <w:sz w:val="20"/>
                <w:szCs w:val="20"/>
                <w:lang w:val="en-GB"/>
              </w:rPr>
              <w:t xml:space="preserve">Others</w:t>
            </w:r>
          </w:p>
        </w:tc>
      </w:tr>
      <w:tr w:rsidRPr="00161EAF" w:rsidR="00990997" w:rsidTr="6026102E" w14:paraId="42EE3F09" w14:textId="77777777">
        <w:trPr>
          <w:trHeight w:val="510"/>
        </w:trPr>
        <w:tc>
          <w:tcPr>
            <w:tcW w:w="3823" w:type="dxa"/>
            <w:tcMar/>
            <w:vAlign w:val="center"/>
          </w:tcPr>
          <w:p w:rsidRPr="00161EAF" w:rsidR="00990997" w:rsidP="00990997" w:rsidRDefault="00990997" w14:paraId="64C54FE7" w14:textId="77777777">
            <w:pPr>
              <w:ind w:left="-108" w:right="-29"/>
              <w:jc w:val="both"/>
              <w:rPr>
                <w:sz w:val="20"/>
                <w:szCs w:val="20"/>
                <w:lang w:val="en-US"/>
              </w:rPr>
            </w:pPr>
            <w:r w:rsidRPr="00161EAF">
              <w:rPr>
                <w:sz w:val="20"/>
                <w:szCs w:val="20"/>
                <w:lang w:val="en-US"/>
              </w:rPr>
              <w:t xml:space="preserve">Brand name / Generic name</w:t>
            </w:r>
          </w:p>
        </w:tc>
        <w:tc>
          <w:tcPr>
            <w:tcW w:w="6808" w:type="dxa"/>
            <w:tcMar/>
            <w:vAlign w:val="center"/>
          </w:tcPr>
          <w:p w:rsidRPr="00161EAF" w:rsidR="00990997" w:rsidP="6026102E" w:rsidRDefault="00990997" w14:paraId="00972EE2" w14:textId="522E1E07">
            <w:pPr>
              <w:ind w:left="-108" w:right="-29"/>
              <w:jc w:val="both"/>
              <w:rPr>
                <w:sz w:val="20"/>
                <w:szCs w:val="20"/>
                <w:lang w:val="en-GB"/>
              </w:rPr>
            </w:pPr>
            <w:r w:rsidRPr="6026102E" w:rsidR="00990997">
              <w:rPr>
                <w:sz w:val="20"/>
                <w:szCs w:val="20"/>
                <w:lang w:val="en-GB"/>
              </w:rPr>
              <w:t xml:space="preserve">THC+Melatonin</w:t>
            </w:r>
          </w:p>
        </w:tc>
      </w:tr>
      <w:tr w:rsidRPr="00161EAF" w:rsidR="00990997" w:rsidTr="6026102E" w14:paraId="45785697" w14:textId="77777777">
        <w:trPr>
          <w:trHeight w:val="510"/>
        </w:trPr>
        <w:tc>
          <w:tcPr>
            <w:tcW w:w="3823" w:type="dxa"/>
            <w:tcMar/>
            <w:vAlign w:val="center"/>
          </w:tcPr>
          <w:p w:rsidRPr="00161EAF" w:rsidR="00990997" w:rsidP="00990997" w:rsidRDefault="00990997" w14:paraId="48F5192E" w14:textId="77777777">
            <w:pPr>
              <w:ind w:left="-108" w:right="-29"/>
              <w:jc w:val="both"/>
              <w:rPr>
                <w:sz w:val="20"/>
                <w:szCs w:val="20"/>
                <w:lang w:val="en-US"/>
              </w:rPr>
            </w:pPr>
            <w:r w:rsidRPr="00161EAF">
              <w:rPr>
                <w:sz w:val="20"/>
                <w:szCs w:val="20"/>
                <w:lang w:val="en-US"/>
              </w:rPr>
              <w:t>API(s)</w:t>
            </w:r>
          </w:p>
        </w:tc>
        <w:tc>
          <w:tcPr>
            <w:tcW w:w="6808" w:type="dxa"/>
            <w:tcMar/>
            <w:vAlign w:val="center"/>
          </w:tcPr>
          <w:p w:rsidR="00990997" w:rsidP="00990997" w:rsidRDefault="00990997" w14:paraId="541C7F4F" w14:textId="1EE757AE">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THC</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Melatonin</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tc>
      </w:tr>
      <w:tr w:rsidRPr="00161EAF" w:rsidR="00990997" w:rsidTr="6026102E" w14:paraId="1D68028E" w14:textId="77777777">
        <w:trPr>
          <w:trHeight w:val="510"/>
        </w:trPr>
        <w:tc>
          <w:tcPr>
            <w:tcW w:w="3823" w:type="dxa"/>
            <w:tcMar/>
            <w:vAlign w:val="center"/>
          </w:tcPr>
          <w:p w:rsidRPr="00161EAF" w:rsidR="00990997" w:rsidP="00990997" w:rsidRDefault="00990997" w14:paraId="349EABCF" w14:textId="77777777">
            <w:pPr>
              <w:ind w:left="-108" w:right="-29"/>
              <w:jc w:val="both"/>
              <w:rPr>
                <w:sz w:val="20"/>
                <w:szCs w:val="20"/>
                <w:lang w:val="en-US"/>
              </w:rPr>
            </w:pPr>
            <w:r w:rsidRPr="00161EAF">
              <w:rPr>
                <w:sz w:val="20"/>
                <w:szCs w:val="20"/>
                <w:lang w:val="en-US"/>
              </w:rPr>
              <w:t xml:space="preserve">Strength(s)</w:t>
            </w:r>
          </w:p>
        </w:tc>
        <w:tc>
          <w:tcPr>
            <w:tcW w:w="6808" w:type="dxa"/>
            <w:tcMar/>
            <w:vAlign w:val="center"/>
          </w:tcPr>
          <w:p w:rsidRPr="00161EAF" w:rsidR="00990997" w:rsidP="6026102E" w:rsidRDefault="003D71F8" w14:paraId="39020434" w14:textId="61033296">
            <w:pPr>
              <w:ind w:left="-108" w:right="-29"/>
              <w:jc w:val="both"/>
              <w:rPr>
                <w:sz w:val="20"/>
                <w:szCs w:val="20"/>
                <w:lang w:val="en-GB"/>
              </w:rPr>
            </w:pPr>
            <w:r w:rsidRPr="6026102E" w:rsidR="003D71F8">
              <w:rPr>
                <w:sz w:val="20"/>
                <w:szCs w:val="20"/>
                <w:lang w:val="en-GB"/>
              </w:rPr>
              <w:t xml:space="preserve"/>
            </w:r>
          </w:p>
        </w:tc>
      </w:tr>
      <w:tr w:rsidRPr="00161EAF" w:rsidR="00990997" w:rsidTr="6026102E" w14:paraId="126C133D" w14:textId="77777777">
        <w:trPr>
          <w:trHeight w:val="510"/>
        </w:trPr>
        <w:tc>
          <w:tcPr>
            <w:tcW w:w="3823" w:type="dxa"/>
            <w:tcMar/>
            <w:vAlign w:val="center"/>
          </w:tcPr>
          <w:p w:rsidRPr="00161EAF" w:rsidR="00990997" w:rsidP="00990997" w:rsidRDefault="00990997" w14:paraId="3A36B5E3" w14:textId="77777777">
            <w:pPr>
              <w:ind w:left="-108" w:right="-29"/>
              <w:jc w:val="both"/>
              <w:rPr>
                <w:sz w:val="20"/>
                <w:szCs w:val="20"/>
                <w:lang w:val="en-US"/>
              </w:rPr>
            </w:pPr>
            <w:r w:rsidRPr="00161EAF">
              <w:rPr>
                <w:sz w:val="20"/>
                <w:szCs w:val="20"/>
                <w:lang w:val="en-US"/>
              </w:rPr>
              <w:t xml:space="preserve">Dosage form</w:t>
            </w:r>
          </w:p>
        </w:tc>
        <w:tc>
          <w:tcPr>
            <w:tcW w:w="6808" w:type="dxa"/>
            <w:tcMar/>
            <w:vAlign w:val="center"/>
          </w:tcPr>
          <w:p w:rsidRPr="00161EAF" w:rsidR="00990997" w:rsidP="6026102E" w:rsidRDefault="00990997" w14:paraId="5FEC970F" w14:textId="6A3C8448">
            <w:pPr>
              <w:ind w:right="-29"/>
              <w:jc w:val="both"/>
              <w:rPr>
                <w:sz w:val="20"/>
                <w:szCs w:val="20"/>
                <w:lang w:val="en-GB"/>
              </w:rPr>
            </w:pPr>
            <w:r w:rsidRPr="6026102E" w:rsidR="00990997">
              <w:rPr>
                <w:sz w:val="20"/>
                <w:szCs w:val="20"/>
                <w:lang w:val="en-GB"/>
              </w:rPr>
              <w:t xml:space="preserve">Oral solution</w:t>
            </w:r>
          </w:p>
        </w:tc>
      </w:tr>
      <w:tr w:rsidRPr="00161EAF" w:rsidR="00990997" w:rsidTr="6026102E" w14:paraId="2C3E34CA" w14:textId="77777777">
        <w:trPr>
          <w:trHeight w:val="510"/>
        </w:trPr>
        <w:tc>
          <w:tcPr>
            <w:tcW w:w="3823" w:type="dxa"/>
            <w:tcMar/>
            <w:vAlign w:val="center"/>
          </w:tcPr>
          <w:p w:rsidRPr="00161EAF" w:rsidR="00990997" w:rsidP="00990997" w:rsidRDefault="00990997" w14:paraId="572AB724" w14:textId="77777777">
            <w:pPr>
              <w:ind w:left="-108" w:right="-29"/>
              <w:jc w:val="both"/>
              <w:rPr>
                <w:sz w:val="20"/>
                <w:szCs w:val="20"/>
                <w:lang w:val="en-US"/>
              </w:rPr>
            </w:pPr>
            <w:r w:rsidRPr="00161EAF">
              <w:rPr>
                <w:sz w:val="20"/>
                <w:szCs w:val="20"/>
                <w:lang w:val="en-US"/>
              </w:rPr>
              <w:t xml:space="preserve">Route of administration</w:t>
            </w:r>
          </w:p>
        </w:tc>
        <w:tc>
          <w:tcPr>
            <w:tcW w:w="6808" w:type="dxa"/>
            <w:tcMar/>
            <w:vAlign w:val="center"/>
          </w:tcPr>
          <w:p w:rsidRPr="00161EAF" w:rsidR="00990997" w:rsidP="6026102E" w:rsidRDefault="00990997" w14:paraId="1CC0D1D2" w14:textId="48BD66AD">
            <w:pPr>
              <w:ind w:left="-108" w:right="-29"/>
              <w:jc w:val="both"/>
              <w:rPr>
                <w:sz w:val="20"/>
                <w:szCs w:val="20"/>
                <w:lang w:val="en-GB"/>
              </w:rPr>
            </w:pPr>
            <w:r w:rsidRPr="6026102E" w:rsidR="00990997">
              <w:rPr>
                <w:sz w:val="20"/>
                <w:szCs w:val="20"/>
                <w:lang w:val="en-GB"/>
              </w:rPr>
              <w:t xml:space="preserve">Oral</w:t>
            </w:r>
          </w:p>
        </w:tc>
      </w:tr>
      <w:tr w:rsidRPr="00161EAF" w:rsidR="00990997" w:rsidTr="6026102E" w14:paraId="21C60344" w14:textId="77777777">
        <w:trPr>
          <w:trHeight w:val="510"/>
        </w:trPr>
        <w:tc>
          <w:tcPr>
            <w:tcW w:w="3823" w:type="dxa"/>
            <w:tcMar/>
            <w:vAlign w:val="center"/>
          </w:tcPr>
          <w:p w:rsidRPr="00161EAF" w:rsidR="00990997" w:rsidP="00990997" w:rsidRDefault="00990997" w14:paraId="697BF881" w14:textId="77777777">
            <w:pPr>
              <w:ind w:left="-108" w:right="-29"/>
              <w:jc w:val="both"/>
              <w:rPr>
                <w:sz w:val="20"/>
                <w:szCs w:val="20"/>
                <w:lang w:val="en-US"/>
              </w:rPr>
            </w:pPr>
            <w:r w:rsidRPr="00161EAF">
              <w:rPr>
                <w:sz w:val="20"/>
                <w:szCs w:val="20"/>
                <w:lang w:val="en-US"/>
              </w:rPr>
              <w:t xml:space="preserve">Dose(s)</w:t>
            </w:r>
          </w:p>
        </w:tc>
        <w:tc>
          <w:tcPr>
            <w:tcW w:w="6808" w:type="dxa"/>
            <w:tcMar/>
            <w:vAlign w:val="center"/>
          </w:tcPr>
          <w:p w:rsidRPr="00161EAF" w:rsidR="00990997" w:rsidP="00990997" w:rsidRDefault="00BC4DBE" w14:paraId="53F965DF" w14:textId="352983A6">
            <w:pPr>
              <w:ind w:left="-108" w:right="-29"/>
              <w:jc w:val="both"/>
              <w:rPr>
                <w:sz w:val="20"/>
                <w:szCs w:val="20"/>
                <w:vertAlign w:val="superscript"/>
                <w:lang w:val="en-US"/>
              </w:rPr>
            </w:pPr>
            <w:r>
              <w:rPr>
                <w:sz w:val="20"/>
                <w:szCs w:val="20"/>
                <w:lang w:val="en-US"/>
              </w:rPr>
              <w:t xml:space="preserve">Not applicable</w:t>
            </w:r>
          </w:p>
        </w:tc>
      </w:tr>
      <w:tr w:rsidRPr="00161EAF" w:rsidR="00990997" w:rsidTr="6026102E" w14:paraId="50276D27" w14:textId="77777777">
        <w:trPr>
          <w:trHeight w:val="510"/>
        </w:trPr>
        <w:tc>
          <w:tcPr>
            <w:tcW w:w="3823" w:type="dxa"/>
            <w:tcMar/>
            <w:vAlign w:val="center"/>
          </w:tcPr>
          <w:p w:rsidRPr="00161EAF" w:rsidR="00990997" w:rsidP="00990997" w:rsidRDefault="00990997" w14:paraId="447806B8" w14:textId="7777777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tcMar/>
            <w:vAlign w:val="center"/>
          </w:tcPr>
          <w:p w:rsidRPr="00161EAF" w:rsidR="00990997" w:rsidP="00990997" w:rsidRDefault="00990997" w14:paraId="4BA69177" w14:textId="4DB344E3">
            <w:pPr>
              <w:ind w:left="-108" w:right="-29"/>
              <w:jc w:val="both"/>
              <w:rPr>
                <w:sz w:val="20"/>
                <w:szCs w:val="20"/>
                <w:lang w:val="en-US"/>
              </w:rPr>
            </w:pPr>
            <w:r>
              <w:rPr>
                <w:sz w:val="20"/>
                <w:szCs w:val="20"/>
                <w:lang w:val="en-US"/>
              </w:rPr>
              <w:t xml:space="preserve">Not defined</w:t>
            </w:r>
          </w:p>
        </w:tc>
      </w:tr>
      <w:tr w:rsidRPr="00161EAF" w:rsidR="00990997" w:rsidTr="6026102E" w14:paraId="1AB90057" w14:textId="77777777">
        <w:trPr>
          <w:trHeight w:val="510"/>
        </w:trPr>
        <w:tc>
          <w:tcPr>
            <w:tcW w:w="3823" w:type="dxa"/>
            <w:tcMar/>
            <w:vAlign w:val="center"/>
          </w:tcPr>
          <w:p w:rsidRPr="00161EAF" w:rsidR="00990997" w:rsidP="00990997" w:rsidRDefault="00990997" w14:paraId="139352BA" w14:textId="77777777">
            <w:pPr>
              <w:ind w:left="-108" w:right="-29"/>
              <w:jc w:val="both"/>
              <w:rPr>
                <w:sz w:val="20"/>
                <w:szCs w:val="20"/>
                <w:lang w:val="en-US"/>
              </w:rPr>
            </w:pPr>
            <w:r w:rsidRPr="00161EAF">
              <w:rPr>
                <w:sz w:val="20"/>
                <w:szCs w:val="20"/>
                <w:lang w:val="en-US"/>
              </w:rPr>
              <w:t xml:space="preserve">Type of packaging material</w:t>
            </w:r>
          </w:p>
        </w:tc>
        <w:tc>
          <w:tcPr>
            <w:tcW w:w="6808" w:type="dxa"/>
            <w:tcMar/>
            <w:vAlign w:val="center"/>
          </w:tcPr>
          <w:p w:rsidRPr="00836C8B" w:rsidR="00990997" w:rsidP="00990997" w:rsidRDefault="0056334A" w14:paraId="09018787" w14:textId="56E89806">
            <w:pPr>
              <w:ind w:left="-108" w:right="-29"/>
              <w:jc w:val="both"/>
              <w:rPr>
                <w:sz w:val="20"/>
                <w:szCs w:val="20"/>
                <w:lang w:val="en-US"/>
              </w:rPr>
            </w:pPr>
            <w:r>
              <w:rPr>
                <w:sz w:val="20"/>
                <w:szCs w:val="20"/>
              </w:rPr>
              <w:t xml:space="preserve">60 mL glass bottles</w:t>
            </w:r>
          </w:p>
        </w:tc>
      </w:tr>
      <w:tr w:rsidRPr="00161EAF" w:rsidR="00990997" w:rsidTr="6026102E" w14:paraId="6F7985A6" w14:textId="77777777">
        <w:trPr>
          <w:trHeight w:val="510"/>
        </w:trPr>
        <w:tc>
          <w:tcPr>
            <w:tcW w:w="3823" w:type="dxa"/>
            <w:tcMar/>
            <w:vAlign w:val="center"/>
          </w:tcPr>
          <w:p w:rsidRPr="00161EAF" w:rsidR="00990997" w:rsidP="00990997" w:rsidRDefault="00990997" w14:paraId="464EC938" w14:textId="77777777">
            <w:pPr>
              <w:ind w:left="-108" w:right="-29"/>
              <w:jc w:val="both"/>
              <w:rPr>
                <w:sz w:val="20"/>
                <w:szCs w:val="20"/>
                <w:lang w:val="en-US"/>
              </w:rPr>
            </w:pPr>
            <w:r w:rsidRPr="00161EAF">
              <w:rPr>
                <w:sz w:val="20"/>
                <w:szCs w:val="20"/>
                <w:lang w:val="en-US"/>
              </w:rPr>
              <w:t xml:space="preserve">Commercial presentations</w:t>
            </w:r>
          </w:p>
        </w:tc>
        <w:tc>
          <w:tcPr>
            <w:tcW w:w="6808" w:type="dxa"/>
            <w:tcMar/>
            <w:vAlign w:val="center"/>
          </w:tcPr>
          <w:p w:rsidRPr="00161EAF" w:rsidR="00990997" w:rsidP="00990997" w:rsidRDefault="00990997" w14:paraId="578A4B59" w14:textId="053141C4">
            <w:pPr>
              <w:ind w:left="-108" w:right="-29"/>
              <w:jc w:val="both"/>
              <w:rPr>
                <w:sz w:val="20"/>
                <w:szCs w:val="20"/>
                <w:vertAlign w:val="superscript"/>
                <w:lang w:val="en-US"/>
              </w:rPr>
            </w:pPr>
            <w:r>
              <w:rPr>
                <w:sz w:val="20"/>
                <w:szCs w:val="20"/>
                <w:lang w:val="en-US"/>
              </w:rPr>
              <w:t xml:space="preserve">Not defined</w:t>
            </w:r>
          </w:p>
        </w:tc>
      </w:tr>
      <w:tr w:rsidRPr="00161EAF" w:rsidR="00990997" w:rsidTr="6026102E" w14:paraId="711E8407" w14:textId="77777777">
        <w:trPr>
          <w:trHeight w:val="510"/>
        </w:trPr>
        <w:tc>
          <w:tcPr>
            <w:tcW w:w="3823" w:type="dxa"/>
            <w:tcMar/>
            <w:vAlign w:val="center"/>
          </w:tcPr>
          <w:p w:rsidRPr="00161EAF" w:rsidR="00990997" w:rsidP="00990997" w:rsidRDefault="00990997" w14:paraId="240915DC" w14:textId="77777777">
            <w:pPr>
              <w:ind w:left="-108" w:right="-29"/>
              <w:jc w:val="both"/>
              <w:rPr>
                <w:sz w:val="20"/>
                <w:szCs w:val="20"/>
                <w:lang w:val="en-US"/>
              </w:rPr>
            </w:pPr>
            <w:r w:rsidRPr="00161EAF">
              <w:rPr>
                <w:sz w:val="20"/>
                <w:szCs w:val="20"/>
                <w:lang w:val="en-US"/>
              </w:rPr>
              <w:t xml:space="preserve">Expiration time required </w:t>
            </w:r>
          </w:p>
        </w:tc>
        <w:tc>
          <w:tcPr>
            <w:tcW w:w="6808" w:type="dxa"/>
            <w:tcMar/>
            <w:vAlign w:val="center"/>
          </w:tcPr>
          <w:p w:rsidRPr="00B828F1" w:rsidR="00990997" w:rsidP="6026102E" w:rsidRDefault="00CC0C6A" w14:paraId="0B9869C6" w14:textId="7525E6BC">
            <w:pPr>
              <w:ind w:left="-108" w:right="-29"/>
              <w:jc w:val="both"/>
              <w:rPr>
                <w:sz w:val="20"/>
                <w:szCs w:val="20"/>
                <w:lang w:val="en-GB"/>
              </w:rPr>
            </w:pPr>
            <w:r w:rsidRPr="6026102E" w:rsidR="00CC0C6A">
              <w:rPr>
                <w:sz w:val="20"/>
                <w:szCs w:val="20"/>
                <w:lang w:val="en-GB"/>
              </w:rPr>
              <w:t xml:space="preserve"/>
            </w:r>
          </w:p>
        </w:tc>
      </w:tr>
      <w:tr w:rsidRPr="00161EAF" w:rsidR="00990997" w:rsidTr="6026102E" w14:paraId="5474607D" w14:textId="77777777">
        <w:trPr>
          <w:trHeight w:val="477"/>
        </w:trPr>
        <w:tc>
          <w:tcPr>
            <w:tcW w:w="10631" w:type="dxa"/>
            <w:gridSpan w:val="2"/>
            <w:tcMar/>
          </w:tcPr>
          <w:p w:rsidRPr="00161EAF" w:rsidR="00990997" w:rsidP="00990997" w:rsidRDefault="00990997" w14:paraId="3ABBFC1A" w14:textId="77777777">
            <w:pPr>
              <w:jc w:val="both"/>
              <w:rPr>
                <w:b/>
                <w:bCs/>
                <w:sz w:val="20"/>
                <w:szCs w:val="20"/>
                <w:lang w:val="en-US"/>
              </w:rPr>
            </w:pPr>
            <w:r w:rsidRPr="00161EAF">
              <w:rPr>
                <w:b/>
                <w:bCs/>
                <w:sz w:val="20"/>
                <w:szCs w:val="20"/>
                <w:lang w:val="en-US"/>
              </w:rPr>
              <w:t xml:space="preserve">Observations: </w:t>
            </w:r>
          </w:p>
          <w:p w:rsidRPr="00161EAF" w:rsidR="00990997" w:rsidP="00990997" w:rsidRDefault="00990997" w14:paraId="58C33927" w14:textId="72EB4730">
            <w:pPr>
              <w:spacing w:after="240"/>
              <w:jc w:val="both"/>
              <w:rPr>
                <w:sz w:val="20"/>
                <w:szCs w:val="20"/>
                <w:lang w:val="en-US"/>
              </w:rPr>
            </w:pPr>
            <w:r>
              <w:rPr>
                <w:sz w:val="20"/>
                <w:szCs w:val="20"/>
                <w:lang w:val="en-US"/>
              </w:rPr>
              <w:t xml:space="preserve"/>
            </w:r>
          </w:p>
        </w:tc>
      </w:tr>
    </w:tbl>
    <w:p w:rsidR="00990997" w:rsidP="00990997" w:rsidRDefault="00990997" w14:paraId="0FA674A7" w14:textId="54553DE5">
      <w:pPr>
        <w:rPr>
          <w:sz w:val="20"/>
          <w:szCs w:val="20"/>
          <w:lang w:val="en-US"/>
        </w:rPr>
      </w:pPr>
    </w:p>
    <w:p w:rsidR="00272BBC" w:rsidP="00990997" w:rsidRDefault="0ED71C9A" w14:paraId="65346569" w14:textId="53355876">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Delta-9-Tetrahydrocannabinol (THC)</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 Exhibits multiple polymorphic forms and complex degradation behavior. </w:t>
              <w:br/>
              <w:t xml:space="preserve">• Exists as a naphthoyl ester derivative with eight distinct crystalline forms (A-H). </w:t>
              <w:br/>
              <w:t xml:space="preserve">• Degradation under environmental stress (heat, light, acidic conditions) affects potency and bioavailability. </w:t>
              <w:br/>
              <w:t xml:space="preserve">References: [Veriheal](https://www.veriheal.com/blog/at-what-temperature-does-thc-degrade/)</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Delta-9-THC naphthoyl ester exhibits eight polymorphic forms (designated A-H) as determined by Differential Scanning Calorimetry (DSC), Thermal Gravimetric Analysis (TGA), and Powder X-ray Diffraction (PXRD). Historical studies (e.g., Byrn et al. 1985) support the existence of cannabinoid polymorphism. References: [Hallow et al. 2021](https://jcannabisresearch.biomedcentral.com/articles/10.1186/s42238-022-00131-2), [Byrn et al. 1985](https://www.nature.com/articles/s41598-022-13737-6)</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Quantitative stability data obtained via various HPLC methods indicate recoveries of 100.53 ± 3.12% (external calibration) and 99.3% (RP-HPLC). Further methods (HPLC-UV and HPLC-MS/MS) confirm assay specificity, linearity, and robustness for THC analysis. References: [ScienceDirect](https://www.sciencedirect.com/science/article/pii/S0039914018309214), [Nature](https://www.nature.com/articles/s41598-022-13737-6), [PubMed](https://pubmed.ncbi.nlm.nih.gov/27268223/), [PMC](https://pmc.ncbi.nlm.nih.gov/articles/PMC7819317/)</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Studies on Δ8-THC products reveal impurities such as Cannabidihexol (CBDH), Tetrahydrocannabihexol, 5''-hydroxy-CBD/THC, and Cannabidivarin (CBDV), along with other isomers. Impurities were quantified (up to ~14.76% relative to the Δ8-THC peak) using NMR, HPLC-UV, and MS. References: [ResearchGate](https://www.researchgate.net/publication/368788023_Isolation_and_Characterization_of_Impurities_in_Commercially_Marketed_D8-THC_Products), [PMC](https://pmc.ncbi.nlm.nih.gov/articles/PMC9608670/), [GMP Collective](https://gmpcollective.com/summary-of-isolation-and-characterization-of-impurities-in-commercially-marketed-δ8-thc-products/)</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THC is evaluated according to the Biopharmaceutical Classification System (BCS) based on solubility and permeability. Experimental methods include in vitro solubility tests in buffer systems, Caco-2 permeability assays, and Log P correlations. Approximately 67% of drugs are high-solubility, and permeability data is critical for bioequivalence. References: [Agno Pharmaceuticals](https://agnopharma.com/technical-briefs/biopharmaceutical-classification-system/), [Springer](https://link.springer.com/chapter/10.1007/978-0-387-74901-3_28), [Charles River](https://www.criver.com/products-services/lab-sciences/bcs-classification-biowaivers), [PMC](https://pmc.ncbi.nlm.nih.gov/articles/PMC2782078/)</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Delta-9-Tetrahydrocannabinol (THC)</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None</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THC's moisture absorption characteristics have been studied using oven drying, bench-top moisture analyzers, and water activity measurements via chilled mirror dew point hygrometers and capacitance sensors. The behavior follows Fick's law at relative humidity levels ≤60%, with an activation energy of approximately 0.56 eV. References: [IEEE Xplore](https://ieeexplore.ieee.org/document/5898541), [Technology Networks](https://www.technologynetworks.com/genomics/articles/testing-the-water-the-top-techniques-for-moisture-content-analysis-in-cannabis-390048), [AOAC](https://www.aoac.org/wp-content/uploads/2020/11/Laboratory-Guidance-Drying-Field-Fresh-Hemp-Plant-Samples-in-Preparation-for-Determination-of-Total-THC-on-Dry-Weight-Basis.pdf)</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specific optical rotation of THC is measured using polarimetry to assess its chiral properties and enantiomeric purity. Techniques involve defined concentrations, path length calibration, and may include advanced methods like surface plasmon resonance (SPR) with weak value amplification (WVA) for enhanced sensitivity. References: [Master Organic Chemistry](https://www.masterorganicchemistry.com/2017/02/07/optical-rotation-optical-activity-and-specific-rotation/), [ScienceDirect](https://www.sciencedirect.com/science/article/pii/S2352492820327161), [ACS Publications](https://pubs.acs.org/doi/10.1021/acssensors.0c00346), [NCBI](https://pmc.ncbi.nlm.nih.gov/articles/PMC9607418/), [Science](https://www.science.org/doi/10.1126/sciadv.abm3749)</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THC degradation is initiated at temperatures above 30 °C, with significant degradation observed around 43 °C (exposure for 30 minutes), leading to the formation of cannabinol (CBN) and other by-products. Optimal storage conditions range from 15 to 25 °C. Kinetic studies employing HPLC-DAD and LC-MS/MS confirm first-order degradation kinetics. References: [Veriheal](https://www.veriheal.com/blog/at-what-temperature-does-thc-degrade/), [ResearchGate](https://www.researchgate.net/publication/365019016_Effect_of_temperature_in_the_degradation_of_cannabinoids_From_a_brief_residence_in_the_gas_chromatography_inlet_port_to_a_longer_period_in_thermal_treatments), [Journal of Cannabis Research](https://jcannabisresearch.biomedcentral.com/articles/10.1186/s42238-022-00166-5), [PubMed](https://pubmed.ncbi.nlm.nih.gov/33420535/), [PubMed](https://pubmed.ncbi.nlm.nih.gov/34096805/)</w:t>
            </w:r>
          </w:p>
          <w:p w:rsidRPr="00055909" w:rsidR="27FD9B0B" w:rsidP="003A2A16" w:rsidRDefault="27FD9B0B" w14:paraId="749E79F7" w14:textId="60B32DAA">
            <w:pPr>
              <w:ind w:left="-108" w:right="-29"/>
              <w:rPr>
                <w:sz w:val="20"/>
                <w:szCs w:val="20"/>
              </w:rPr>
            </w:pPr>
            <w:r w:rsidRPr="00055909">
              <w:rPr>
                <w:sz w:val="20"/>
                <w:szCs w:val="20"/>
                <w:lang w:val="en-US"/>
              </w:rPr>
              <w:t xml:space="preserve">While specific Tg values for THC were not reported, literature outlines methods for its determination using DSC, TMA, and DMA. These methods reveal that Tg values are method-dependent and require standardized testing conditions. References: [Mettler Toledo](https://www.mt.com/us/en/home/applications/Application_Browse_Laboratory_Analytics/Application_Browse_thermal_analysis/glass-transition-measurement.html), [ScienceDirect](https://www.sciencedirect.com/science/article/pii/S0009261407005271), [Springer](https://link.springer.com/chapter/10.1007/978-90-481-3150-1_6), [TA Instruments](https://www.tainstruments.com/pdf/literature/TA082.pdf)</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w:t>
            </w:r>
          </w:p>
        </w:tc>
      </w:tr>
    </w:tbl>
    <w:p w:rsidR="00271F9C" w:rsidP="00990997" w:rsidRDefault="4F1753C3" w14:paraId="76D2583F" w14:textId="6C3135F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Melatonin</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73-31-4</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 Two polymorphic forms of a melatonin-piperazine cocrystal (MLT-PIP I and MLT-PIP II) with distinct hydrogen bonding and molecular packing arrangements. </w:t>
              <w:br/>
              <w:t xml:space="preserve">• MLT-PIP I exhibits a melting point of approximately 127.9 °C and higher water solubility (0.4 mg/mL), while MLT-PIP II shows a melting point of approximately 147.0 °C and greater stability but lower water solubility (0.1 mg/mL). </w:t>
              <w:br/>
              <w:t xml:space="preserve">• Recrystallization studies indicate that the active enantiomer is isolated only in the metastable form. </w:t>
              <w:br/>
              <w:t xml:space="preserve">References: https://pubs.acs.org/doi/10.1021/acs.cgd.9b01405, https://pubs.acs.org/doi/abs/10.1021/cg300398a</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Melatonin exhibits low aqueous solubility with variation across solvents at 298.15 K: Methanol (0.03570 g/mL), Ethanol (0.02536 g/mL), n-Propanol (0.01965 g/mL), n-Butanol (0.01524 g/mL), n-Pentanol (0.01450 g/mL), i-Butanol (0.01267 g/mL), n-Hexanol (0.01136 g/mL), Methyl Acetate (0.008498 g/mL), Ethyl Acetate (0.006587 g/mL), n-Propyl Acetate (0.004280 g/mL), n-Butyl Acetate (0.003410 g/mL), and n-Pentyl Acetate (0.002990 g/mL). Additionally, the polymorphs exhibit water solubility values of 0.4 mg/mL (MLT-PIP I) and 0.1 mg/mL (MLT-PIP II). </w:t>
              <w:br/>
              <w:t xml:space="preserve">References: https://pubmed.ncbi.nlm.nih.gov/27865856/, https://www.sciencedirect.com/science/article/pii/S0167732220347164, https://healthinformaticsjournal.com/index.php/IJMI/article/view/733</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MLT-PIP I: 127.9 °C; MLT-PIP II: 147.0 °C</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Two polymorphic forms of a melatonin-piperazine cocrystal are reported: MLT-PIP I, which features specific hydrogen bonding and a melting point of ~127.9 °C with higher water solubility (0.4 mg/mL), and MLT-PIP II, exhibiting different hydrogen bonding patterns, a higher melting point (~147.0 °C), and improved stability with lower water solubility (0.1 mg/mL). Characterization was performed using X-ray Powder Diffraction (PXRD) and Solid-State NMR. </w:t>
              <w:br/>
              <w:t xml:space="preserve">References: https://pubs.acs.org/doi/10.1021/acs.cgd.9b01405, https://pubs.acs.org/doi/abs/10.1021/cg300398a</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None</w:t>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Stability indicators from HPLC studies show melatonin recovery percentages ranging from 98.20% to 99.91%, with additional studies reporting mean recoveries of 100.47% (RSD = 1.25%) and 99.72 ± 0.682%. In capsule formulations, melatonin content was 93.6% ± 4.1% for 0.5 mg capsules and 98.7% ± 6.9% for 6 mg capsules. Analytical methods included RP-HPLC, HPTLC and were validated according to ICH guidelines. </w:t>
              <w:br/>
              <w:t xml:space="preserve">References: https://www.researchgate.net/publication/383711992_Development_of_RP-HPLC_methods_for_the_analysis_of_melatonin_alone_and_in_combination_with_sleep-enhancing_dietary_supplements, https://pmc.ncbi.nlm.nih.gov/articles/PMC5790749/, https://files.shroomery.org/attachments/20383466-HPTLC+Method+for+the+Analysis+of+Melatonin.pdf, https://pmc.ncbi.nlm.nih.gov/articles/PMC5790709/</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Identified impurities of Melatonin include: </w:t>
              <w:br/>
              <w:t xml:space="preserve">- Impurity A: CAS 50-67-9, Chemical Formula C10H12N2O, Molecular Weight 176.22</w:t>
              <w:br/>
              <w:t xml:space="preserve">- Impurity B: CAS 1210-83-9, Chemical Formula C12H14N2O2, Molecular Weight 218.25</w:t>
              <w:br/>
              <w:t xml:space="preserve">- Impurity C: CAS 608-07-1, Chemical Formula C11H14N2O, Molecular Weight 190.24</w:t>
              <w:br/>
              <w:t xml:space="preserve">- Impurity D: CAS 28026-16-6, Chemical Formula C14H16N2O3, Molecular Weight 260.29</w:t>
              <w:br/>
              <w:t xml:space="preserve">Additional impurities include 6-Hydroxy Melatonin (CAS 2208-41-5, C13H16N2O3, MW 248.28) and N-(2-(5-Methoxy-1-nitroso-1H-indol-3-yl)ethyl)acetamide (CAS 278783-22-5, C13H15N3O3, MW 261.28). </w:t>
              <w:br/>
              <w:t xml:space="preserve">References: https://www.pharmaffiliates.com/en/parentapi/melatonin-impurities, https://www.synzeal.com/en/melatonin-ep-impurity-c-2, https://www.lgcstandards.com/FM/en/Melatonin-Assay-Standard/p/BP+1077</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Melatonin is classified as a BCS Class II drug, which indicates low water solubility and high permeability. It has a very short half-life and variable bioavailability that poses challenges for its therapeutic use. </w:t>
              <w:br/>
              <w:t xml:space="preserve">Reference: https://healthinformaticsjournal.com/index.php/IJMI/article/view/733</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C13H16N2O2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None</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Studies indicate that melatonin exhibits hygroscopic behavior. Infrared spectroscopy identifies water absorption bands between 3050-2800 cm-1. Quantitative measurements in tea show moisture content ranging from 3.7 g/kg to 196 g/kg with relative expanded uncertainties between 28% and 40%. </w:t>
              <w:br/>
              <w:t xml:space="preserve">References: https://pubmed.ncbi.nlm.nih.gov/39466022/, https://www.sciencedirect.com/science/article/pii/S0022286006009859, https://pubmed.ncbi.nlm.nih.gov/32183489/</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Melatonin, as a chiral molecule, displays specific optical rotation measurable by polarimetry in solvents such as chloroform. This property is essential for assessing enantiomeric purity and differentiating between enantiomers. </w:t>
              <w:br/>
              <w:t xml:space="preserve">References: https://www.sciencedirect.com/science/article/pii/S1386142519306791, https://pubmed.ncbi.nlm.nih.gov/9856945/, https://www.sciencedirect.com/science/article/pii/S0167732217348638, https://www.ncbi.nlm.nih.gov/pmc/articles/PMC9166628/, https://pmc.ncbi.nlm.nih.gov/articles/PMC9900718/</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Thermal degradation studies of melatonin show first-order kinetics with degradation rate constants of 0.027 at 60 °C, 0.082 at 70 °C, 0.123 at 80 °C, and 0.175 at 90 °C. At 90 °C, the half-life is approximately 4.1 hours. Degradation is further accelerated by light exposure via photo-oxidation, as studied using LC-MS/MS and HPTLC under various pH conditions (1 to 13). </w:t>
              <w:br/>
              <w:t xml:space="preserve">References: https://www.sciencedirect.com/science/article/pii/S240584402030493X, https://pubmed.ncbi.nlm.nih.gov/32258489/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rsidRPr="00055909" w:rsidR="27FD9B0B" w:rsidP="003A2A16" w:rsidRDefault="27FD9B0B" w14:paraId="749E79F7" w14:textId="60B32DAA">
            <w:pPr>
              <w:ind w:left="-108" w:right="-29"/>
              <w:rPr>
                <w:sz w:val="20"/>
                <w:szCs w:val="20"/>
              </w:rPr>
            </w:pPr>
            <w:r w:rsidRPr="00055909">
              <w:rPr>
                <w:sz w:val="20"/>
                <w:szCs w:val="20"/>
                <w:lang w:val="en-US"/>
              </w:rPr>
              <w:t xml:space="preserve">The glass transition temperature (Tg) of melatonin has been evaluated using Differential Scanning Calorimetry (DSC), Temperature-Modulated DSC (TMDSC), Dynamic Mechanical Thermal Analysis (DMTA), and dilatometry. DSC measurements typically use a heating rate of 10 K/min, though reported Tg values vary with sample preparation and methodology. </w:t>
              <w:br/>
              <w:t xml:space="preserve">References: https://link.springer.com/article/10.1007/s10973-009-0268-0, https://glassproperties.com/tg/, https://link.springer.com/chapter/10.1007/978-90-481-3150-1_6, https://www.sciencedirect.com/science/article/abs/pii/S0378517311010453, https://www.sciencedirect.com/science/article/pii/S0009261407005271</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w:t>
            </w:r>
          </w:p>
        </w:tc>
      </w:tr>
    </w:tbl>
    <w:p w:rsidR="00271F9C" w:rsidP="00990997" w:rsidRDefault="4F1753C3" w14:paraId="76D2583F" w14:textId="6C3135F7">
      <w:pPr>
        <w:rPr>
          <w:sz w:val="20"/>
          <w:szCs w:val="20"/>
          <w:lang w:val="en-US"/>
        </w:rPr>
      </w:pPr>
      <w:r w:rsidRPr="296F1118">
        <w:rPr>
          <w:sz w:val="20"/>
          <w:szCs w:val="20"/>
          <w:lang w:val="en-US"/>
        </w:rPr>
        <w:t xml:space="preserve"/>
      </w:r>
    </w:p>
    <w:p w:rsidR="00271F9C" w:rsidP="00990997" w:rsidRDefault="00271F9C" w14:paraId="5FD46460" w14:textId="77777777">
      <w:pPr>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DE1B19" w:rsidTr="0061378D" w14:paraId="707EE86F" w14:textId="77777777">
        <w:trPr>
          <w:trHeight w:val="363"/>
          <w:tblHeader/>
          <w:jc w:val="center"/>
        </w:trPr>
        <w:tc>
          <w:tcPr>
            <w:tcW w:w="10705" w:type="dxa"/>
            <w:gridSpan w:val="2"/>
            <w:tcBorders>
              <w:bottom w:val="dotted" w:color="auto" w:sz="4" w:space="0"/>
            </w:tcBorders>
            <w:shd w:val="clear" w:color="auto" w:fill="DBE5F1"/>
            <w:vAlign w:val="center"/>
          </w:tcPr>
          <w:p w:rsidRPr="00161EAF" w:rsidR="00DE1B19" w:rsidP="004B51B5" w:rsidRDefault="00096B31" w14:paraId="41623B04" w14:textId="5F223353">
            <w:pPr>
              <w:pStyle w:val="Prrafodelista"/>
              <w:numPr>
                <w:ilvl w:val="0"/>
                <w:numId w:val="7"/>
              </w:numPr>
              <w:ind w:right="-29"/>
              <w:rPr>
                <w:b/>
                <w:sz w:val="20"/>
                <w:szCs w:val="20"/>
                <w:lang w:val="en-US"/>
              </w:rPr>
            </w:pPr>
            <w:r w:rsidRPr="00161EAF">
              <w:rPr>
                <w:b/>
                <w:sz w:val="20"/>
                <w:szCs w:val="20"/>
                <w:lang w:val="en-US"/>
              </w:rPr>
              <w:t>AN</w:t>
            </w:r>
            <w:r w:rsidRPr="00161EAF" w:rsidR="00504038">
              <w:rPr>
                <w:b/>
                <w:sz w:val="20"/>
                <w:szCs w:val="20"/>
                <w:lang w:val="en-US"/>
              </w:rPr>
              <w:t>NEXES</w:t>
            </w:r>
          </w:p>
        </w:tc>
      </w:tr>
      <w:tr w:rsidRPr="00161EAF" w:rsidR="008C6921" w:rsidTr="008C6921" w14:paraId="0EE123BD" w14:textId="36480F16">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8C6921" w14:paraId="2D2566AF" w14:textId="084B5965">
            <w:pPr>
              <w:pStyle w:val="Prrafodelista"/>
              <w:ind w:left="-262" w:right="-29"/>
              <w:jc w:val="center"/>
              <w:rPr>
                <w:b/>
                <w:sz w:val="16"/>
                <w:szCs w:val="16"/>
                <w:lang w:val="en-US"/>
              </w:rPr>
            </w:pPr>
            <w:r w:rsidRPr="00161EAF">
              <w:rPr>
                <w:b/>
                <w:sz w:val="16"/>
                <w:szCs w:val="16"/>
                <w:lang w:val="en-US"/>
              </w:rPr>
              <w:t>AN</w:t>
            </w:r>
            <w:r w:rsidRPr="00161EAF" w:rsidR="00504038">
              <w:rPr>
                <w:b/>
                <w:sz w:val="16"/>
                <w:szCs w:val="16"/>
                <w:lang w:val="en-US"/>
              </w:rPr>
              <w:t>NEX</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E311D1" w:rsidRDefault="008C6921" w14:paraId="05777E3C" w14:textId="50FAA523">
            <w:pPr>
              <w:ind w:right="-29"/>
              <w:jc w:val="center"/>
              <w:rPr>
                <w:b/>
                <w:sz w:val="16"/>
                <w:szCs w:val="16"/>
                <w:lang w:val="en-US"/>
              </w:rPr>
            </w:pPr>
            <w:r w:rsidRPr="00161EAF">
              <w:rPr>
                <w:b/>
                <w:sz w:val="16"/>
                <w:szCs w:val="16"/>
                <w:lang w:val="en-US"/>
              </w:rPr>
              <w:t>DESCRIP</w:t>
            </w:r>
            <w:r w:rsidRPr="00161EAF" w:rsidR="00504038">
              <w:rPr>
                <w:b/>
                <w:sz w:val="16"/>
                <w:szCs w:val="16"/>
                <w:lang w:val="en-US"/>
              </w:rPr>
              <w:t>TION</w:t>
            </w:r>
          </w:p>
        </w:tc>
      </w:tr>
      <w:tr w:rsidRPr="00161EAF" w:rsidR="008C6921" w:rsidTr="008C6921" w14:paraId="6B4968F4" w14:textId="25ACB1A5">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D10F39" w14:paraId="14DFDDB7" w14:textId="017E32C3">
            <w:pPr>
              <w:pStyle w:val="Prrafodelista"/>
              <w:ind w:left="-262" w:right="-29"/>
              <w:jc w:val="center"/>
              <w:rPr>
                <w:bCs/>
                <w:sz w:val="16"/>
                <w:szCs w:val="16"/>
                <w:lang w:val="en-US"/>
              </w:rPr>
            </w:pPr>
            <w:r w:rsidRPr="00161EAF">
              <w:rPr>
                <w:bCs/>
                <w:sz w:val="16"/>
                <w:szCs w:val="16"/>
                <w:lang w:val="en-US"/>
              </w:rPr>
              <w:t>1</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34107D" w:rsidRDefault="00E311D1" w14:paraId="6D27BC5D" w14:textId="03705838">
            <w:pPr>
              <w:pStyle w:val="Prrafodelista"/>
              <w:ind w:left="37" w:right="-29" w:hanging="37"/>
              <w:jc w:val="center"/>
              <w:rPr>
                <w:bCs/>
                <w:sz w:val="16"/>
                <w:szCs w:val="16"/>
                <w:lang w:val="en-US"/>
              </w:rPr>
            </w:pPr>
            <w:r w:rsidRPr="00161EAF">
              <w:rPr>
                <w:sz w:val="20"/>
                <w:szCs w:val="20"/>
                <w:lang w:val="en-US"/>
              </w:rPr>
              <w:t>IHL-42X formulation brief</w:t>
            </w:r>
            <w:r w:rsidRPr="00161EAF" w:rsidR="006C68C0">
              <w:rPr>
                <w:sz w:val="20"/>
                <w:szCs w:val="20"/>
                <w:lang w:val="en-US"/>
              </w:rPr>
              <w:t xml:space="preserve"> August 2021</w:t>
            </w:r>
          </w:p>
        </w:tc>
      </w:tr>
    </w:tbl>
    <w:p w:rsidRPr="00161EAF" w:rsidR="00DE1B19" w:rsidP="005C3229" w:rsidRDefault="00DE1B19" w14:paraId="3186A2C8" w14:textId="470DA7F3">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CB2C8E" w:rsidTr="0061378D" w14:paraId="7CB796D3" w14:textId="77777777">
        <w:trPr>
          <w:trHeight w:val="381"/>
          <w:tblHeader/>
          <w:jc w:val="center"/>
        </w:trPr>
        <w:tc>
          <w:tcPr>
            <w:tcW w:w="10705" w:type="dxa"/>
            <w:gridSpan w:val="2"/>
            <w:tcBorders>
              <w:bottom w:val="dotted" w:color="auto" w:sz="4" w:space="0"/>
            </w:tcBorders>
            <w:shd w:val="clear" w:color="auto" w:fill="DBE5F1"/>
            <w:vAlign w:val="center"/>
          </w:tcPr>
          <w:p w:rsidRPr="00161EAF" w:rsidR="00CB2C8E" w:rsidP="004B51B5" w:rsidRDefault="00504038" w14:paraId="428829C7" w14:textId="2FA23CE8">
            <w:pPr>
              <w:pStyle w:val="Prrafodelista"/>
              <w:numPr>
                <w:ilvl w:val="0"/>
                <w:numId w:val="7"/>
              </w:numPr>
              <w:ind w:right="-29"/>
              <w:rPr>
                <w:b/>
                <w:sz w:val="20"/>
                <w:szCs w:val="20"/>
                <w:lang w:val="en-US"/>
              </w:rPr>
            </w:pPr>
            <w:r w:rsidRPr="00161EAF">
              <w:rPr>
                <w:b/>
                <w:sz w:val="20"/>
                <w:szCs w:val="20"/>
                <w:lang w:val="en-US"/>
              </w:rPr>
              <w:t>RELATED DOCUMENTS</w:t>
            </w:r>
          </w:p>
        </w:tc>
      </w:tr>
      <w:tr w:rsidRPr="00161EAF" w:rsidR="00CB2C8E" w:rsidTr="00B1718F" w14:paraId="60D9306A" w14:textId="77777777">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B1718F" w:rsidRDefault="00CB2C8E" w14:paraId="2A220D32" w14:textId="0EE94FAF">
            <w:pPr>
              <w:pStyle w:val="Prrafodelista"/>
              <w:ind w:left="-262" w:right="-29"/>
              <w:jc w:val="center"/>
              <w:rPr>
                <w:b/>
                <w:sz w:val="20"/>
                <w:szCs w:val="20"/>
                <w:lang w:val="en-US"/>
              </w:rPr>
            </w:pPr>
            <w:r w:rsidRPr="00161EAF">
              <w:rPr>
                <w:b/>
                <w:sz w:val="20"/>
                <w:szCs w:val="20"/>
                <w:lang w:val="en-US"/>
              </w:rPr>
              <w:t>COD</w:t>
            </w:r>
            <w:r w:rsidRPr="00161EAF" w:rsidR="00504038">
              <w:rPr>
                <w:b/>
                <w:sz w:val="20"/>
                <w:szCs w:val="20"/>
                <w:lang w:val="en-US"/>
              </w:rPr>
              <w:t>E</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B1718F" w:rsidRDefault="00CB2C8E" w14:paraId="77610A68" w14:textId="1879E48E">
            <w:pPr>
              <w:pStyle w:val="Prrafodelista"/>
              <w:ind w:left="360" w:right="-29"/>
              <w:jc w:val="center"/>
              <w:rPr>
                <w:b/>
                <w:sz w:val="20"/>
                <w:szCs w:val="20"/>
                <w:lang w:val="en-US"/>
              </w:rPr>
            </w:pPr>
            <w:r w:rsidRPr="00161EAF">
              <w:rPr>
                <w:b/>
                <w:sz w:val="20"/>
                <w:szCs w:val="20"/>
                <w:lang w:val="en-US"/>
              </w:rPr>
              <w:t>DESCRIP</w:t>
            </w:r>
            <w:r w:rsidRPr="00161EAF" w:rsidR="00504038">
              <w:rPr>
                <w:b/>
                <w:sz w:val="20"/>
                <w:szCs w:val="20"/>
                <w:lang w:val="en-US"/>
              </w:rPr>
              <w:t>TION</w:t>
            </w:r>
          </w:p>
        </w:tc>
      </w:tr>
      <w:tr w:rsidRPr="00161EAF" w:rsidR="002C3A4B" w:rsidTr="00B1718F" w14:paraId="548F1055"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2C3A4B" w:rsidP="003433F1" w:rsidRDefault="002C3A4B" w14:paraId="76F2D45F" w14:textId="38FBBA2D">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2C3A4B" w:rsidP="00AB224B" w:rsidRDefault="002C3A4B" w14:paraId="5CCA3639" w14:textId="1608B235">
            <w:pPr>
              <w:pStyle w:val="Prrafodelista"/>
              <w:ind w:left="37" w:right="-29" w:hanging="37"/>
              <w:jc w:val="center"/>
              <w:rPr>
                <w:bCs/>
                <w:sz w:val="20"/>
                <w:szCs w:val="20"/>
                <w:lang w:val="en-US"/>
              </w:rPr>
            </w:pPr>
          </w:p>
        </w:tc>
      </w:tr>
      <w:tr w:rsidRPr="00161EAF" w:rsidR="00CB2C8E" w:rsidTr="00B1718F" w14:paraId="724D62D2"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07233D6F" w14:textId="1D935A4B">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AB224B" w:rsidRDefault="00CB2C8E" w14:paraId="6DF88684" w14:textId="63FCE487">
            <w:pPr>
              <w:pStyle w:val="Prrafodelista"/>
              <w:ind w:left="37" w:right="-29" w:hanging="37"/>
              <w:jc w:val="center"/>
              <w:rPr>
                <w:bCs/>
                <w:sz w:val="20"/>
                <w:szCs w:val="20"/>
                <w:lang w:val="en-US"/>
              </w:rPr>
            </w:pPr>
          </w:p>
        </w:tc>
      </w:tr>
      <w:tr w:rsidRPr="00161EAF" w:rsidR="00CB2C8E" w:rsidTr="00B1718F" w14:paraId="74583FD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1DD50FA6" w14:textId="2CD25F00">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6821C5" w:rsidRDefault="00CB2C8E" w14:paraId="11C60270" w14:textId="1A512999">
            <w:pPr>
              <w:pStyle w:val="Prrafodelista"/>
              <w:ind w:left="37" w:right="-29" w:hanging="37"/>
              <w:jc w:val="center"/>
              <w:rPr>
                <w:bCs/>
                <w:sz w:val="20"/>
                <w:szCs w:val="20"/>
                <w:lang w:val="en-US"/>
              </w:rPr>
            </w:pPr>
          </w:p>
        </w:tc>
      </w:tr>
      <w:tr w:rsidRPr="00161EAF" w:rsidR="00CB2C8E" w:rsidTr="00B1718F" w14:paraId="4C4C6486"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78958A3E" w14:textId="274F6B41">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1F13FC" w:rsidRDefault="00CB2C8E" w14:paraId="1BE571D3" w14:textId="36B58B3B">
            <w:pPr>
              <w:pStyle w:val="Prrafodelista"/>
              <w:ind w:left="37" w:right="-29" w:hanging="37"/>
              <w:jc w:val="center"/>
              <w:rPr>
                <w:bCs/>
                <w:sz w:val="20"/>
                <w:szCs w:val="20"/>
                <w:lang w:val="en-US"/>
              </w:rPr>
            </w:pPr>
          </w:p>
        </w:tc>
      </w:tr>
      <w:tr w:rsidRPr="00161EAF" w:rsidR="003433F1" w:rsidTr="00B1718F" w14:paraId="0A6A5E4C"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642E32FA" w14:textId="59FBAE02">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5B669B8D" w14:textId="6DAB1632">
            <w:pPr>
              <w:ind w:right="-29"/>
              <w:jc w:val="center"/>
              <w:rPr>
                <w:bCs/>
                <w:sz w:val="20"/>
                <w:szCs w:val="20"/>
                <w:lang w:val="en-US"/>
              </w:rPr>
            </w:pPr>
          </w:p>
        </w:tc>
      </w:tr>
      <w:tr w:rsidRPr="00161EAF" w:rsidR="003433F1" w:rsidTr="00B1718F" w14:paraId="3DD8F5B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4F6C2D74" w14:textId="71295701">
            <w:pPr>
              <w:ind w:right="-29"/>
              <w:rPr>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04189356" w14:textId="577F6C1B">
            <w:pPr>
              <w:ind w:right="-29"/>
              <w:jc w:val="center"/>
              <w:rPr>
                <w:sz w:val="20"/>
                <w:szCs w:val="20"/>
                <w:lang w:val="en-US"/>
              </w:rPr>
            </w:pPr>
          </w:p>
        </w:tc>
      </w:tr>
    </w:tbl>
    <w:p w:rsidRPr="00161EAF" w:rsidR="008C4843" w:rsidP="005C3229" w:rsidRDefault="008C4843" w14:paraId="428D6CC2" w14:textId="77777777">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0705"/>
      </w:tblGrid>
      <w:tr w:rsidRPr="00161EAF" w:rsidR="00664C3A" w:rsidTr="0061378D" w14:paraId="69682B3D" w14:textId="77777777">
        <w:trPr>
          <w:trHeight w:val="419"/>
          <w:jc w:val="center"/>
        </w:trPr>
        <w:tc>
          <w:tcPr>
            <w:tcW w:w="10705" w:type="dxa"/>
            <w:shd w:val="clear" w:color="auto" w:fill="DBE5F1"/>
            <w:vAlign w:val="center"/>
          </w:tcPr>
          <w:p w:rsidRPr="00161EAF" w:rsidR="00664C3A" w:rsidP="004B51B5" w:rsidRDefault="00664C3A" w14:paraId="3DAE7917" w14:textId="4F4D062C">
            <w:pPr>
              <w:pStyle w:val="Prrafodelista"/>
              <w:numPr>
                <w:ilvl w:val="0"/>
                <w:numId w:val="7"/>
              </w:numPr>
              <w:ind w:right="-29"/>
              <w:rPr>
                <w:b/>
                <w:sz w:val="20"/>
                <w:szCs w:val="20"/>
                <w:lang w:val="en-US"/>
              </w:rPr>
            </w:pPr>
            <w:r w:rsidRPr="00161EAF">
              <w:rPr>
                <w:b/>
                <w:sz w:val="20"/>
                <w:szCs w:val="20"/>
                <w:lang w:val="en-US"/>
              </w:rPr>
              <w:t>AUT</w:t>
            </w:r>
            <w:r w:rsidRPr="00161EAF" w:rsidR="00504038">
              <w:rPr>
                <w:b/>
                <w:sz w:val="20"/>
                <w:szCs w:val="20"/>
                <w:lang w:val="en-US"/>
              </w:rPr>
              <w:t>HORIZATIONS</w:t>
            </w:r>
          </w:p>
        </w:tc>
      </w:tr>
    </w:tbl>
    <w:p w:rsidRPr="00161EAF" w:rsidR="00664C3A" w:rsidP="00664C3A" w:rsidRDefault="00664C3A" w14:paraId="5C4FB2BA" w14:textId="77777777">
      <w:pPr>
        <w:tabs>
          <w:tab w:val="left" w:pos="2385"/>
        </w:tabs>
        <w:ind w:right="-29"/>
        <w:rPr>
          <w:sz w:val="20"/>
          <w:szCs w:val="20"/>
          <w:lang w:val="en-US"/>
        </w:rPr>
      </w:pPr>
    </w:p>
    <w:tbl>
      <w:tblPr>
        <w:tblStyle w:val="Tablaconcuadrcula"/>
        <w:tblW w:w="10672" w:type="dxa"/>
        <w:tblInd w:w="-289"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874"/>
        <w:gridCol w:w="1368"/>
        <w:gridCol w:w="1563"/>
        <w:gridCol w:w="874"/>
        <w:gridCol w:w="1559"/>
        <w:gridCol w:w="1596"/>
        <w:gridCol w:w="874"/>
        <w:gridCol w:w="1964"/>
      </w:tblGrid>
      <w:tr w:rsidRPr="00161EAF" w:rsidR="005C0C7B" w:rsidTr="00AF74D1" w14:paraId="25D02103" w14:textId="77777777">
        <w:trPr>
          <w:trHeight w:val="463"/>
        </w:trPr>
        <w:tc>
          <w:tcPr>
            <w:tcW w:w="3805" w:type="dxa"/>
            <w:gridSpan w:val="3"/>
            <w:vAlign w:val="center"/>
          </w:tcPr>
          <w:p w:rsidRPr="00161EAF" w:rsidR="005C0C7B" w:rsidP="00390899" w:rsidRDefault="005C0C7B" w14:paraId="4272780A" w14:textId="5F7A20DD">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rsidRPr="00161EAF" w:rsidR="005C0C7B" w:rsidP="00390899" w:rsidRDefault="005C0C7B" w14:paraId="70CAB73B" w14:textId="4BFD94A2">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rsidRPr="00161EAF" w:rsidR="005C0C7B" w:rsidP="00390899" w:rsidRDefault="005C0C7B" w14:paraId="35FC297B" w14:textId="39579A64">
            <w:pPr>
              <w:tabs>
                <w:tab w:val="left" w:pos="2385"/>
              </w:tabs>
              <w:ind w:right="-29"/>
              <w:jc w:val="center"/>
              <w:rPr>
                <w:b/>
                <w:bCs/>
                <w:sz w:val="16"/>
                <w:szCs w:val="16"/>
                <w:lang w:val="en-US"/>
              </w:rPr>
            </w:pPr>
            <w:r w:rsidRPr="00161EAF">
              <w:rPr>
                <w:b/>
                <w:bCs/>
                <w:sz w:val="16"/>
                <w:szCs w:val="16"/>
                <w:lang w:val="en-US"/>
              </w:rPr>
              <w:t>APPROVED BY:</w:t>
            </w:r>
          </w:p>
        </w:tc>
      </w:tr>
      <w:tr w:rsidRPr="00161EAF" w:rsidR="005C0C7B" w:rsidTr="00AF74D1" w14:paraId="73D9552F" w14:textId="77777777">
        <w:trPr>
          <w:trHeight w:val="346"/>
        </w:trPr>
        <w:tc>
          <w:tcPr>
            <w:tcW w:w="874" w:type="dxa"/>
            <w:vAlign w:val="center"/>
          </w:tcPr>
          <w:p w:rsidRPr="00161EAF" w:rsidR="005C0C7B" w:rsidP="00504038" w:rsidRDefault="005C0C7B" w14:paraId="3C8F34F3" w14:textId="54869B45">
            <w:pPr>
              <w:tabs>
                <w:tab w:val="left" w:pos="2385"/>
              </w:tabs>
              <w:ind w:right="-29"/>
              <w:rPr>
                <w:sz w:val="16"/>
                <w:szCs w:val="16"/>
                <w:lang w:val="en-US"/>
              </w:rPr>
            </w:pPr>
            <w:r w:rsidRPr="00161EAF">
              <w:rPr>
                <w:sz w:val="16"/>
                <w:szCs w:val="16"/>
                <w:lang w:val="en-US"/>
              </w:rPr>
              <w:t>Name:</w:t>
            </w:r>
          </w:p>
        </w:tc>
        <w:tc>
          <w:tcPr>
            <w:tcW w:w="1368" w:type="dxa"/>
            <w:vAlign w:val="center"/>
          </w:tcPr>
          <w:p w:rsidRPr="00161EAF" w:rsidR="005C0C7B" w:rsidP="005C0C7B" w:rsidRDefault="005C0C7B" w14:paraId="5CEF2558" w14:textId="33A85CE8">
            <w:pPr>
              <w:tabs>
                <w:tab w:val="left" w:pos="2385"/>
              </w:tabs>
              <w:ind w:right="-29"/>
              <w:jc w:val="center"/>
              <w:rPr>
                <w:sz w:val="16"/>
                <w:szCs w:val="16"/>
                <w:lang w:val="en-US"/>
              </w:rPr>
            </w:pPr>
          </w:p>
        </w:tc>
        <w:tc>
          <w:tcPr>
            <w:tcW w:w="1563" w:type="dxa"/>
            <w:vAlign w:val="center"/>
          </w:tcPr>
          <w:p w:rsidRPr="00161EAF" w:rsidR="005C0C7B" w:rsidP="005C0C7B" w:rsidRDefault="005C0C7B" w14:paraId="46A784C4" w14:textId="23182CA9">
            <w:pPr>
              <w:tabs>
                <w:tab w:val="left" w:pos="2385"/>
              </w:tabs>
              <w:ind w:right="-29"/>
              <w:jc w:val="center"/>
              <w:rPr>
                <w:sz w:val="16"/>
                <w:szCs w:val="16"/>
                <w:lang w:val="en-US"/>
              </w:rPr>
            </w:pPr>
          </w:p>
        </w:tc>
        <w:tc>
          <w:tcPr>
            <w:tcW w:w="874" w:type="dxa"/>
            <w:vAlign w:val="center"/>
          </w:tcPr>
          <w:p w:rsidRPr="00161EAF" w:rsidR="005C0C7B" w:rsidP="00504038" w:rsidRDefault="005C0C7B" w14:paraId="5D787D5B" w14:textId="3C73EF13">
            <w:pPr>
              <w:tabs>
                <w:tab w:val="left" w:pos="2385"/>
              </w:tabs>
              <w:ind w:right="-29"/>
              <w:rPr>
                <w:sz w:val="16"/>
                <w:szCs w:val="16"/>
                <w:lang w:val="en-US"/>
              </w:rPr>
            </w:pPr>
            <w:r w:rsidRPr="00161EAF">
              <w:rPr>
                <w:sz w:val="16"/>
                <w:szCs w:val="16"/>
                <w:lang w:val="en-US"/>
              </w:rPr>
              <w:t>Name:</w:t>
            </w:r>
          </w:p>
        </w:tc>
        <w:tc>
          <w:tcPr>
            <w:tcW w:w="1559" w:type="dxa"/>
            <w:vAlign w:val="center"/>
          </w:tcPr>
          <w:p w:rsidRPr="00161EAF" w:rsidR="005C0C7B" w:rsidP="005C0C7B" w:rsidRDefault="005C0C7B" w14:paraId="726DE479" w14:textId="71760A83">
            <w:pPr>
              <w:tabs>
                <w:tab w:val="left" w:pos="2385"/>
              </w:tabs>
              <w:ind w:right="-29"/>
              <w:jc w:val="center"/>
              <w:rPr>
                <w:sz w:val="16"/>
                <w:szCs w:val="16"/>
                <w:lang w:val="en-US"/>
              </w:rPr>
            </w:pPr>
          </w:p>
        </w:tc>
        <w:tc>
          <w:tcPr>
            <w:tcW w:w="1596" w:type="dxa"/>
            <w:vAlign w:val="center"/>
          </w:tcPr>
          <w:p w:rsidRPr="00161EAF" w:rsidR="005C0C7B" w:rsidP="005C0C7B" w:rsidRDefault="005C0C7B" w14:paraId="6FBEFA58" w14:textId="326C1F22">
            <w:pPr>
              <w:tabs>
                <w:tab w:val="left" w:pos="2385"/>
              </w:tabs>
              <w:ind w:right="-29"/>
              <w:jc w:val="center"/>
              <w:rPr>
                <w:sz w:val="16"/>
                <w:szCs w:val="16"/>
                <w:lang w:val="en-US"/>
              </w:rPr>
            </w:pPr>
          </w:p>
        </w:tc>
        <w:tc>
          <w:tcPr>
            <w:tcW w:w="874" w:type="dxa"/>
            <w:vAlign w:val="center"/>
          </w:tcPr>
          <w:p w:rsidRPr="00161EAF" w:rsidR="005C0C7B" w:rsidP="00504038" w:rsidRDefault="005C0C7B" w14:paraId="7CE2DCAE" w14:textId="2BE44886">
            <w:pPr>
              <w:tabs>
                <w:tab w:val="left" w:pos="2385"/>
              </w:tabs>
              <w:ind w:right="-29"/>
              <w:rPr>
                <w:sz w:val="16"/>
                <w:szCs w:val="16"/>
                <w:lang w:val="en-US"/>
              </w:rPr>
            </w:pPr>
            <w:r w:rsidRPr="00161EAF">
              <w:rPr>
                <w:sz w:val="16"/>
                <w:szCs w:val="16"/>
                <w:lang w:val="en-US"/>
              </w:rPr>
              <w:t>Name:</w:t>
            </w:r>
          </w:p>
        </w:tc>
        <w:tc>
          <w:tcPr>
            <w:tcW w:w="1964" w:type="dxa"/>
            <w:vAlign w:val="center"/>
          </w:tcPr>
          <w:p w:rsidRPr="00161EAF" w:rsidR="005C0C7B" w:rsidP="00072207" w:rsidRDefault="005C0C7B" w14:paraId="2639009D" w14:textId="1942A5AE">
            <w:pPr>
              <w:tabs>
                <w:tab w:val="left" w:pos="2385"/>
              </w:tabs>
              <w:ind w:right="-29"/>
              <w:rPr>
                <w:sz w:val="16"/>
                <w:szCs w:val="16"/>
                <w:lang w:val="en-US"/>
              </w:rPr>
            </w:pPr>
          </w:p>
        </w:tc>
      </w:tr>
      <w:tr w:rsidRPr="00161EAF" w:rsidR="005C0C7B" w:rsidTr="00AF74D1" w14:paraId="198A3CF6" w14:textId="77777777">
        <w:trPr>
          <w:trHeight w:val="501"/>
        </w:trPr>
        <w:tc>
          <w:tcPr>
            <w:tcW w:w="874" w:type="dxa"/>
            <w:vAlign w:val="center"/>
          </w:tcPr>
          <w:p w:rsidRPr="00161EAF" w:rsidR="005C0C7B" w:rsidP="00504038" w:rsidRDefault="005C0C7B" w14:paraId="73A5D738" w14:textId="7B8582AB">
            <w:pPr>
              <w:tabs>
                <w:tab w:val="left" w:pos="2385"/>
              </w:tabs>
              <w:ind w:right="-29"/>
              <w:rPr>
                <w:sz w:val="16"/>
                <w:szCs w:val="16"/>
                <w:lang w:val="en-US"/>
              </w:rPr>
            </w:pPr>
            <w:r w:rsidRPr="00161EAF">
              <w:rPr>
                <w:sz w:val="16"/>
                <w:szCs w:val="16"/>
                <w:lang w:val="en-US"/>
              </w:rPr>
              <w:t>Job title:</w:t>
            </w:r>
          </w:p>
        </w:tc>
        <w:tc>
          <w:tcPr>
            <w:tcW w:w="1368" w:type="dxa"/>
            <w:vAlign w:val="center"/>
          </w:tcPr>
          <w:p w:rsidRPr="00161EAF" w:rsidR="005C0C7B" w:rsidP="00215CCB" w:rsidRDefault="005C0C7B" w14:paraId="3C3E75F5" w14:textId="2C221C67">
            <w:pPr>
              <w:tabs>
                <w:tab w:val="left" w:pos="2385"/>
              </w:tabs>
              <w:ind w:right="-29"/>
              <w:jc w:val="center"/>
              <w:rPr>
                <w:sz w:val="16"/>
                <w:szCs w:val="16"/>
                <w:lang w:val="en-US"/>
              </w:rPr>
            </w:pPr>
          </w:p>
        </w:tc>
        <w:tc>
          <w:tcPr>
            <w:tcW w:w="1563" w:type="dxa"/>
            <w:vAlign w:val="center"/>
          </w:tcPr>
          <w:p w:rsidRPr="00161EAF" w:rsidR="005C0C7B" w:rsidP="00215CCB" w:rsidRDefault="005C0C7B" w14:paraId="62487479" w14:textId="019743FF">
            <w:pPr>
              <w:tabs>
                <w:tab w:val="left" w:pos="2385"/>
              </w:tabs>
              <w:ind w:right="-29"/>
              <w:jc w:val="center"/>
              <w:rPr>
                <w:sz w:val="16"/>
                <w:szCs w:val="16"/>
                <w:lang w:val="en-US"/>
              </w:rPr>
            </w:pPr>
          </w:p>
        </w:tc>
        <w:tc>
          <w:tcPr>
            <w:tcW w:w="874" w:type="dxa"/>
            <w:vAlign w:val="center"/>
          </w:tcPr>
          <w:p w:rsidRPr="00161EAF" w:rsidR="005C0C7B" w:rsidP="00504038" w:rsidRDefault="005C0C7B" w14:paraId="43400029" w14:textId="239D3D61">
            <w:pPr>
              <w:tabs>
                <w:tab w:val="left" w:pos="2385"/>
              </w:tabs>
              <w:ind w:right="-29"/>
              <w:rPr>
                <w:sz w:val="16"/>
                <w:szCs w:val="16"/>
                <w:lang w:val="en-US"/>
              </w:rPr>
            </w:pPr>
            <w:r w:rsidRPr="00161EAF">
              <w:rPr>
                <w:sz w:val="16"/>
                <w:szCs w:val="16"/>
                <w:lang w:val="en-US"/>
              </w:rPr>
              <w:t>Job title:</w:t>
            </w:r>
          </w:p>
        </w:tc>
        <w:tc>
          <w:tcPr>
            <w:tcW w:w="1559" w:type="dxa"/>
            <w:vAlign w:val="center"/>
          </w:tcPr>
          <w:p w:rsidRPr="00161EAF" w:rsidR="005C0C7B" w:rsidP="00215CCB" w:rsidRDefault="005C0C7B" w14:paraId="0952FBAA" w14:textId="012864CB">
            <w:pPr>
              <w:tabs>
                <w:tab w:val="left" w:pos="2385"/>
              </w:tabs>
              <w:ind w:right="-29"/>
              <w:jc w:val="center"/>
              <w:rPr>
                <w:sz w:val="16"/>
                <w:szCs w:val="16"/>
                <w:lang w:val="en-US"/>
              </w:rPr>
            </w:pPr>
          </w:p>
        </w:tc>
        <w:tc>
          <w:tcPr>
            <w:tcW w:w="1596" w:type="dxa"/>
            <w:vAlign w:val="center"/>
          </w:tcPr>
          <w:p w:rsidRPr="00161EAF" w:rsidR="005C0C7B" w:rsidP="00072207" w:rsidRDefault="005C0C7B" w14:paraId="154CE590" w14:textId="27FC78E1">
            <w:pPr>
              <w:tabs>
                <w:tab w:val="left" w:pos="2385"/>
              </w:tabs>
              <w:ind w:right="-29"/>
              <w:rPr>
                <w:sz w:val="16"/>
                <w:szCs w:val="16"/>
                <w:lang w:val="en-US"/>
              </w:rPr>
            </w:pPr>
          </w:p>
        </w:tc>
        <w:tc>
          <w:tcPr>
            <w:tcW w:w="874" w:type="dxa"/>
            <w:vAlign w:val="center"/>
          </w:tcPr>
          <w:p w:rsidRPr="00161EAF" w:rsidR="005C0C7B" w:rsidP="00504038" w:rsidRDefault="005C0C7B" w14:paraId="4F8D6945" w14:textId="0C96EE9E">
            <w:pPr>
              <w:tabs>
                <w:tab w:val="left" w:pos="2385"/>
              </w:tabs>
              <w:ind w:right="-29"/>
              <w:rPr>
                <w:sz w:val="16"/>
                <w:szCs w:val="16"/>
                <w:lang w:val="en-US"/>
              </w:rPr>
            </w:pPr>
            <w:r w:rsidRPr="00161EAF">
              <w:rPr>
                <w:sz w:val="16"/>
                <w:szCs w:val="16"/>
                <w:lang w:val="en-US"/>
              </w:rPr>
              <w:t>Job title:</w:t>
            </w:r>
          </w:p>
        </w:tc>
        <w:tc>
          <w:tcPr>
            <w:tcW w:w="1964" w:type="dxa"/>
            <w:vAlign w:val="center"/>
          </w:tcPr>
          <w:p w:rsidRPr="00161EAF" w:rsidR="005C0C7B" w:rsidP="00215CCB" w:rsidRDefault="005C0C7B" w14:paraId="7F0C64F6" w14:textId="44115DDB">
            <w:pPr>
              <w:tabs>
                <w:tab w:val="left" w:pos="2385"/>
              </w:tabs>
              <w:ind w:right="-29"/>
              <w:jc w:val="center"/>
              <w:rPr>
                <w:sz w:val="16"/>
                <w:szCs w:val="16"/>
                <w:lang w:val="en-US"/>
              </w:rPr>
            </w:pPr>
          </w:p>
        </w:tc>
      </w:tr>
      <w:tr w:rsidRPr="00161EAF" w:rsidR="00215CCB" w:rsidTr="00AF74D1" w14:paraId="08932B72" w14:textId="77777777">
        <w:trPr>
          <w:trHeight w:val="346"/>
        </w:trPr>
        <w:tc>
          <w:tcPr>
            <w:tcW w:w="874" w:type="dxa"/>
            <w:vAlign w:val="center"/>
          </w:tcPr>
          <w:p w:rsidRPr="00161EAF" w:rsidR="00215CCB" w:rsidP="00215CCB" w:rsidRDefault="00215CCB" w14:paraId="2A1F0CE9" w14:textId="45704CC4">
            <w:pPr>
              <w:tabs>
                <w:tab w:val="left" w:pos="2385"/>
              </w:tabs>
              <w:ind w:right="-29"/>
              <w:rPr>
                <w:sz w:val="16"/>
                <w:szCs w:val="16"/>
                <w:lang w:val="en-US"/>
              </w:rPr>
            </w:pPr>
            <w:r>
              <w:rPr>
                <w:sz w:val="16"/>
                <w:szCs w:val="16"/>
                <w:lang w:val="en-US"/>
              </w:rPr>
              <w:lastRenderedPageBreak/>
              <w:t>Area:</w:t>
            </w:r>
          </w:p>
        </w:tc>
        <w:tc>
          <w:tcPr>
            <w:tcW w:w="1368" w:type="dxa"/>
            <w:vAlign w:val="center"/>
          </w:tcPr>
          <w:p w:rsidRPr="00161EAF" w:rsidR="00215CCB" w:rsidP="00215CCB" w:rsidRDefault="00215CCB" w14:paraId="043F1699" w14:textId="5D0100AE">
            <w:pPr>
              <w:tabs>
                <w:tab w:val="left" w:pos="2385"/>
              </w:tabs>
              <w:ind w:right="-29"/>
              <w:jc w:val="center"/>
              <w:rPr>
                <w:sz w:val="16"/>
                <w:szCs w:val="16"/>
                <w:lang w:val="en-US"/>
              </w:rPr>
            </w:pPr>
          </w:p>
        </w:tc>
        <w:tc>
          <w:tcPr>
            <w:tcW w:w="1563" w:type="dxa"/>
            <w:vAlign w:val="center"/>
          </w:tcPr>
          <w:p w:rsidRPr="00161EAF" w:rsidR="00215CCB" w:rsidP="00215CCB" w:rsidRDefault="00215CCB" w14:paraId="035297CB" w14:textId="0A83E93B">
            <w:pPr>
              <w:tabs>
                <w:tab w:val="left" w:pos="2385"/>
              </w:tabs>
              <w:ind w:right="-29"/>
              <w:jc w:val="center"/>
              <w:rPr>
                <w:sz w:val="16"/>
                <w:szCs w:val="16"/>
                <w:lang w:val="en-US"/>
              </w:rPr>
            </w:pPr>
          </w:p>
        </w:tc>
        <w:tc>
          <w:tcPr>
            <w:tcW w:w="874" w:type="dxa"/>
            <w:vAlign w:val="center"/>
          </w:tcPr>
          <w:p w:rsidRPr="00161EAF" w:rsidR="00215CCB" w:rsidP="00215CCB" w:rsidRDefault="00215CCB" w14:paraId="129600AB" w14:textId="611C1479">
            <w:pPr>
              <w:tabs>
                <w:tab w:val="left" w:pos="2385"/>
              </w:tabs>
              <w:ind w:right="-29"/>
              <w:rPr>
                <w:sz w:val="16"/>
                <w:szCs w:val="16"/>
                <w:lang w:val="en-US"/>
              </w:rPr>
            </w:pPr>
            <w:r>
              <w:rPr>
                <w:sz w:val="16"/>
                <w:szCs w:val="16"/>
                <w:lang w:val="en-US"/>
              </w:rPr>
              <w:t>Area:</w:t>
            </w:r>
          </w:p>
        </w:tc>
        <w:tc>
          <w:tcPr>
            <w:tcW w:w="1559" w:type="dxa"/>
            <w:vAlign w:val="center"/>
          </w:tcPr>
          <w:p w:rsidRPr="00161EAF" w:rsidR="00215CCB" w:rsidP="00215CCB" w:rsidRDefault="00215CCB" w14:paraId="1FA46343" w14:textId="05AF7B9E">
            <w:pPr>
              <w:tabs>
                <w:tab w:val="left" w:pos="2385"/>
              </w:tabs>
              <w:ind w:right="-29"/>
              <w:jc w:val="center"/>
              <w:rPr>
                <w:sz w:val="16"/>
                <w:szCs w:val="16"/>
                <w:lang w:val="en-US"/>
              </w:rPr>
            </w:pPr>
          </w:p>
        </w:tc>
        <w:tc>
          <w:tcPr>
            <w:tcW w:w="1596" w:type="dxa"/>
            <w:vAlign w:val="center"/>
          </w:tcPr>
          <w:p w:rsidRPr="00161EAF" w:rsidR="00215CCB" w:rsidP="00072207" w:rsidRDefault="00215CCB" w14:paraId="0080C23B" w14:textId="4CF3309E">
            <w:pPr>
              <w:tabs>
                <w:tab w:val="left" w:pos="2385"/>
              </w:tabs>
              <w:ind w:right="-29"/>
              <w:rPr>
                <w:sz w:val="16"/>
                <w:szCs w:val="16"/>
                <w:lang w:val="en-US"/>
              </w:rPr>
            </w:pPr>
          </w:p>
        </w:tc>
        <w:tc>
          <w:tcPr>
            <w:tcW w:w="874" w:type="dxa"/>
            <w:vAlign w:val="center"/>
          </w:tcPr>
          <w:p w:rsidRPr="00161EAF" w:rsidR="00215CCB" w:rsidP="00215CCB" w:rsidRDefault="00215CCB" w14:paraId="66A81072" w14:textId="0D4A40A0">
            <w:pPr>
              <w:tabs>
                <w:tab w:val="left" w:pos="2385"/>
              </w:tabs>
              <w:ind w:right="-29"/>
              <w:rPr>
                <w:sz w:val="16"/>
                <w:szCs w:val="16"/>
                <w:lang w:val="en-US"/>
              </w:rPr>
            </w:pPr>
            <w:r>
              <w:rPr>
                <w:sz w:val="16"/>
                <w:szCs w:val="16"/>
                <w:lang w:val="en-US"/>
              </w:rPr>
              <w:t>Area:</w:t>
            </w:r>
          </w:p>
        </w:tc>
        <w:tc>
          <w:tcPr>
            <w:tcW w:w="1964" w:type="dxa"/>
            <w:vAlign w:val="center"/>
          </w:tcPr>
          <w:p w:rsidRPr="00161EAF" w:rsidR="00215CCB" w:rsidP="00215CCB" w:rsidRDefault="00215CCB" w14:paraId="588BDC66" w14:textId="27A37021">
            <w:pPr>
              <w:tabs>
                <w:tab w:val="left" w:pos="2385"/>
              </w:tabs>
              <w:ind w:right="-29"/>
              <w:jc w:val="center"/>
              <w:rPr>
                <w:sz w:val="16"/>
                <w:szCs w:val="16"/>
                <w:lang w:val="en-US"/>
              </w:rPr>
            </w:pPr>
          </w:p>
        </w:tc>
      </w:tr>
      <w:tr w:rsidRPr="00161EAF" w:rsidR="005C0C7B" w:rsidTr="00AF74D1" w14:paraId="7DF4F11D" w14:textId="77777777">
        <w:trPr>
          <w:trHeight w:val="624"/>
        </w:trPr>
        <w:tc>
          <w:tcPr>
            <w:tcW w:w="874" w:type="dxa"/>
            <w:vAlign w:val="center"/>
          </w:tcPr>
          <w:p w:rsidRPr="00161EAF" w:rsidR="005C0C7B" w:rsidP="00504038" w:rsidRDefault="005C0C7B" w14:paraId="43C13F70" w14:textId="56CBC7F8">
            <w:pPr>
              <w:tabs>
                <w:tab w:val="left" w:pos="2385"/>
              </w:tabs>
              <w:ind w:right="-29"/>
              <w:rPr>
                <w:sz w:val="16"/>
                <w:szCs w:val="16"/>
                <w:lang w:val="en-US"/>
              </w:rPr>
            </w:pPr>
            <w:r w:rsidRPr="00161EAF">
              <w:rPr>
                <w:sz w:val="16"/>
                <w:szCs w:val="16"/>
                <w:lang w:val="en-US"/>
              </w:rPr>
              <w:t>Signature:</w:t>
            </w:r>
          </w:p>
        </w:tc>
        <w:tc>
          <w:tcPr>
            <w:tcW w:w="1368" w:type="dxa"/>
            <w:vAlign w:val="center"/>
          </w:tcPr>
          <w:p w:rsidRPr="00161EAF" w:rsidR="005C0C7B" w:rsidP="00504038" w:rsidRDefault="005C0C7B" w14:paraId="67AB8706" w14:textId="77777777">
            <w:pPr>
              <w:tabs>
                <w:tab w:val="left" w:pos="2385"/>
              </w:tabs>
              <w:ind w:right="-29"/>
              <w:rPr>
                <w:sz w:val="16"/>
                <w:szCs w:val="16"/>
                <w:lang w:val="en-US"/>
              </w:rPr>
            </w:pPr>
          </w:p>
        </w:tc>
        <w:tc>
          <w:tcPr>
            <w:tcW w:w="1563" w:type="dxa"/>
          </w:tcPr>
          <w:p w:rsidRPr="00161EAF" w:rsidR="005C0C7B" w:rsidP="00504038" w:rsidRDefault="005C0C7B" w14:paraId="5281B5CB" w14:textId="77777777">
            <w:pPr>
              <w:tabs>
                <w:tab w:val="left" w:pos="2385"/>
              </w:tabs>
              <w:ind w:right="-29"/>
              <w:rPr>
                <w:sz w:val="16"/>
                <w:szCs w:val="16"/>
                <w:lang w:val="en-US"/>
              </w:rPr>
            </w:pPr>
          </w:p>
        </w:tc>
        <w:tc>
          <w:tcPr>
            <w:tcW w:w="874" w:type="dxa"/>
            <w:vAlign w:val="center"/>
          </w:tcPr>
          <w:p w:rsidRPr="00161EAF" w:rsidR="005C0C7B" w:rsidP="00504038" w:rsidRDefault="005C0C7B" w14:paraId="3A67DB21" w14:textId="449CE81F">
            <w:pPr>
              <w:tabs>
                <w:tab w:val="left" w:pos="2385"/>
              </w:tabs>
              <w:ind w:right="-29"/>
              <w:rPr>
                <w:sz w:val="16"/>
                <w:szCs w:val="16"/>
                <w:lang w:val="en-US"/>
              </w:rPr>
            </w:pPr>
            <w:r w:rsidRPr="00161EAF">
              <w:rPr>
                <w:sz w:val="16"/>
                <w:szCs w:val="16"/>
                <w:lang w:val="en-US"/>
              </w:rPr>
              <w:t>Signature:</w:t>
            </w:r>
          </w:p>
        </w:tc>
        <w:tc>
          <w:tcPr>
            <w:tcW w:w="1559" w:type="dxa"/>
            <w:vAlign w:val="center"/>
          </w:tcPr>
          <w:p w:rsidRPr="00161EAF" w:rsidR="005C0C7B" w:rsidP="00504038" w:rsidRDefault="005C0C7B" w14:paraId="3D4E54AF" w14:textId="77777777">
            <w:pPr>
              <w:tabs>
                <w:tab w:val="left" w:pos="2385"/>
              </w:tabs>
              <w:ind w:right="-29"/>
              <w:rPr>
                <w:sz w:val="16"/>
                <w:szCs w:val="16"/>
                <w:lang w:val="en-US"/>
              </w:rPr>
            </w:pPr>
          </w:p>
        </w:tc>
        <w:tc>
          <w:tcPr>
            <w:tcW w:w="1596" w:type="dxa"/>
          </w:tcPr>
          <w:p w:rsidRPr="00161EAF" w:rsidR="005C0C7B" w:rsidP="00504038" w:rsidRDefault="005C0C7B" w14:paraId="4DA8BFE5" w14:textId="77777777">
            <w:pPr>
              <w:tabs>
                <w:tab w:val="left" w:pos="2385"/>
              </w:tabs>
              <w:ind w:right="-29"/>
              <w:rPr>
                <w:sz w:val="16"/>
                <w:szCs w:val="16"/>
                <w:lang w:val="en-US"/>
              </w:rPr>
            </w:pPr>
          </w:p>
        </w:tc>
        <w:tc>
          <w:tcPr>
            <w:tcW w:w="874" w:type="dxa"/>
            <w:vAlign w:val="center"/>
          </w:tcPr>
          <w:p w:rsidRPr="00161EAF" w:rsidR="005C0C7B" w:rsidP="00504038" w:rsidRDefault="005C0C7B" w14:paraId="0113934C" w14:textId="6999D5B7">
            <w:pPr>
              <w:tabs>
                <w:tab w:val="left" w:pos="2385"/>
              </w:tabs>
              <w:ind w:right="-29"/>
              <w:rPr>
                <w:sz w:val="16"/>
                <w:szCs w:val="16"/>
                <w:lang w:val="en-US"/>
              </w:rPr>
            </w:pPr>
            <w:r w:rsidRPr="00161EAF">
              <w:rPr>
                <w:sz w:val="16"/>
                <w:szCs w:val="16"/>
                <w:lang w:val="en-US"/>
              </w:rPr>
              <w:t>Signature:</w:t>
            </w:r>
          </w:p>
        </w:tc>
        <w:tc>
          <w:tcPr>
            <w:tcW w:w="1964" w:type="dxa"/>
            <w:vAlign w:val="center"/>
          </w:tcPr>
          <w:p w:rsidRPr="00161EAF" w:rsidR="005C0C7B" w:rsidP="00504038" w:rsidRDefault="005C0C7B" w14:paraId="6706764A" w14:textId="77777777">
            <w:pPr>
              <w:tabs>
                <w:tab w:val="left" w:pos="2385"/>
              </w:tabs>
              <w:ind w:right="-29"/>
              <w:rPr>
                <w:sz w:val="16"/>
                <w:szCs w:val="16"/>
                <w:lang w:val="en-US"/>
              </w:rPr>
            </w:pPr>
          </w:p>
        </w:tc>
      </w:tr>
      <w:tr w:rsidRPr="00161EAF" w:rsidR="005C0C7B" w:rsidTr="00AF74D1" w14:paraId="5BE50C9F" w14:textId="77777777">
        <w:trPr>
          <w:trHeight w:val="454"/>
        </w:trPr>
        <w:tc>
          <w:tcPr>
            <w:tcW w:w="874" w:type="dxa"/>
            <w:vAlign w:val="center"/>
          </w:tcPr>
          <w:p w:rsidRPr="00161EAF" w:rsidR="005C0C7B" w:rsidP="00504038" w:rsidRDefault="005C0C7B" w14:paraId="38D2D0FC" w14:textId="311AB1D8">
            <w:pPr>
              <w:tabs>
                <w:tab w:val="left" w:pos="2385"/>
              </w:tabs>
              <w:ind w:right="-29"/>
              <w:rPr>
                <w:sz w:val="16"/>
                <w:szCs w:val="16"/>
                <w:lang w:val="en-US"/>
              </w:rPr>
            </w:pPr>
            <w:r w:rsidRPr="00161EAF">
              <w:rPr>
                <w:sz w:val="16"/>
                <w:szCs w:val="16"/>
                <w:lang w:val="en-US"/>
              </w:rPr>
              <w:t>Date:</w:t>
            </w:r>
          </w:p>
        </w:tc>
        <w:tc>
          <w:tcPr>
            <w:tcW w:w="1368" w:type="dxa"/>
            <w:vAlign w:val="center"/>
          </w:tcPr>
          <w:p w:rsidRPr="00161EAF" w:rsidR="005C0C7B" w:rsidP="00504038" w:rsidRDefault="005C0C7B" w14:paraId="0AA8194F" w14:textId="77777777">
            <w:pPr>
              <w:tabs>
                <w:tab w:val="left" w:pos="2385"/>
              </w:tabs>
              <w:ind w:right="-29"/>
              <w:rPr>
                <w:sz w:val="16"/>
                <w:szCs w:val="16"/>
                <w:lang w:val="en-US"/>
              </w:rPr>
            </w:pPr>
          </w:p>
        </w:tc>
        <w:tc>
          <w:tcPr>
            <w:tcW w:w="1563" w:type="dxa"/>
          </w:tcPr>
          <w:p w:rsidRPr="00161EAF" w:rsidR="005C0C7B" w:rsidP="00504038" w:rsidRDefault="005C0C7B" w14:paraId="7A94858B" w14:textId="77777777">
            <w:pPr>
              <w:tabs>
                <w:tab w:val="left" w:pos="2385"/>
              </w:tabs>
              <w:ind w:right="-29"/>
              <w:rPr>
                <w:sz w:val="16"/>
                <w:szCs w:val="16"/>
                <w:lang w:val="en-US"/>
              </w:rPr>
            </w:pPr>
          </w:p>
        </w:tc>
        <w:tc>
          <w:tcPr>
            <w:tcW w:w="874" w:type="dxa"/>
            <w:vAlign w:val="center"/>
          </w:tcPr>
          <w:p w:rsidRPr="00161EAF" w:rsidR="005C0C7B" w:rsidP="00504038" w:rsidRDefault="005C0C7B" w14:paraId="6DDFA34B" w14:textId="5527FFFE">
            <w:pPr>
              <w:tabs>
                <w:tab w:val="left" w:pos="2385"/>
              </w:tabs>
              <w:ind w:right="-29"/>
              <w:rPr>
                <w:sz w:val="16"/>
                <w:szCs w:val="16"/>
                <w:lang w:val="en-US"/>
              </w:rPr>
            </w:pPr>
            <w:r w:rsidRPr="00161EAF">
              <w:rPr>
                <w:sz w:val="16"/>
                <w:szCs w:val="16"/>
                <w:lang w:val="en-US"/>
              </w:rPr>
              <w:t>Date:</w:t>
            </w:r>
          </w:p>
        </w:tc>
        <w:tc>
          <w:tcPr>
            <w:tcW w:w="1559" w:type="dxa"/>
            <w:vAlign w:val="center"/>
          </w:tcPr>
          <w:p w:rsidRPr="00161EAF" w:rsidR="005C0C7B" w:rsidP="00504038" w:rsidRDefault="005C0C7B" w14:paraId="37886BE8" w14:textId="77777777">
            <w:pPr>
              <w:tabs>
                <w:tab w:val="left" w:pos="2385"/>
              </w:tabs>
              <w:ind w:right="-29"/>
              <w:rPr>
                <w:sz w:val="16"/>
                <w:szCs w:val="16"/>
                <w:lang w:val="en-US"/>
              </w:rPr>
            </w:pPr>
          </w:p>
        </w:tc>
        <w:tc>
          <w:tcPr>
            <w:tcW w:w="1596" w:type="dxa"/>
          </w:tcPr>
          <w:p w:rsidRPr="00161EAF" w:rsidR="005C0C7B" w:rsidP="00504038" w:rsidRDefault="005C0C7B" w14:paraId="0D2D2266" w14:textId="77777777">
            <w:pPr>
              <w:tabs>
                <w:tab w:val="left" w:pos="2385"/>
              </w:tabs>
              <w:ind w:right="-29"/>
              <w:rPr>
                <w:sz w:val="16"/>
                <w:szCs w:val="16"/>
                <w:lang w:val="en-US"/>
              </w:rPr>
            </w:pPr>
          </w:p>
        </w:tc>
        <w:tc>
          <w:tcPr>
            <w:tcW w:w="874" w:type="dxa"/>
            <w:vAlign w:val="center"/>
          </w:tcPr>
          <w:p w:rsidRPr="00161EAF" w:rsidR="005C0C7B" w:rsidP="00504038" w:rsidRDefault="005C0C7B" w14:paraId="07A08045" w14:textId="5DD69C0A">
            <w:pPr>
              <w:tabs>
                <w:tab w:val="left" w:pos="2385"/>
              </w:tabs>
              <w:ind w:right="-29"/>
              <w:rPr>
                <w:sz w:val="16"/>
                <w:szCs w:val="16"/>
                <w:lang w:val="en-US"/>
              </w:rPr>
            </w:pPr>
            <w:r w:rsidRPr="00161EAF">
              <w:rPr>
                <w:sz w:val="16"/>
                <w:szCs w:val="16"/>
                <w:lang w:val="en-US"/>
              </w:rPr>
              <w:t>Date:</w:t>
            </w:r>
          </w:p>
        </w:tc>
        <w:tc>
          <w:tcPr>
            <w:tcW w:w="1964" w:type="dxa"/>
            <w:vAlign w:val="center"/>
          </w:tcPr>
          <w:p w:rsidRPr="00161EAF" w:rsidR="005C0C7B" w:rsidP="00504038" w:rsidRDefault="005C0C7B" w14:paraId="33659A81" w14:textId="77777777">
            <w:pPr>
              <w:tabs>
                <w:tab w:val="left" w:pos="2385"/>
              </w:tabs>
              <w:ind w:right="-29"/>
              <w:rPr>
                <w:sz w:val="16"/>
                <w:szCs w:val="16"/>
                <w:lang w:val="en-US"/>
              </w:rPr>
            </w:pPr>
          </w:p>
        </w:tc>
      </w:tr>
    </w:tbl>
    <w:p w:rsidRPr="00161EAF" w:rsidR="00664C3A" w:rsidP="005C3229" w:rsidRDefault="00664C3A" w14:paraId="1C427C7D" w14:textId="1E53528F">
      <w:pPr>
        <w:tabs>
          <w:tab w:val="left" w:pos="2385"/>
        </w:tabs>
        <w:ind w:right="-29"/>
        <w:rPr>
          <w:sz w:val="20"/>
          <w:szCs w:val="20"/>
          <w:lang w:val="en-US"/>
        </w:rPr>
      </w:pPr>
    </w:p>
    <w:p w:rsidRPr="00161EAF" w:rsidR="00AE562D" w:rsidP="005C3229" w:rsidRDefault="00AE562D" w14:paraId="7D92E9EC" w14:textId="6F766DF8">
      <w:pPr>
        <w:tabs>
          <w:tab w:val="left" w:pos="2385"/>
        </w:tabs>
        <w:ind w:right="-29"/>
        <w:rPr>
          <w:sz w:val="20"/>
          <w:szCs w:val="20"/>
          <w:lang w:val="en-US"/>
        </w:rPr>
      </w:pPr>
    </w:p>
    <w:p w:rsidRPr="00161EAF" w:rsidR="00AE562D" w:rsidP="005C3229" w:rsidRDefault="00AE562D" w14:paraId="2D65B270" w14:textId="77777777">
      <w:pPr>
        <w:tabs>
          <w:tab w:val="left" w:pos="2385"/>
        </w:tabs>
        <w:ind w:right="-29"/>
        <w:rPr>
          <w:sz w:val="20"/>
          <w:szCs w:val="20"/>
          <w:lang w:val="en-US"/>
        </w:rPr>
      </w:pPr>
    </w:p>
    <w:sectPr w:rsidRPr="00161EAF" w:rsidR="00AE562D" w:rsidSect="003133B2">
      <w:headerReference w:type="default" r:id="rId12"/>
      <w:footerReference w:type="even" r:id="rId13"/>
      <w:footerReference w:type="default" r:id="rId14"/>
      <w:headerReference w:type="first" r:id="rId15"/>
      <w:footerReference w:type="first" r:id="rId16"/>
      <w:pgSz w:w="12240" w:h="15840" w:orient="portrait"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71" w:rsidRDefault="00692C71" w14:paraId="6D611509" w14:textId="77777777">
      <w:r>
        <w:separator/>
      </w:r>
    </w:p>
  </w:endnote>
  <w:endnote w:type="continuationSeparator" w:id="0">
    <w:p w:rsidR="00692C71" w:rsidRDefault="00692C71" w14:paraId="445ABE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FB7DDB" w:rsidRDefault="007C7914" w14:paraId="300523A7" w14:textId="77777777">
    <w:pPr>
      <w:pStyle w:val="Piedepgina"/>
      <w:framePr w:wrap="around" w:hAnchor="margin" w:vAnchor="text"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rsidR="00BB430F" w:rsidP="00152DE6" w:rsidRDefault="00BB430F" w14:paraId="300523A8" w14:textId="7777777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8E0FB9" w:rsidRDefault="00BB430F" w14:paraId="300523A9" w14:textId="77777777">
    <w:pPr>
      <w:pStyle w:val="Piedepgina"/>
      <w:framePr w:wrap="around" w:hAnchor="margin" w:vAnchor="text" w:xAlign="right" w:y="1"/>
      <w:jc w:val="right"/>
      <w:rPr>
        <w:rStyle w:val="Nmerodepgina"/>
        <w:rFonts w:ascii="Arial" w:hAnsi="Arial" w:cs="Arial"/>
        <w:sz w:val="20"/>
        <w:szCs w:val="20"/>
      </w:rPr>
    </w:pPr>
  </w:p>
  <w:p w:rsidRPr="003E2996" w:rsidR="003E2996" w:rsidP="003E2996" w:rsidRDefault="003E2996" w14:paraId="725DE9CD" w14:textId="58403DAB">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rsidRPr="003E2996" w:rsidR="008A0DDF" w:rsidP="008A0DDF" w:rsidRDefault="008A0DDF" w14:paraId="5D24A650" w14:textId="77777777">
    <w:pPr>
      <w:pStyle w:val="Piedepgina"/>
      <w:rPr>
        <w:rStyle w:val="Nmerodepgina"/>
        <w:rFonts w:ascii="Spranq eco sans" w:hAnsi="Spranq eco sans" w:cs="Arial"/>
        <w:sz w:val="16"/>
        <w:szCs w:val="16"/>
        <w:lang w:val="en-US"/>
      </w:rPr>
    </w:pPr>
  </w:p>
  <w:p w:rsidRPr="00333606" w:rsidR="008A0DDF" w:rsidP="008A0DDF" w:rsidRDefault="008A0DDF" w14:paraId="620D3B4E" w14:textId="77777777">
    <w:pPr>
      <w:pStyle w:val="Piedepgina"/>
      <w:jc w:val="right"/>
      <w:rPr>
        <w:rStyle w:val="Nmerodepgina"/>
        <w:sz w:val="16"/>
        <w:szCs w:val="16"/>
      </w:rPr>
    </w:pPr>
    <w:r w:rsidRPr="00333606">
      <w:rPr>
        <w:rStyle w:val="Nmerodepgina"/>
        <w:sz w:val="16"/>
        <w:szCs w:val="16"/>
      </w:rPr>
      <w:t>F-SOP-0872-2 V03</w:t>
    </w:r>
  </w:p>
  <w:p w:rsidR="00BB430F" w:rsidP="000E17CA" w:rsidRDefault="00BB430F" w14:paraId="300523AB" w14:textId="77777777">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E2996" w:rsidR="008A0DDF" w:rsidP="008A0DDF" w:rsidRDefault="003E2996" w14:paraId="3471AF01" w14:textId="098E0CED">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Pr="003E2996" w:rsidR="00182814">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Pr="003E2996" w:rsidR="00182814">
      <w:rPr>
        <w:color w:val="000000" w:themeColor="text1"/>
        <w:sz w:val="12"/>
        <w:szCs w:val="12"/>
        <w:lang w:val="en-US"/>
      </w:rPr>
      <w:t xml:space="preserve">PROPERTY </w:t>
    </w:r>
    <w:r w:rsidRPr="003E2996">
      <w:rPr>
        <w:color w:val="000000" w:themeColor="text1"/>
        <w:sz w:val="12"/>
        <w:szCs w:val="12"/>
        <w:lang w:val="en-US"/>
      </w:rPr>
      <w:t xml:space="preserve">OF </w:t>
    </w:r>
    <w:r w:rsidRPr="003E2996" w:rsidR="008A0DDF">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rsidRPr="003E2996" w:rsidR="00BB430F" w:rsidP="000E17CA" w:rsidRDefault="00BB430F" w14:paraId="300523CA" w14:textId="77777777">
    <w:pPr>
      <w:pStyle w:val="Piedepgina"/>
      <w:rPr>
        <w:rStyle w:val="Nmerodepgina"/>
        <w:rFonts w:ascii="Spranq eco sans" w:hAnsi="Spranq eco sans" w:cs="Arial"/>
        <w:sz w:val="16"/>
        <w:szCs w:val="16"/>
        <w:lang w:val="en-US"/>
      </w:rPr>
    </w:pPr>
  </w:p>
  <w:p w:rsidRPr="003E2996" w:rsidR="00BB430F" w:rsidP="005B1387" w:rsidRDefault="00A9759E" w14:paraId="300523CB" w14:textId="4928420B">
    <w:pPr>
      <w:pStyle w:val="Piedepgina"/>
      <w:jc w:val="right"/>
      <w:rPr>
        <w:rStyle w:val="Nmerodepgina"/>
        <w:sz w:val="16"/>
        <w:szCs w:val="16"/>
        <w:lang w:val="es-CO"/>
      </w:rPr>
    </w:pPr>
    <w:r w:rsidRPr="003E2996">
      <w:rPr>
        <w:rStyle w:val="Nmerodepgina"/>
        <w:sz w:val="16"/>
        <w:szCs w:val="16"/>
        <w:lang w:val="es-CO"/>
      </w:rPr>
      <w:t>F-SOP-0872-2</w:t>
    </w:r>
    <w:r w:rsidRPr="003E2996" w:rsidR="00333606">
      <w:rPr>
        <w:rStyle w:val="Nmerodepgina"/>
        <w:sz w:val="16"/>
        <w:szCs w:val="16"/>
        <w:lang w:val="es-CO"/>
      </w:rPr>
      <w:t xml:space="preserve"> </w:t>
    </w:r>
    <w:r w:rsidRPr="003E2996">
      <w:rPr>
        <w:rStyle w:val="Nmerodepgina"/>
        <w:sz w:val="16"/>
        <w:szCs w:val="16"/>
        <w:lang w:val="es-CO"/>
      </w:rPr>
      <w:t>V0</w:t>
    </w:r>
    <w:r w:rsidRPr="003E2996" w:rsidR="00333606">
      <w:rPr>
        <w:rStyle w:val="Nmerodepgina"/>
        <w:sz w:val="16"/>
        <w:szCs w:val="16"/>
        <w:lang w:val="es-CO"/>
      </w:rPr>
      <w:t>3</w:t>
    </w:r>
  </w:p>
  <w:p w:rsidRPr="003E2996" w:rsidR="00BB430F" w:rsidP="000E17CA" w:rsidRDefault="00BB430F" w14:paraId="300523CC" w14:textId="77777777">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71" w:rsidRDefault="00692C71" w14:paraId="39385A08" w14:textId="77777777">
      <w:r>
        <w:separator/>
      </w:r>
    </w:p>
  </w:footnote>
  <w:footnote w:type="continuationSeparator" w:id="0">
    <w:p w:rsidR="00692C71" w:rsidRDefault="00692C71" w14:paraId="3329B22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CF5903" w:rsidTr="6026102E" w14:paraId="6AA7E0C4" w14:textId="77777777">
      <w:trPr>
        <w:cantSplit/>
        <w:trHeight w:val="340"/>
      </w:trPr>
      <w:tc>
        <w:tcPr>
          <w:tcW w:w="1346" w:type="dxa"/>
          <w:vMerge w:val="restart"/>
          <w:tcMar/>
          <w:vAlign w:val="center"/>
        </w:tcPr>
        <w:p w:rsidRPr="00746F5A" w:rsidR="00CF5903" w:rsidP="00CF5903" w:rsidRDefault="00CF5903" w14:paraId="21F00BEE" w14:textId="77777777">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CF5903" w:rsidP="00CF5903" w:rsidRDefault="00CF5903" w14:paraId="1A2DE8F7"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F5903" w:rsidRDefault="003133B2" w14:paraId="40D11F30" w14:textId="53969CB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CF5903" w:rsidP="00CF5903" w:rsidRDefault="00CF5903" w14:paraId="31A65DF0" w14:textId="1EBB10BB">
          <w:pPr>
            <w:pStyle w:val="Encabezado"/>
            <w:rPr>
              <w:bCs/>
              <w:sz w:val="16"/>
              <w:szCs w:val="16"/>
              <w:lang w:val="en-US"/>
            </w:rPr>
          </w:pPr>
          <w:r w:rsidRPr="00746F5A">
            <w:rPr>
              <w:bCs/>
              <w:sz w:val="16"/>
              <w:szCs w:val="16"/>
              <w:lang w:val="en-US"/>
            </w:rPr>
            <w:t>Code:</w:t>
          </w:r>
        </w:p>
      </w:tc>
      <w:tc>
        <w:tcPr>
          <w:tcW w:w="1701" w:type="dxa"/>
          <w:tcBorders>
            <w:top w:val="single" w:color="auto" w:sz="4" w:space="0"/>
            <w:left w:val="nil"/>
            <w:bottom w:val="nil"/>
            <w:right w:val="single" w:color="auto" w:sz="4" w:space="0"/>
          </w:tcBorders>
          <w:tcMar/>
          <w:vAlign w:val="center"/>
        </w:tcPr>
        <w:p w:rsidRPr="00746F5A" w:rsidR="00CF5903" w:rsidP="00CF5903" w:rsidRDefault="00CF5903" w14:paraId="566E906F" w14:textId="131E6389">
          <w:pPr>
            <w:pStyle w:val="Encabezado"/>
            <w:rPr>
              <w:bCs/>
              <w:sz w:val="16"/>
              <w:szCs w:val="16"/>
              <w:lang w:val="en-US"/>
            </w:rPr>
          </w:pPr>
          <w:r w:rsidRPr="00746F5A">
            <w:rPr>
              <w:bCs/>
              <w:sz w:val="16"/>
              <w:szCs w:val="16"/>
              <w:lang w:val="en-US"/>
            </w:rPr>
            <w:t>CO-S-210</w:t>
          </w:r>
          <w:r w:rsidRPr="00746F5A" w:rsidR="00182814">
            <w:rPr>
              <w:bCs/>
              <w:sz w:val="16"/>
              <w:szCs w:val="16"/>
              <w:lang w:val="en-US"/>
            </w:rPr>
            <w:t xml:space="preserve">70</w:t>
          </w:r>
        </w:p>
      </w:tc>
    </w:tr>
    <w:tr w:rsidRPr="00746F5A" w:rsidR="00BE2332" w:rsidTr="6026102E" w14:paraId="3D5A82C1" w14:textId="77777777">
      <w:trPr>
        <w:cantSplit/>
        <w:trHeight w:val="229"/>
      </w:trPr>
      <w:tc>
        <w:tcPr>
          <w:tcW w:w="1346" w:type="dxa"/>
          <w:vMerge/>
          <w:tcMar/>
          <w:vAlign w:val="center"/>
        </w:tcPr>
        <w:p w:rsidRPr="00746F5A" w:rsidR="00BE2332" w:rsidP="00BE2332" w:rsidRDefault="00BE2332" w14:paraId="2D3482D3"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BE2332" w:rsidP="6026102E" w:rsidRDefault="00BE2332" w14:paraId="528BA4B4" w14:textId="3A627F7A">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BE2332" w:rsidP="00BE2332" w:rsidRDefault="00BE2332" w14:paraId="523A753E" w14:textId="615D7384">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color="auto" w:sz="4" w:space="0"/>
          </w:tcBorders>
          <w:tcMar/>
          <w:vAlign w:val="center"/>
        </w:tcPr>
        <w:p w:rsidRPr="00746F5A" w:rsidR="00BE2332" w:rsidP="00BE2332" w:rsidRDefault="00BE2332" w14:paraId="27B09BEC" w14:textId="59257C59">
          <w:pPr>
            <w:pStyle w:val="Encabezado"/>
            <w:rPr>
              <w:bCs/>
              <w:sz w:val="16"/>
              <w:szCs w:val="16"/>
              <w:lang w:val="en-US"/>
            </w:rPr>
          </w:pPr>
        </w:p>
      </w:tc>
    </w:tr>
    <w:tr w:rsidRPr="00746F5A" w:rsidR="00BE2332" w:rsidTr="6026102E" w14:paraId="03892ADF" w14:textId="77777777">
      <w:trPr>
        <w:cantSplit/>
        <w:trHeight w:val="340"/>
      </w:trPr>
      <w:tc>
        <w:tcPr>
          <w:tcW w:w="1346" w:type="dxa"/>
          <w:vMerge/>
          <w:tcMar/>
        </w:tcPr>
        <w:p w:rsidRPr="00746F5A" w:rsidR="00BE2332" w:rsidP="00BE2332" w:rsidRDefault="00BE2332" w14:paraId="5456EDAB" w14:textId="77777777">
          <w:pPr>
            <w:pStyle w:val="Encabezado"/>
            <w:rPr>
              <w:b/>
              <w:sz w:val="19"/>
              <w:szCs w:val="19"/>
              <w:lang w:val="en-US"/>
            </w:rPr>
          </w:pPr>
        </w:p>
      </w:tc>
      <w:tc>
        <w:tcPr>
          <w:tcW w:w="6593" w:type="dxa"/>
          <w:vMerge/>
          <w:tcBorders/>
          <w:tcMar/>
          <w:vAlign w:val="center"/>
        </w:tcPr>
        <w:p w:rsidRPr="00746F5A" w:rsidR="00BE2332" w:rsidP="00BE2332" w:rsidRDefault="00BE2332" w14:paraId="25E8A4DF" w14:textId="77777777">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BE2332" w:rsidP="00BE2332" w:rsidRDefault="00BE2332" w14:paraId="6909BA21" w14:textId="06D0A8BA">
          <w:pPr>
            <w:pStyle w:val="Encabezado"/>
            <w:rPr>
              <w:bCs/>
              <w:sz w:val="16"/>
              <w:szCs w:val="16"/>
              <w:lang w:val="en-US"/>
            </w:rPr>
          </w:pPr>
          <w:r w:rsidRPr="00746F5A">
            <w:rPr>
              <w:bCs/>
              <w:sz w:val="16"/>
              <w:szCs w:val="16"/>
              <w:lang w:val="en-US"/>
            </w:rPr>
            <w:t>Page:</w:t>
          </w:r>
        </w:p>
      </w:tc>
      <w:tc>
        <w:tcPr>
          <w:tcW w:w="1701" w:type="dxa"/>
          <w:tcBorders>
            <w:top w:val="nil"/>
            <w:left w:val="nil"/>
            <w:bottom w:val="single" w:color="auto" w:sz="4" w:space="0"/>
            <w:right w:val="single" w:color="auto" w:sz="4" w:space="0"/>
          </w:tcBorders>
          <w:tcMar/>
          <w:vAlign w:val="center"/>
        </w:tcPr>
        <w:p w:rsidRPr="00746F5A" w:rsidR="00BE2332" w:rsidP="00BE2332" w:rsidRDefault="00BE2332" w14:paraId="353669E4" w14:textId="2E940D36">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661F1E" w:rsidRDefault="00BB430F" w14:paraId="300523A6" w14:textId="77777777">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5A45F5" w:rsidTr="6026102E" w14:paraId="300523B0" w14:textId="7B117DCB">
      <w:trPr>
        <w:cantSplit/>
        <w:trHeight w:val="274"/>
      </w:trPr>
      <w:tc>
        <w:tcPr>
          <w:tcW w:w="1346" w:type="dxa"/>
          <w:vMerge w:val="restart"/>
          <w:tcMar/>
          <w:vAlign w:val="center"/>
        </w:tcPr>
        <w:p w:rsidRPr="00746F5A" w:rsidR="005A45F5" w:rsidP="00A5701B" w:rsidRDefault="005A45F5" w14:paraId="300523AC" w14:textId="13B1BFF3">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5A45F5" w:rsidP="00C20168" w:rsidRDefault="00AF6532" w14:paraId="460A06E3"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20168" w:rsidRDefault="003133B2" w14:paraId="300523AE" w14:textId="6742390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5A45F5" w:rsidP="00794A87" w:rsidRDefault="00794A87" w14:paraId="3860913A" w14:textId="2155CBD0">
          <w:pPr>
            <w:pStyle w:val="Encabezado"/>
            <w:rPr>
              <w:bCs/>
              <w:sz w:val="16"/>
              <w:szCs w:val="16"/>
              <w:lang w:val="en-US"/>
            </w:rPr>
          </w:pPr>
          <w:r w:rsidRPr="00746F5A">
            <w:rPr>
              <w:bCs/>
              <w:sz w:val="16"/>
              <w:szCs w:val="16"/>
              <w:lang w:val="en-US"/>
            </w:rPr>
            <w:t>C</w:t>
          </w:r>
          <w:r w:rsidRPr="00746F5A" w:rsidR="00AF6532">
            <w:rPr>
              <w:bCs/>
              <w:sz w:val="16"/>
              <w:szCs w:val="16"/>
              <w:lang w:val="en-US"/>
            </w:rPr>
            <w:t>ode</w:t>
          </w:r>
          <w:r w:rsidRPr="00746F5A">
            <w:rPr>
              <w:bCs/>
              <w:sz w:val="16"/>
              <w:szCs w:val="16"/>
              <w:lang w:val="en-US"/>
            </w:rPr>
            <w:t>:</w:t>
          </w:r>
        </w:p>
      </w:tc>
      <w:tc>
        <w:tcPr>
          <w:tcW w:w="1701" w:type="dxa"/>
          <w:tcBorders>
            <w:top w:val="single" w:color="auto" w:sz="4" w:space="0"/>
            <w:left w:val="nil"/>
            <w:bottom w:val="nil"/>
            <w:right w:val="single" w:color="auto" w:sz="4" w:space="0"/>
          </w:tcBorders>
          <w:tcMar/>
          <w:vAlign w:val="center"/>
        </w:tcPr>
        <w:p w:rsidRPr="00746F5A" w:rsidR="005A45F5" w:rsidP="00794A87" w:rsidRDefault="00AF6532" w14:paraId="6913C729" w14:textId="141C5FD4">
          <w:pPr>
            <w:pStyle w:val="Encabezado"/>
            <w:rPr>
              <w:bCs/>
              <w:sz w:val="16"/>
              <w:szCs w:val="16"/>
              <w:lang w:val="en-US"/>
            </w:rPr>
          </w:pPr>
          <w:r w:rsidRPr="00746F5A">
            <w:rPr>
              <w:bCs/>
              <w:sz w:val="16"/>
              <w:szCs w:val="16"/>
              <w:lang w:val="en-US"/>
            </w:rPr>
            <w:t>CO-S-210</w:t>
          </w:r>
          <w:r w:rsidRPr="00746F5A" w:rsidR="00491272">
            <w:rPr>
              <w:bCs/>
              <w:sz w:val="16"/>
              <w:szCs w:val="16"/>
              <w:lang w:val="en-US"/>
            </w:rPr>
            <w:t xml:space="preserve">70</w:t>
          </w:r>
        </w:p>
      </w:tc>
    </w:tr>
    <w:tr w:rsidRPr="00746F5A" w:rsidR="005A45F5" w:rsidTr="6026102E" w14:paraId="5C48AC34" w14:textId="039818A6">
      <w:trPr>
        <w:cantSplit/>
        <w:trHeight w:val="229"/>
      </w:trPr>
      <w:tc>
        <w:tcPr>
          <w:tcW w:w="1346" w:type="dxa"/>
          <w:vMerge/>
          <w:tcMar/>
          <w:vAlign w:val="center"/>
        </w:tcPr>
        <w:p w:rsidRPr="00746F5A" w:rsidR="005A45F5" w:rsidP="00A5701B" w:rsidRDefault="005A45F5" w14:paraId="4CA03044"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EB082F" w:rsidP="6026102E" w:rsidRDefault="00C26A02" w14:paraId="386887CE" w14:textId="72737FB4">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5A45F5" w:rsidP="00794A87" w:rsidRDefault="00AF6532" w14:paraId="1D2EC148" w14:textId="61A7F113">
          <w:pPr>
            <w:pStyle w:val="Encabezado"/>
            <w:rPr>
              <w:bCs/>
              <w:sz w:val="16"/>
              <w:szCs w:val="16"/>
              <w:lang w:val="en-US"/>
            </w:rPr>
          </w:pPr>
          <w:r w:rsidRPr="00746F5A">
            <w:rPr>
              <w:bCs/>
              <w:sz w:val="16"/>
              <w:szCs w:val="16"/>
              <w:lang w:val="en-US"/>
            </w:rPr>
            <w:t>Effective date</w:t>
          </w:r>
          <w:r w:rsidRPr="00746F5A" w:rsidR="00794A87">
            <w:rPr>
              <w:bCs/>
              <w:sz w:val="16"/>
              <w:szCs w:val="16"/>
              <w:lang w:val="en-US"/>
            </w:rPr>
            <w:t>:</w:t>
          </w:r>
        </w:p>
      </w:tc>
      <w:tc>
        <w:tcPr>
          <w:tcW w:w="1701" w:type="dxa"/>
          <w:tcBorders>
            <w:top w:val="nil"/>
            <w:left w:val="nil"/>
            <w:bottom w:val="nil"/>
            <w:right w:val="single" w:color="auto" w:sz="4" w:space="0"/>
          </w:tcBorders>
          <w:tcMar/>
          <w:vAlign w:val="center"/>
        </w:tcPr>
        <w:p w:rsidRPr="00746F5A" w:rsidR="005A45F5" w:rsidP="00794A87" w:rsidRDefault="005A45F5" w14:paraId="7CF63B5E" w14:textId="23993CB0">
          <w:pPr>
            <w:pStyle w:val="Encabezado"/>
            <w:rPr>
              <w:bCs/>
              <w:sz w:val="16"/>
              <w:szCs w:val="16"/>
              <w:lang w:val="en-US"/>
            </w:rPr>
          </w:pPr>
        </w:p>
      </w:tc>
    </w:tr>
    <w:tr w:rsidRPr="00746F5A" w:rsidR="005A45F5" w:rsidTr="6026102E" w14:paraId="300523B5" w14:textId="35C339F9">
      <w:trPr>
        <w:cantSplit/>
        <w:trHeight w:val="340"/>
      </w:trPr>
      <w:tc>
        <w:tcPr>
          <w:tcW w:w="1346" w:type="dxa"/>
          <w:vMerge/>
          <w:tcMar/>
        </w:tcPr>
        <w:p w:rsidRPr="00746F5A" w:rsidR="005A45F5" w:rsidP="00A5701B" w:rsidRDefault="005A45F5" w14:paraId="300523B1" w14:textId="77777777">
          <w:pPr>
            <w:pStyle w:val="Encabezado"/>
            <w:rPr>
              <w:b/>
              <w:sz w:val="19"/>
              <w:szCs w:val="19"/>
              <w:lang w:val="en-US"/>
            </w:rPr>
          </w:pPr>
        </w:p>
      </w:tc>
      <w:tc>
        <w:tcPr>
          <w:tcW w:w="6593" w:type="dxa"/>
          <w:vMerge/>
          <w:tcBorders/>
          <w:tcMar/>
          <w:vAlign w:val="center"/>
        </w:tcPr>
        <w:p w:rsidRPr="00746F5A" w:rsidR="005A45F5" w:rsidP="00A5701B" w:rsidRDefault="005A45F5" w14:paraId="300523B3" w14:textId="2C4A1F3B">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5A45F5" w:rsidP="00794A87" w:rsidRDefault="00794A87" w14:paraId="0852C9DD" w14:textId="145A2BB9">
          <w:pPr>
            <w:pStyle w:val="Encabezado"/>
            <w:rPr>
              <w:bCs/>
              <w:sz w:val="16"/>
              <w:szCs w:val="16"/>
              <w:lang w:val="en-US"/>
            </w:rPr>
          </w:pPr>
          <w:r w:rsidRPr="00746F5A">
            <w:rPr>
              <w:bCs/>
              <w:sz w:val="16"/>
              <w:szCs w:val="16"/>
              <w:lang w:val="en-US"/>
            </w:rPr>
            <w:t>P</w:t>
          </w:r>
          <w:r w:rsidRPr="00746F5A" w:rsidR="00AF6532">
            <w:rPr>
              <w:bCs/>
              <w:sz w:val="16"/>
              <w:szCs w:val="16"/>
              <w:lang w:val="en-US"/>
            </w:rPr>
            <w:t>age</w:t>
          </w:r>
          <w:r w:rsidRPr="00746F5A">
            <w:rPr>
              <w:bCs/>
              <w:sz w:val="16"/>
              <w:szCs w:val="16"/>
              <w:lang w:val="en-US"/>
            </w:rPr>
            <w:t>:</w:t>
          </w:r>
        </w:p>
      </w:tc>
      <w:tc>
        <w:tcPr>
          <w:tcW w:w="1701" w:type="dxa"/>
          <w:tcBorders>
            <w:top w:val="nil"/>
            <w:left w:val="nil"/>
            <w:bottom w:val="single" w:color="auto" w:sz="4" w:space="0"/>
            <w:right w:val="single" w:color="auto" w:sz="4" w:space="0"/>
          </w:tcBorders>
          <w:tcMar/>
          <w:vAlign w:val="center"/>
        </w:tcPr>
        <w:p w:rsidRPr="00746F5A" w:rsidR="005A45F5" w:rsidP="00794A87" w:rsidRDefault="00596798" w14:paraId="1D93D110" w14:textId="5F548DBC">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Pr="00746F5A" w:rsidR="00AF6532">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3133B2" w:rsidRDefault="00BB430F" w14:paraId="300523B6" w14:textId="77777777">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hint="default" w:ascii="Times New Roman" w:hAnsi="Times New Roman" w:cs="Times New Roman"/>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hint="default" w:ascii="Spranq eco sans" w:hAnsi="Spranq eco san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s-CO"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AD0F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styleId="Ttulo1Car" w:customStyle="1">
    <w:name w:val="Título 1 Car"/>
    <w:link w:val="Ttulo1"/>
    <w:locked/>
    <w:rsid w:val="00486FB2"/>
    <w:rPr>
      <w:rFonts w:ascii="Arial" w:hAnsi="Arial"/>
      <w:b/>
      <w:color w:val="808080"/>
      <w:sz w:val="36"/>
      <w:szCs w:val="36"/>
      <w:lang w:val="en-US" w:eastAsia="en-US" w:bidi="ar-SA"/>
    </w:rPr>
  </w:style>
  <w:style w:type="character" w:styleId="EncabezadoCar" w:customStyle="1">
    <w:name w:val="Encabezado Car"/>
    <w:link w:val="Encabezado"/>
    <w:uiPriority w:val="99"/>
    <w:rsid w:val="00CA3130"/>
    <w:rPr>
      <w:sz w:val="24"/>
      <w:szCs w:val="24"/>
      <w:lang w:val="en-GB" w:eastAsia="en-GB"/>
    </w:rPr>
  </w:style>
  <w:style w:type="character" w:styleId="hps" w:customStyle="1">
    <w:name w:val="hps"/>
    <w:rsid w:val="00C009AB"/>
  </w:style>
  <w:style w:type="character" w:styleId="hpsatn" w:customStyle="1">
    <w:name w:val="hps atn"/>
    <w:rsid w:val="00C009AB"/>
  </w:style>
  <w:style w:type="character" w:styleId="ital1" w:customStyle="1">
    <w:name w:val="ital1"/>
    <w:rsid w:val="00FE274F"/>
    <w:rPr>
      <w:b w:val="0"/>
      <w:bCs w:val="0"/>
      <w:i/>
      <w:iCs/>
      <w:smallCaps w:val="0"/>
    </w:rPr>
  </w:style>
  <w:style w:type="character" w:styleId="atn" w:customStyle="1">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styleId="st1" w:customStyle="1">
    <w:name w:val="st1"/>
    <w:basedOn w:val="Fuentedeprrafopredeter"/>
    <w:rsid w:val="00765D90"/>
  </w:style>
  <w:style w:type="character" w:styleId="Ttulo4Car" w:customStyle="1">
    <w:name w:val="Título 4 Car"/>
    <w:link w:val="Ttulo4"/>
    <w:semiHidden/>
    <w:rsid w:val="00A672A4"/>
    <w:rPr>
      <w:rFonts w:ascii="Calibri" w:hAnsi="Calibri" w:eastAsia="Times New Roman" w:cs="Times New Roman"/>
      <w:b/>
      <w:bCs/>
      <w:sz w:val="28"/>
      <w:szCs w:val="28"/>
      <w:lang w:val="en-GB" w:eastAsia="en-GB"/>
    </w:rPr>
  </w:style>
  <w:style w:type="character" w:styleId="PiedepginaCar" w:customStyle="1">
    <w:name w:val="Pie de página Car"/>
    <w:basedOn w:val="Fuentedeprrafopredeter"/>
    <w:link w:val="Piedepgina"/>
    <w:rsid w:val="008A0DDF"/>
    <w:rPr>
      <w:sz w:val="24"/>
      <w:szCs w:val="24"/>
      <w:lang w:val="en-GB" w:eastAsia="en-GB"/>
    </w:rPr>
  </w:style>
  <w:style w:type="paragraph" w:styleId="Default" w:customStyle="1">
    <w:name w:val="Default"/>
    <w:rsid w:val="0052569D"/>
    <w:pPr>
      <w:autoSpaceDE w:val="0"/>
      <w:autoSpaceDN w:val="0"/>
      <w:adjustRightInd w:val="0"/>
    </w:pPr>
    <w:rPr>
      <w:color w:val="000000"/>
      <w:sz w:val="24"/>
      <w:szCs w:val="24"/>
    </w:rPr>
  </w:style>
  <w:style w:type="character" w:styleId="UnresolvedMention" w:customStyle="1">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styleId="shading" w:customStyle="1">
    <w:name w:val="shading"/>
    <w:basedOn w:val="Fuentedeprrafopredeter"/>
    <w:rsid w:val="00B05AAB"/>
  </w:style>
  <w:style w:type="paragraph" w:styleId="citation" w:customStyle="1">
    <w:name w:val="citation"/>
    <w:basedOn w:val="Normal"/>
    <w:rsid w:val="00E368E2"/>
    <w:pPr>
      <w:spacing w:before="100" w:beforeAutospacing="1" w:after="100" w:afterAutospacing="1"/>
    </w:pPr>
    <w:rPr>
      <w:lang w:val="es-CO" w:eastAsia="es-CO"/>
    </w:rPr>
  </w:style>
  <w:style w:type="character" w:styleId="sup" w:customStyle="1">
    <w:name w:val="sup"/>
    <w:basedOn w:val="Fuentedeprrafopredeter"/>
    <w:rsid w:val="00FB6817"/>
  </w:style>
  <w:style w:type="character" w:styleId="nfasis">
    <w:name w:val="Emphasis"/>
    <w:basedOn w:val="Fuentedeprrafopredeter"/>
    <w:uiPriority w:val="20"/>
    <w:qFormat/>
    <w:rsid w:val="00663CE6"/>
    <w:rPr>
      <w:i/>
      <w:iCs/>
    </w:rPr>
  </w:style>
  <w:style w:type="character" w:styleId="sub" w:customStyle="1">
    <w:name w:val="sub"/>
    <w:basedOn w:val="Fuentedeprrafopredeter"/>
    <w:rsid w:val="00552D16"/>
  </w:style>
  <w:style w:type="character" w:styleId="nosmallcaps" w:customStyle="1">
    <w:name w:val="nosmallcaps"/>
    <w:basedOn w:val="Fuentedeprrafopredeter"/>
    <w:rsid w:val="00B649C6"/>
  </w:style>
  <w:style w:type="character" w:styleId="chap-num" w:customStyle="1">
    <w:name w:val="chap-num"/>
    <w:basedOn w:val="Fuentedeprrafopredeter"/>
    <w:rsid w:val="003A4CC8"/>
  </w:style>
  <w:style w:type="character" w:styleId="lang" w:customStyle="1">
    <w:name w:val="lang"/>
    <w:basedOn w:val="Fuentedeprrafopredeter"/>
    <w:rsid w:val="003A4CC8"/>
  </w:style>
  <w:style w:type="character" w:styleId="rang" w:customStyle="1">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4013653F-D15D-4CF9-A673-8F8E00612E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Patheon UK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Technical Assessment Questionnaire</dc:title>
  <dc:creator>odells</dc:creator>
  <lastModifiedBy>Juan Camilo LÓpez JimÉnez</lastModifiedBy>
  <revision>47</revision>
  <lastPrinted>2022-01-24T13:04:00.0000000Z</lastPrinted>
  <dcterms:created xsi:type="dcterms:W3CDTF">2025-01-31T13:08:00.0000000Z</dcterms:created>
  <dcterms:modified xsi:type="dcterms:W3CDTF">2025-02-12T21:39:21.9839422Z</dcterms:modified>
  <dc:description/>
  <dc:identifier/>
  <dc:language/>
  <dc:subject/>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