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6026102E">
        <w:trPr>
          <w:trHeight w:val="680"/>
        </w:trPr>
        <w:tc>
          <w:tcPr>
            <w:tcW w:w="10631" w:type="dxa"/>
            <w:gridSpan w:val="2"/>
            <w:shd w:val="clear" w:color="auto" w:fill="DBE5F1" w:themeFill="accent1" w:themeFillTint="33"/>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6026102E">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055909">
            <w:pPr>
              <w:ind w:left="-108" w:right="-29"/>
              <w:jc w:val="both"/>
              <w:rPr>
                <w:bCs/>
                <w:iCs/>
                <w:sz w:val="20"/>
                <w:szCs w:val="20"/>
                <w:lang w:val="es-CO"/>
              </w:rPr>
            </w:pPr>
            <w:r w:rsidRPr="001F05D8">
              <w:rPr>
                <w:bCs/>
                <w:iCs/>
                <w:sz w:val="20"/>
                <w:szCs w:val="20"/>
                <w:lang w:val="en-US"/>
              </w:rPr>
              <w:t xml:space="preserve">THC + Melatonin Oral Solution</w:t>
            </w:r>
          </w:p>
        </w:tc>
      </w:tr>
      <w:tr w:rsidR="00990997" w:rsidRPr="00161EAF" w14:paraId="46632668" w14:textId="77777777" w:rsidTr="6026102E">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6026102E">
            <w:pPr>
              <w:ind w:left="-108" w:right="-29"/>
              <w:jc w:val="both"/>
              <w:rPr>
                <w:sz w:val="20"/>
                <w:szCs w:val="20"/>
              </w:rPr>
            </w:pPr>
            <w:r w:rsidRPr="6026102E">
              <w:rPr>
                <w:sz w:val="20"/>
                <w:szCs w:val="20"/>
              </w:rPr>
              <w:t xml:space="preserve"/>
            </w:r>
          </w:p>
        </w:tc>
      </w:tr>
      <w:tr w:rsidR="00990997" w:rsidRPr="00161EAF" w14:paraId="42EE3F09" w14:textId="77777777" w:rsidTr="6026102E">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6026102E">
            <w:pPr>
              <w:ind w:left="-108" w:right="-29"/>
              <w:jc w:val="both"/>
              <w:rPr>
                <w:sz w:val="20"/>
                <w:szCs w:val="20"/>
              </w:rPr>
            </w:pPr>
            <w:r w:rsidRPr="6026102E">
              <w:rPr>
                <w:sz w:val="20"/>
                <w:szCs w:val="20"/>
              </w:rPr>
              <w:t xml:space="preserve"/>
            </w:r>
          </w:p>
        </w:tc>
      </w:tr>
      <w:tr w:rsidR="00990997" w:rsidRPr="00161EAF" w14:paraId="45785697" w14:textId="77777777" w:rsidTr="6026102E">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990997">
            <w:pPr>
              <w:ind w:left="-108" w:right="-29"/>
              <w:jc w:val="both"/>
              <w:rPr>
                <w:sz w:val="20"/>
                <w:szCs w:val="20"/>
                <w:lang w:val="en-US"/>
              </w:rPr>
            </w:pPr>
            <w:r>
              <w:rPr>
                <w:sz w:val="20"/>
                <w:szCs w:val="20"/>
                <w:lang w:val="en-US"/>
              </w:rPr>
              <w:t xml:space="preserve"/>
            </w:r>
          </w:p>
        </w:tc>
      </w:tr>
      <w:tr w:rsidR="00990997" w:rsidRPr="00161EAF" w14:paraId="1D68028E" w14:textId="77777777" w:rsidTr="6026102E">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6026102E">
            <w:pPr>
              <w:ind w:left="-108" w:right="-29"/>
              <w:jc w:val="both"/>
              <w:rPr>
                <w:sz w:val="20"/>
                <w:szCs w:val="20"/>
              </w:rPr>
            </w:pPr>
            <w:r w:rsidRPr="6026102E">
              <w:rPr>
                <w:sz w:val="20"/>
                <w:szCs w:val="20"/>
              </w:rPr>
              <w:t xml:space="preserve"/>
            </w:r>
          </w:p>
        </w:tc>
      </w:tr>
      <w:tr w:rsidR="00990997" w:rsidRPr="00161EAF" w14:paraId="126C133D" w14:textId="77777777" w:rsidTr="6026102E">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6026102E">
            <w:pPr>
              <w:ind w:right="-29"/>
              <w:jc w:val="both"/>
              <w:rPr>
                <w:sz w:val="20"/>
                <w:szCs w:val="20"/>
              </w:rPr>
            </w:pPr>
            <w:r w:rsidRPr="6026102E">
              <w:rPr>
                <w:sz w:val="20"/>
                <w:szCs w:val="20"/>
              </w:rPr>
              <w:t xml:space="preserve">Oral solution</w:t>
            </w:r>
          </w:p>
        </w:tc>
      </w:tr>
      <w:tr w:rsidR="00990997" w:rsidRPr="00161EAF" w14:paraId="2C3E34CA" w14:textId="77777777" w:rsidTr="6026102E">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6026102E">
            <w:pPr>
              <w:ind w:left="-108" w:right="-29"/>
              <w:jc w:val="both"/>
              <w:rPr>
                <w:sz w:val="20"/>
                <w:szCs w:val="20"/>
              </w:rPr>
            </w:pPr>
            <w:r w:rsidRPr="6026102E">
              <w:rPr>
                <w:sz w:val="20"/>
                <w:szCs w:val="20"/>
              </w:rPr>
              <w:t xml:space="preserve">Oral</w:t>
            </w:r>
          </w:p>
        </w:tc>
      </w:tr>
      <w:tr w:rsidR="00990997" w:rsidRPr="00161EAF" w14:paraId="21C60344" w14:textId="77777777" w:rsidTr="6026102E">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990997">
            <w:pPr>
              <w:ind w:left="-108" w:right="-29"/>
              <w:jc w:val="both"/>
              <w:rPr>
                <w:sz w:val="20"/>
                <w:szCs w:val="20"/>
                <w:vertAlign w:val="superscript"/>
                <w:lang w:val="en-US"/>
              </w:rPr>
            </w:pPr>
            <w:r>
              <w:rPr>
                <w:sz w:val="20"/>
                <w:szCs w:val="20"/>
                <w:lang w:val="en-US"/>
              </w:rPr>
              <w:t xml:space="preserve">According to physician's prescription</w:t>
            </w:r>
          </w:p>
        </w:tc>
      </w:tr>
      <w:tr w:rsidR="00990997" w:rsidRPr="00161EAF" w14:paraId="50276D27" w14:textId="77777777" w:rsidTr="6026102E">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990997">
            <w:pPr>
              <w:ind w:left="-108" w:right="-29"/>
              <w:jc w:val="both"/>
              <w:rPr>
                <w:sz w:val="20"/>
                <w:szCs w:val="20"/>
                <w:lang w:val="en-US"/>
              </w:rPr>
            </w:pPr>
            <w:r>
              <w:rPr>
                <w:sz w:val="20"/>
                <w:szCs w:val="20"/>
                <w:lang w:val="en-US"/>
              </w:rPr>
              <w:t xml:space="preserve"/>
            </w:r>
          </w:p>
        </w:tc>
      </w:tr>
      <w:tr w:rsidR="00990997" w:rsidRPr="00161EAF" w14:paraId="1AB90057" w14:textId="77777777" w:rsidTr="6026102E">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990997">
            <w:pPr>
              <w:ind w:left="-108" w:right="-29"/>
              <w:jc w:val="both"/>
              <w:rPr>
                <w:sz w:val="20"/>
                <w:szCs w:val="20"/>
                <w:lang w:val="en-US"/>
              </w:rPr>
            </w:pPr>
            <w:r>
              <w:rPr>
                <w:sz w:val="20"/>
                <w:szCs w:val="20"/>
              </w:rPr>
              <w:t xml:space="preserve">60ml glass bottles</w:t>
            </w:r>
          </w:p>
        </w:tc>
      </w:tr>
      <w:tr w:rsidR="00990997" w:rsidRPr="00161EAF" w14:paraId="6F7985A6" w14:textId="77777777" w:rsidTr="6026102E">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990997">
            <w:pPr>
              <w:ind w:left="-108" w:right="-29"/>
              <w:jc w:val="both"/>
              <w:rPr>
                <w:sz w:val="20"/>
                <w:szCs w:val="20"/>
                <w:vertAlign w:val="superscript"/>
                <w:lang w:val="en-US"/>
              </w:rPr>
            </w:pPr>
            <w:r>
              <w:rPr>
                <w:sz w:val="20"/>
                <w:szCs w:val="20"/>
                <w:lang w:val="en-US"/>
              </w:rPr>
              <w:t xml:space="preserve"/>
            </w:r>
          </w:p>
        </w:tc>
      </w:tr>
      <w:tr w:rsidR="00990997" w:rsidRPr="00161EAF" w14:paraId="711E8407" w14:textId="77777777" w:rsidTr="6026102E">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6026102E">
            <w:pPr>
              <w:ind w:left="-108" w:right="-29"/>
              <w:jc w:val="both"/>
              <w:rPr>
                <w:sz w:val="20"/>
                <w:szCs w:val="20"/>
              </w:rPr>
            </w:pPr>
            <w:r w:rsidRPr="6026102E">
              <w:rPr>
                <w:sz w:val="20"/>
                <w:szCs w:val="20"/>
              </w:rPr>
              <w:t xml:space="preserve"/>
            </w:r>
          </w:p>
        </w:tc>
      </w:tr>
      <w:tr w:rsidR="00990997" w:rsidRPr="00161EAF" w14:paraId="5474607D" w14:textId="77777777" w:rsidTr="6026102E">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71339A06" w:rsidR="00D14509" w:rsidRDefault="00D14509" w:rsidP="00990997">
      <w:pPr>
        <w:rPr>
          <w:sz w:val="20"/>
          <w:szCs w:val="20"/>
          <w:lang w:val="en-US"/>
        </w:rPr>
      </w:pPr>
    </w:p>
    <w:p w14:paraId="63A8BAEF" w14:textId="77777777" w:rsidR="00D14509" w:rsidRDefault="00D14509">
      <w:pPr>
        <w:rPr>
          <w:sz w:val="20"/>
          <w:szCs w:val="20"/>
          <w:lang w:val="en-US"/>
        </w:rPr>
      </w:pPr>
      <w:r>
        <w:rPr>
          <w:sz w:val="20"/>
          <w:szCs w:val="20"/>
          <w:lang w:val="en-US"/>
        </w:rPr>
        <w:br w:type="page"/>
      </w:r>
    </w:p>
    <w:p w14:paraId="5EA814D2" w14:textId="77777777"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THC</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1972-08-3</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No online available information.</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represent a crucial analytical approach to elucidate the scheme of degradation route for the THC active pharmaceutical ingredient. Under severe environmental and chemical conditions, including elevated temperature, diverse pH environments, oxidative stress, and intense light exposure, the molecule undergoes controlled decomposition resulting in distinct degradation products. These experiments employ advanced techniques such as HPLC with diode array detection and mass spectrometry for quantitation and structural elucidation of degradants. Regulatory guidelines suggest achieving degradation between five and twenty percent to ensure appropriate method validation. This process facilitates determination of degradation mechanisms such as hydrolysis, oxidation, and thermal decomposition, thereby supporting formulation optimization and packaging strategies. The generated degradation profiles enable early identification of reactive sites within the molecule and assist in the design of stability indicating methods. Data from forced degradation studies are essential for predicting shelf life and guiding quality control in both drug substance and product phases. Comprehensive reports documenting these studies have been published with extensive experimental details [Pharmaguidesline](https://pharmaguidesline.com/forced-degradation/), [ResearchGate](https://www.researchgate.net/profile/Mangesh-Kumare/publication/261799053_7_AJPR_3_4_2013-libre/links/0f3175358b1b43579c000000/7-AJPR-3-4-2013-libre.pdf), [Wiley](https://analyticalsciencejournals.onlinelibrary.wiley.com/doi/pdf/10.1002/rcm.8032), and [ScienceDirect](https://www.sciencedirect.com/science/article/pii/S0165993613001313). These forced degradation findings are essential for optimizing THC formulation robustness, ensuring compliance with regulatory demands, and mitigating long term stability risks. The study substantiates intervention in manufacturing to safeguard product integrity.</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Impurities in THC active pharmaceutical ingredient represent a critical quality attribute that must be thoroughly characterized to ensure both efficacy and patient safety. These impurities can originate from degradation of THC, residual solvents, synthetic side products from the manufacturing process, and leachables from packaging materials. Analytical techniques such as high-performance liquid chromatography (HPLC), ultra‐high performance liquid chromatography (UHPLC), and LC‐QTOF mass spectrometry are routinely employed to detect and quantify these impurities with high sensitivity and precision. The impurity profile not only includes degradation compounds but also synthetic artefacts that may exhibit toxicological risks at elevated concentrations. Thorough impurity profiling, including forced degradation studies, supports regulatory compliance by confirming that impurity levels remain below safety thresholds. Emphasis is placed on method validation, mass accuracy, and the detection of trace levels in the ppb to ppm range. A comprehensive understanding of impurity origins, chemical structure, and kinetic behavior is essential during product development and quality assurance testing. This systematic approach is well documented in studies and reviews on impurity significance and analytical methods [Ivory Research](https://www.ivoryresearch.com/samples/significance-impurities-active-pharmaceutical-ingredients/), [PubMed](https://pubmed.ncbi.nlm.nih.gov/31226425/), [Simson Pharma](https://www.simsonpharma.com/blog-details/sources-of-impurities-in-pharmaceutical-substances), [PubMed](https://pubmed.ncbi.nlm.nih.gov/27686474/), [PubMed](https://pubmed.ncbi.nlm.nih.gov/39058576/).</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Data Analysis: The biopharmaceutical classification system (BCS) categorizes active pharmaceutical ingredients based on aqueous solubility and intestinal permeability. Regarding THC, the evaluation involves experimental determinations of dissolution rates, water solubility assays, and permeability studies using in vitro models such as Caco-2 cell systems. Although specific numerical values for THC solubility and permeability were not delineated in the provided evidence, application of the BCS framework guides formulation strategies by predicting in vivo absorption profiles for immediate-release oral dosage forms. Current regulatory guidelines from the World Health Organization, US Food and Drug Administration, and European Medicines Agency allow BCS‐based biowaivers when robust in vitro data supports high solubility or permeability designations [Source Emerging Role Of Biopharmaceutical Classification And Biopharmaceutical ...](https://healthinformaticsjournal.com/index.php/IJMI/article/view/733). Detailed mechanistic studies of drug dissolution and intestinal transport offer scientific justification through in vitro–in vivo correlations [Source PDF](https://link.springer.com/content/pdf/10.1007/978-3-030-51519-5_139-1). Additional insights from global reviews substantiate these protocols [Source ScienceDirect](https://www.sciencedirect.com/science/article/pii/S0378517319304004) and [Source Online BCS Classification Database](https://www.pharmaspecialists.com/2021/08/online-bcs-classification-database.html). Advanced in vitro studies further clarify THC’s precise BCS classification, thereby supporting regulatory acceptance and robust streamlined development of optimized immediate-release formulations.</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THC</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For THC active pharmaceutical ingredient, hygroscopicity assessment is critical due to its potential impact on physical and chemical stability. This report synthesizes methods and findings from several studies. Water vapor sorption is typically measured gravimetrically using automated sorption microbalances, enabling rapid evaluation of water uptake under controlled relative humidity conditions. One study demonstrated an efficient throughput method for hygroscopicity classification that minimizes sample consumption and time, ensuring optimal equilibration conditions [https://www.tandfonline.com/doi/full/10.3109/10837450.2011.618947]. Further, academic research from the University of Minnesota has elaborated on the thermodynamic and kinetic factors influencing water uptake in pharmaceutical crystals, especially the role of crystalline versus amorphous forms, which is crucial for predicting long-term stability [https://hdl.handle.net/11299/47878]. Additional insights from a minireview highlight that an accurate evaluation of hygroscopicity involves considering not only water vapor sorption isotherms but also the associated mechanisms that may trigger polymorphic transformation or surface solution formation [https://www.sciencedirect.com/science/article/pii/S0022354916325230]. Complementary findings published on PubMed reinforce the importance of optimizing experimental conditions to avoid future stability challenges [https://pubmed.ncbi.nlm.nih.gov/17630643/]. A classification study on hygroscopic properties further supports these strategies [https://www.researchgate.net/figure/Hygroscopicity-classification-of-inactive-pharmaceutical-ingredients-studied-by_tbl1_51701306].</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The chirality and specific optical rotation assessment of the THC active pharmaceutical ingredient is performed using established polarimetric methodologies. A polarimeter equipped with a sodium D-line light source (589.3 nm) and a 1 dm cell is utilized to measure the rotation of plane polarized light, a fundamental parameter in chiral analysis. The measurement procedures, as described in the British Pharmacopoeia and related general chapters, involve determining the angle of rotation at controlled temperatures (20–25 °C) and calculating the specific optical rotation by correcting the observed value for concentration and path length. This method serves not only to confirm the enantiomeric composition but also to assess the chiral purity critical to THC’s pharmacological profile. Quality control laboratories such as Protheragen-ING Lab emphasize the role of optical rotation testing in regulatory compliance and routine batch analysis. In addition, recent machine learning studies have successfully predicted specific optical rotations for chiral compounds, reinforcing traditional polarimetric approaches. It should be noted that while these methods provide the framework for chiral evaluation, no THC-specific numerical rotation values were provided in the available evidence. [Pharmaguideline](https://www.pharmaguideline.com/2014/06/optical-activity-in-pharmaceutical-analysis.html), [Protheragen-ING Lab](https://labs.protheragen-ing.com/optical-rotation-test.html), [British Pharmacopoeia](https://www.drugfuture.com/Pharmacopoeia/BP2010/data/973.html), [ScienceDirect](https://www.sciencedirect.com/science/article/pii/S1386142519306791).</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Recent investigations on the thermal degradation of Δ9‐tetrahydrocannabinol (THC) have emphasized that elevated temperatures play a critical role in catalyzing the degradation pathways of this active pharmaceutical ingredient. Studies conducted using gas chromatography have demonstrated that the temperature of the GC injector port can induce significant degradation of Δ9‐THC, leading to the formation of by-products such as cannabinol (CBN) and Δ8‐THC. Experimental observations indicate that the degradation of THC follows pseudo‐first order kinetics, highlighting that even slight increases in temperature can accelerate the breakdown of the molecule. Although explicit numerical values defining the exact degradation temperature of THC are not provided in the available literature, the cumulative data suggest that heat-induced stress, similar to conditions experienced during certain analytical and storage procedures, initiates these degradation processes. Complementary studies employing high‐performance liquid chromatography and mass spectrometry techniques reinforce the understanding that thermal degradation is a key stability indicator for cannabinoids. Further research under standardized stress conditions is necessary to precisely calibrate the degradation temperature of THC. Citations: [PMC9664148](https://pmc.ncbi.nlm.nih.gov/articles/PMC9664148/), [PMC9418372](https://pmc.ncbi.nlm.nih.gov/articles/PMC9418372/), [Springer](https://link.springer.com/article/10.1007/s13596-021-00590-7).</w:t>
            </w:r>
          </w:p>
          <w:p w14:paraId="749E79F7" w14:textId="01A38265" w:rsidR="27FD9B0B" w:rsidRDefault="27FD9B0B" w:rsidP="003A2A16">
            <w:pPr>
              <w:ind w:left="-108" w:right="-29"/>
              <w:rPr>
                <w:sz w:val="20"/>
                <w:szCs w:val="20"/>
                <w:lang w:val="en-US"/>
              </w:rPr>
            </w:pPr>
            <w:r w:rsidRPr="00055909">
              <w:rPr>
                <w:sz w:val="20"/>
                <w:szCs w:val="20"/>
                <w:lang w:val="en-US"/>
              </w:rPr>
              <w:t xml:space="preserve">No online available information.</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6026102E">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27FD9B0B">
            <w:pPr>
              <w:ind w:left="-108" w:right="-29"/>
              <w:jc w:val="both"/>
              <w:rPr>
                <w:sz w:val="20"/>
                <w:szCs w:val="20"/>
              </w:rPr>
            </w:pPr>
            <w:r w:rsidRPr="00055909">
              <w:rPr>
                <w:sz w:val="20"/>
                <w:szCs w:val="20"/>
              </w:rPr>
              <w:t xml:space="preserve">Melatonin</w:t>
            </w:r>
          </w:p>
        </w:tc>
      </w:tr>
      <w:tr w:rsidR="27FD9B0B" w14:paraId="5C122607"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055909">
            <w:pPr>
              <w:ind w:left="-108" w:right="-29"/>
              <w:jc w:val="both"/>
              <w:rPr>
                <w:sz w:val="20"/>
                <w:szCs w:val="20"/>
              </w:rPr>
            </w:pPr>
            <w:r w:rsidRPr="00055909">
              <w:rPr>
                <w:sz w:val="20"/>
                <w:szCs w:val="20"/>
              </w:rPr>
              <w:t xml:space="preserve">73-31-4</w:t>
            </w:r>
          </w:p>
        </w:tc>
      </w:tr>
      <w:tr w:rsidR="27FD9B0B" w14:paraId="030092B6"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055909">
            <w:pPr>
              <w:ind w:left="-108" w:right="-29"/>
              <w:jc w:val="both"/>
              <w:rPr>
                <w:sz w:val="20"/>
                <w:szCs w:val="20"/>
              </w:rPr>
            </w:pPr>
            <w:r w:rsidRPr="00055909">
              <w:rPr>
                <w:sz w:val="20"/>
                <w:szCs w:val="20"/>
              </w:rPr>
              <w:t xml:space="preserve"/>
            </w:r>
          </w:p>
        </w:tc>
      </w:tr>
      <w:tr w:rsidR="27FD9B0B" w14:paraId="2768F4F1"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055909">
            <w:pPr>
              <w:ind w:left="-108" w:right="-29"/>
              <w:jc w:val="both"/>
              <w:rPr>
                <w:sz w:val="20"/>
                <w:szCs w:val="20"/>
                <w:lang w:val="en-US"/>
              </w:rPr>
            </w:pPr>
            <w:r w:rsidRPr="00055909">
              <w:rPr>
                <w:sz w:val="20"/>
                <w:szCs w:val="20"/>
              </w:rPr>
              <w:t xml:space="preserve"/>
            </w:r>
          </w:p>
        </w:tc>
      </w:tr>
      <w:tr w:rsidR="27FD9B0B" w14:paraId="6B7E839E"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055909">
            <w:pPr>
              <w:ind w:left="-108" w:right="-29"/>
              <w:jc w:val="both"/>
              <w:rPr>
                <w:sz w:val="20"/>
                <w:szCs w:val="20"/>
              </w:rPr>
            </w:pPr>
            <w:r w:rsidRPr="00055909">
              <w:rPr>
                <w:sz w:val="20"/>
                <w:szCs w:val="20"/>
              </w:rPr>
              <w:t xml:space="preserve">Información no disponible</w:t>
            </w:r>
            <w:r w:rsidR="27FD9B0B" w:rsidRPr="00055909">
              <w:rPr>
                <w:sz w:val="20"/>
                <w:szCs w:val="20"/>
                <w:lang w:val="en-US"/>
              </w:rPr>
              <w:t xml:space="preserve"> </w:t>
            </w:r>
          </w:p>
        </w:tc>
      </w:tr>
      <w:tr w:rsidR="27FD9B0B" w14:paraId="395046EB"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27FD9B0B">
            <w:pPr>
              <w:ind w:left="-108" w:right="-29"/>
              <w:jc w:val="both"/>
              <w:rPr>
                <w:sz w:val="20"/>
                <w:szCs w:val="20"/>
              </w:rPr>
            </w:pPr>
            <w:r w:rsidRPr="00055909">
              <w:rPr>
                <w:sz w:val="20"/>
                <w:szCs w:val="20"/>
                <w:lang w:val="en-US"/>
              </w:rPr>
              <w:t xml:space="preserve">No online available information.</w:t>
            </w:r>
          </w:p>
        </w:tc>
      </w:tr>
      <w:tr w:rsidR="27FD9B0B" w14:paraId="03821FA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27FD9B0B">
            <w:pPr>
              <w:ind w:left="-108" w:right="-29"/>
              <w:jc w:val="both"/>
              <w:rPr>
                <w:sz w:val="20"/>
                <w:szCs w:val="20"/>
              </w:rPr>
            </w:pPr>
            <w:r w:rsidRPr="00055909">
              <w:rPr>
                <w:sz w:val="20"/>
                <w:szCs w:val="20"/>
                <w:lang w:val="en-US"/>
              </w:rPr>
              <w:t xml:space="preserve"/>
            </w:r>
          </w:p>
        </w:tc>
      </w:tr>
      <w:tr w:rsidR="27FD9B0B" w14:paraId="7FBB8B8A"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B7ACBB8" w:rsidR="27FD9B0B" w:rsidRPr="00055909" w:rsidRDefault="27FD9B0B" w:rsidP="00F577AE">
            <w:pPr>
              <w:ind w:left="-108" w:right="-29"/>
              <w:jc w:val="both"/>
              <w:rPr>
                <w:sz w:val="20"/>
                <w:szCs w:val="20"/>
              </w:rPr>
            </w:pPr>
            <w:r w:rsidRPr="00055909">
              <w:rPr>
                <w:sz w:val="20"/>
                <w:szCs w:val="20"/>
              </w:rPr>
              <w:t xml:space="preserve">Forced degradation studies of melatonin have been extensively employed to elucidate the degradation routes under controlled stress conditions. Detailed investigations using validated stability‐indicating HPTLC methods have demonstrated that melatonin undergoes degradation in acidic, alkaline, and oxidative environments. Specifically, degradation in 1N HCl and 1N NaOH conditions follows first order kinetics, indicating a rapid decrease in drug concentration under severe pH stress. The experimental approach incorporated accelerated conditions with controlled temperature and light exposure to simulate potential in vivo and in-process degradation, thus ensuring the identification of degradation products and impurities. Kinetic parameters derived from these studies further confirmed the susceptibility of melatonin to chemical degradation, which is critical for the design of stability indicating methods in compliance with ICH guidelines. In addition, chemometrics applications have been integrated to predict degradation pathways and quantify the formation of degradants under various stress conditions. This systematic approach not only guides formulation strategies but also aids in regulatory submissions by providing robust degradation profiles. Relevant data and methodologies can be cross-referenced from studies available at [ScienceDirect](https://www.sciencedirect.com/science/article/pii/S0169409X06002730), [PubMed](https://pubmed.ncbi.nlm.nih.gov/31652589/), [RJPT](https://rjptonline.org/AbstractView.aspx?PID=2020-13-2-2), and [ResearchGate](https://www.researchgate.net/publication/340863188_Current_Trends_in_Performance_of_Forced_Degradation_Studies_and_Stability_Indicating_Studies_of_Drugs) and [ResearchGate](https://www.researchgate.net/publication/340533101_Degradation_Kinetic_Study_of_Melatonin_in_Alkaline_and_Acidic_Medium_by_Validated_Stability_Indicating_HPTLC_Method).</w:t>
            </w:r>
          </w:p>
        </w:tc>
      </w:tr>
      <w:tr w:rsidR="27FD9B0B" w14:paraId="35F2CD9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3A2A16">
            <w:pPr>
              <w:ind w:left="-108" w:right="-29"/>
              <w:jc w:val="both"/>
              <w:rPr>
                <w:sz w:val="20"/>
                <w:szCs w:val="20"/>
              </w:rPr>
            </w:pPr>
            <w:r w:rsidRPr="00055909">
              <w:rPr>
                <w:sz w:val="20"/>
                <w:szCs w:val="20"/>
              </w:rPr>
              <w:t xml:space="preserve"/>
            </w:r>
            <w:r w:rsidRPr="00055909">
              <w:rPr>
                <w:sz w:val="20"/>
                <w:szCs w:val="20"/>
                <w:lang w:val="en-US"/>
              </w:rPr>
              <w:t xml:space="preserve"> </w:t>
            </w:r>
          </w:p>
        </w:tc>
      </w:tr>
      <w:tr w:rsidR="27FD9B0B" w14:paraId="13CA9EB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296F1118">
            <w:pPr>
              <w:ind w:left="-108" w:right="-29"/>
              <w:jc w:val="both"/>
              <w:rPr>
                <w:sz w:val="20"/>
                <w:szCs w:val="20"/>
                <w:lang w:val="en-US"/>
              </w:rPr>
            </w:pPr>
            <w:r w:rsidRPr="00055909">
              <w:rPr>
                <w:sz w:val="20"/>
                <w:szCs w:val="20"/>
                <w:lang w:val="en-US"/>
              </w:rPr>
              <w:t xml:space="preserve">The impurity profile of melatonin as an active pharmaceutical ingredient has been rigorously characterized using validated analytical techniques. Key impurities include pharmacopeial compounds such as Melatonin Impurity C (2-(5-Methoxy-1H-indol-3-yl)ethan-1-amine, CAS 608-07-1, Molecular Weight 190.24) and Melatonin EP Impurity A (C10H12N2O·HCl, CAS 50-67-9). Additional impurities comprise deuterated analogues, nitroso derivatives, and related compounds synthesized as reference standards. These compounds are generated either as byproducts of the synthetic route or via degradation pathways during storage. Advanced methodologies including High Performance Liquid Chromatography, Mass Spectrometry, and Nuclear Magnetic Resonance spectroscopy have been employed for their identification and quantification. Structured impurity profiling not only ensures compliance with pharmacopeial standards but also mitigates risks associated with adverse effects such as eosinophilia-myalgia syndrome reported in literature. Optimized industrial manufacturing processes have been developed to control the level of these impurities, thus assuring high purity of the final melatonin product. Detailed impurity reference standards and analytical data are available from multiple sources, supporting regulatory filings and quality control measures [Pharmaffiliates](https://www.pharmaffiliates.com/en/parentapi/melatonin-impurities), [SynZeal](https://www.synzeal.com/en/melantonin), [PubMed](https://pubmed.ncbi.nlm.nih.gov/10085477/).</w:t>
            </w:r>
          </w:p>
        </w:tc>
      </w:tr>
      <w:tr w:rsidR="27FD9B0B" w14:paraId="440C67C4"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27FD9B0B">
            <w:pPr>
              <w:ind w:left="-108" w:right="-29"/>
              <w:jc w:val="both"/>
              <w:rPr>
                <w:sz w:val="20"/>
                <w:szCs w:val="20"/>
              </w:rPr>
            </w:pPr>
            <w:r w:rsidRPr="00055909">
              <w:rPr>
                <w:sz w:val="20"/>
                <w:szCs w:val="20"/>
              </w:rPr>
              <w:t xml:space="preserve">Melatonin’s biopharmaceutical classification is assessed within the framework of the Biopharmaceutics Classification System (BCS), which categorizes active pharmaceutical ingredients based on aqueous solubility and intestinal permeability. Although specific experimental BCS data for melatonin are not explicitly provided in the available evidence, general principles indicate that melatonin likely exhibits low aqueous solubility with high intestinal permeability. Such characteristics are typically aligned with BCS Class II compounds. Determination of this classification relies on experimental methods including dissolution testing and permeability assays, as outlined by the World Health Organization, US Food and Drug Administration, and European Medicines Agency. The systematic review by Manikandan and Lakshmi highlights the relevance of BCS in formulation design and biowaiver guidelines (https://healthinformaticsjournal.com/index.php/IJMI/article/view/733). Supplementary methodological details are provided in additional sources such as the Springer PDF (https://link.springer.com/content/pdf/10.1007/978-3-030-51519-5_139-1) and ScienceDirect publications (https://www.sciencedirect.com/science/article/pii/S0378517319304004). These robust findings underscore the necessity for comprehensive in vitro and in vivo assessments to validate dissolution and permeability models. A designation will clearly optimize formulation strategies.</w:t>
            </w:r>
          </w:p>
        </w:tc>
      </w:tr>
      <w:tr w:rsidR="27FD9B0B" w14:paraId="766D6543"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27FD9B0B">
            <w:pPr>
              <w:ind w:left="-108" w:right="-29"/>
              <w:jc w:val="both"/>
              <w:rPr>
                <w:sz w:val="20"/>
                <w:szCs w:val="20"/>
              </w:rPr>
            </w:pPr>
            <w:r w:rsidRPr="00055909">
              <w:rPr>
                <w:sz w:val="20"/>
                <w:szCs w:val="20"/>
                <w:lang w:val="en-US"/>
              </w:rPr>
              <w:t xml:space="preserve"> </w:t>
            </w:r>
          </w:p>
        </w:tc>
      </w:tr>
      <w:tr w:rsidR="27FD9B0B" w14:paraId="6B498DB2" w14:textId="77777777" w:rsidTr="6026102E">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4180550A" w:rsidR="27FD9B0B" w:rsidRDefault="27FD9B0B" w:rsidP="003A2A16">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Melatonin</w:t>
            </w:r>
          </w:p>
          <w:p w14:paraId="734B4063" w14:textId="77777777" w:rsidR="00F95D69" w:rsidRPr="00055909" w:rsidRDefault="00F95D69" w:rsidP="003A2A16">
            <w:pPr>
              <w:ind w:left="-108" w:right="-29"/>
              <w:rPr>
                <w:sz w:val="20"/>
                <w:szCs w:val="20"/>
              </w:rPr>
            </w:pPr>
          </w:p>
          <w:p w14:paraId="11BC986D" w14:textId="3DD53743" w:rsidR="27FD9B0B" w:rsidRDefault="27FD9B0B" w:rsidP="003A2A16">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37B5E6E6" w14:textId="77777777" w:rsidR="00F95D69" w:rsidRPr="00055909" w:rsidRDefault="00F95D69" w:rsidP="003A2A16">
            <w:pPr>
              <w:ind w:left="-108" w:right="-29"/>
              <w:rPr>
                <w:sz w:val="20"/>
                <w:szCs w:val="20"/>
              </w:rPr>
            </w:pPr>
          </w:p>
          <w:p w14:paraId="20F131AA" w14:textId="050244CB" w:rsidR="27FD9B0B" w:rsidRDefault="27FD9B0B" w:rsidP="003A2A16">
            <w:pPr>
              <w:ind w:left="-108" w:right="-29"/>
              <w:rPr>
                <w:b/>
                <w:bCs/>
                <w:sz w:val="20"/>
                <w:szCs w:val="20"/>
                <w:lang w:val="en-US"/>
              </w:rPr>
            </w:pPr>
            <w:r w:rsidRPr="00055909">
              <w:rPr>
                <w:b/>
                <w:bCs/>
                <w:sz w:val="20"/>
                <w:szCs w:val="20"/>
                <w:lang w:val="en-US"/>
              </w:rPr>
              <w:t xml:space="preserve">Structure: </w:t>
            </w:r>
          </w:p>
          <w:p w14:paraId="4315CA61" w14:textId="77777777" w:rsidR="00F95D69" w:rsidRPr="00055909" w:rsidRDefault="00F95D69" w:rsidP="003A2A16">
            <w:pPr>
              <w:ind w:left="-108" w:right="-29"/>
              <w:rPr>
                <w:sz w:val="20"/>
                <w:szCs w:val="20"/>
              </w:rPr>
            </w:pPr>
          </w:p>
          <w:p w14:paraId="3C716337" w14:textId="41B8AF86" w:rsidR="27FD9B0B" w:rsidRDefault="4CDF4483" w:rsidP="6026102E">
            <w:pPr>
              <w:ind w:left="-108" w:right="-29"/>
              <w:rPr>
                <w:sz w:val="20"/>
                <w:szCs w:val="20"/>
                <w:lang w:val="es-CO"/>
              </w:rPr>
            </w:pPr>
            <w:r w:rsidRPr="00F95D69">
              <w:rPr>
                <w:b/>
                <w:bCs/>
                <w:sz w:val="20"/>
                <w:szCs w:val="20"/>
                <w:lang w:val="es-CO"/>
              </w:rPr>
              <w:t xml:space="preserve">Molecular formula:</w:t>
            </w:r>
            <w:r w:rsidRPr="00F95D69">
              <w:rPr>
                <w:sz w:val="20"/>
                <w:szCs w:val="20"/>
                <w:lang w:val="es-CO"/>
              </w:rPr>
              <w:t xml:space="preserve"> </w:t>
            </w:r>
            <w:proofErr w:type="gramStart"/>
            <w:r w:rsidRPr="00F95D69">
              <w:rPr>
                <w:sz w:val="20"/>
                <w:szCs w:val="20"/>
                <w:lang w:val="es-CO"/>
              </w:rPr>
              <w:t xml:space="preserve">Información no disponible</w:t>
            </w:r>
          </w:p>
          <w:p w14:paraId="65328929" w14:textId="77777777" w:rsidR="00F95D69" w:rsidRPr="00F95D69" w:rsidRDefault="00F95D69" w:rsidP="6026102E">
            <w:pPr>
              <w:ind w:left="-108" w:right="-29"/>
              <w:rPr>
                <w:sz w:val="20"/>
                <w:szCs w:val="20"/>
                <w:lang w:val="es-CO"/>
              </w:rPr>
            </w:pPr>
          </w:p>
          <w:p w14:paraId="767FCAAA" w14:textId="4CF9C816" w:rsidR="27FD9B0B" w:rsidRDefault="27FD9B0B" w:rsidP="003A2A16">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232.28</w:t>
            </w:r>
          </w:p>
          <w:p w14:paraId="257DD46D" w14:textId="77777777" w:rsidR="00F95D69" w:rsidRPr="00055909" w:rsidRDefault="00F95D69" w:rsidP="003A2A16">
            <w:pPr>
              <w:ind w:left="-108" w:right="-29"/>
              <w:rPr>
                <w:sz w:val="20"/>
                <w:szCs w:val="20"/>
              </w:rPr>
            </w:pPr>
          </w:p>
          <w:p w14:paraId="36B67FA8" w14:textId="0ADB3F12" w:rsidR="27FD9B0B" w:rsidRDefault="27FD9B0B" w:rsidP="003A2A16">
            <w:pPr>
              <w:ind w:left="-108" w:right="-29"/>
              <w:rPr>
                <w:sz w:val="20"/>
                <w:szCs w:val="20"/>
              </w:rPr>
            </w:pPr>
            <w:r w:rsidRPr="00055909">
              <w:rPr>
                <w:b/>
                <w:bCs/>
                <w:sz w:val="20"/>
                <w:szCs w:val="20"/>
              </w:rPr>
              <w:t>Type of substance:</w:t>
            </w:r>
            <w:r w:rsidRPr="00055909">
              <w:rPr>
                <w:sz w:val="20"/>
                <w:szCs w:val="20"/>
              </w:rPr>
              <w:t xml:space="preserve"> </w:t>
            </w:r>
          </w:p>
          <w:p w14:paraId="180F5B00" w14:textId="77777777" w:rsidR="00F95D69" w:rsidRPr="00055909" w:rsidRDefault="00F95D69" w:rsidP="003A2A16">
            <w:pPr>
              <w:ind w:left="-108" w:right="-29"/>
              <w:rPr>
                <w:sz w:val="20"/>
                <w:szCs w:val="20"/>
              </w:rPr>
            </w:pPr>
          </w:p>
          <w:p w14:paraId="62BD63C1" w14:textId="14979A90" w:rsidR="27FD9B0B" w:rsidRDefault="27FD9B0B" w:rsidP="003A2A16">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Información no disponible</w:t>
            </w:r>
          </w:p>
          <w:p w14:paraId="17113DB0" w14:textId="77777777" w:rsidR="00F95D69" w:rsidRPr="00055909" w:rsidRDefault="00F95D69" w:rsidP="003A2A16">
            <w:pPr>
              <w:ind w:left="-108" w:right="-29"/>
              <w:rPr>
                <w:sz w:val="20"/>
                <w:szCs w:val="20"/>
              </w:rPr>
            </w:pPr>
          </w:p>
          <w:p w14:paraId="77A4A6B1" w14:textId="5A68E564" w:rsidR="27FD9B0B" w:rsidRDefault="27FD9B0B" w:rsidP="003A2A16">
            <w:pPr>
              <w:ind w:left="-108" w:right="-29"/>
              <w:rPr>
                <w:sz w:val="20"/>
                <w:szCs w:val="20"/>
              </w:rPr>
            </w:pPr>
            <w:r w:rsidRPr="00055909">
              <w:rPr>
                <w:b/>
                <w:bCs/>
                <w:sz w:val="20"/>
                <w:szCs w:val="20"/>
              </w:rPr>
              <w:t>Partition coefficient:</w:t>
            </w:r>
            <w:r w:rsidRPr="00055909">
              <w:rPr>
                <w:sz w:val="20"/>
                <w:szCs w:val="20"/>
              </w:rPr>
              <w:t xml:space="preserve"> </w:t>
            </w:r>
            <w:proofErr w:type="gramStart"/>
            <w:r w:rsidRPr="00055909">
              <w:rPr>
                <w:sz w:val="20"/>
                <w:szCs w:val="20"/>
              </w:rPr>
              <w:t xml:space="preserve">Información no disponible</w:t>
            </w:r>
          </w:p>
          <w:p w14:paraId="05351170" w14:textId="77777777" w:rsidR="00F95D69" w:rsidRPr="00055909" w:rsidRDefault="00F95D69" w:rsidP="003A2A16">
            <w:pPr>
              <w:ind w:left="-108" w:right="-29"/>
              <w:rPr>
                <w:sz w:val="20"/>
                <w:szCs w:val="20"/>
              </w:rPr>
            </w:pPr>
          </w:p>
          <w:p w14:paraId="65E2F56C" w14:textId="0CBB0876" w:rsidR="27FD9B0B" w:rsidRDefault="27FD9B0B" w:rsidP="003A2A16">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Melatonin’s hygroscopicity was characterized using gravimetric analysis under controlled relative humidity conditions. Studies utilize water vapor sorption isotherms to quantitatively measure moisture uptake, with samples exposed to various RH levels at constant temperature, facilitating the evaluation of sorption kinetics and equilibrium states. Automated sorption microbalance (ASM) techniques have been employed to accelerate measurements, although caution is advised when water vapor diffusion and heat transfer are not rate limiting. Data indicate that moisture uptake is critically influenced by the crystalline or amorphous state of Melatonin, with potential for polymorphic transitions when exposed to elevated humidity. Pre-treatment of samples and extended equilibration periods are essential for accurate assessment. The reported methodologies aid in predicting long-term stability and potential physical or chemical degradation, thus guiding drug candidate selection and formulation strategy. Observations include cases where absorbed water initiates metastable transitions, affecting the overall water content and performance of the API. Comprehensive reviews of these approaches, as found in data from the Wiley Journal of Pharmaceutical Sciences [https://onlinelibrary.wiley.com/doi/10.1002/jps.21033], ScienceDirect [https://www.sciencedirect.com/science/article/abs/pii/S0022354916325230], and the University Digital Conservancy [https://hdl.handle.net/11299/47878], underscore the importance of hygroscopicity profiling during drug development. These insights are indispensable in optimizing manufacturing processes, packaging conditions, and ensuring efficacy and stability of the Melatonin API.</w:t>
            </w:r>
          </w:p>
          <w:p w14:paraId="7E404731" w14:textId="77777777" w:rsidR="00F95D69" w:rsidRPr="00055909" w:rsidRDefault="00F95D69" w:rsidP="003A2A16">
            <w:pPr>
              <w:ind w:left="-108" w:right="-29"/>
              <w:rPr>
                <w:sz w:val="20"/>
                <w:szCs w:val="20"/>
              </w:rPr>
            </w:pPr>
          </w:p>
          <w:p w14:paraId="767F5ED5" w14:textId="0AD5EBA9" w:rsidR="27FD9B0B" w:rsidRDefault="27FD9B0B" w:rsidP="003A2A16">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Investigations into the chirality and specific optical rotation of the melatonin active pharmaceutical ingredient indicate that the natural form of melatonin, N-Acetyl-5-methoxytryptamine, is intrinsically achiral due to the absence of stereogenic centers. However, recent studies exploring melatonin receptor ligands have successfully introduced chirality through structural modifications. For instance, beta-methyl derivatives of melatonin analogues were synthesized and examined using advanced NMR spectroscopy, molecular dynamics simulations, and receptor docking approaches. These investigations revealed that the beta-methyl group alters the conformational equilibrium of the ethylamide chain, thereby generating stereoselectivity. In these studies, the (S)-enantiomer was observed to function as the eutomer and exhibited superior receptor binding characteristics compared to its (R)-counterpart. Although precise specific optical rotation values were not reported in these experiments, the chiral recognition processes clearly demonstrated that introducing a stereocenter can significantly impact receptor interactions. The integration of chiral derivatization and conformational analysis provides valuable insight into the structure–activity relationship for melatonin receptor engagement. Key references include data from PubChem [https://pubchem.ncbi.nlm.nih.gov/compound/Melatonin], MDPI Molecules [https://mdpi-res.com/d_attachment/molecules/molecules-25-04057/article_deploy/molecules-25-04057-v2.pdf?version=1599813272], and PMC [https://pmc.ncbi.nlm.nih.gov/articles/PMC6308847/].</w:t>
            </w:r>
          </w:p>
          <w:p w14:paraId="4BBE7AA0" w14:textId="77777777" w:rsidR="00F95D69" w:rsidRPr="00055909" w:rsidRDefault="00F95D69" w:rsidP="003A2A16">
            <w:pPr>
              <w:ind w:left="-108" w:right="-29"/>
              <w:rPr>
                <w:sz w:val="20"/>
                <w:szCs w:val="20"/>
              </w:rPr>
            </w:pPr>
          </w:p>
          <w:p w14:paraId="374ED950" w14:textId="44C7AF5E" w:rsidR="27FD9B0B" w:rsidRPr="00055909" w:rsidRDefault="27FD9B0B" w:rsidP="003A2A16">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A comprehensive review of the available literature on melatonin indicates that the molecule is sensitive to high temperatures, with degradation pathways studied under diverse stress conditions. However, explicit numerical values for the degradation temperature of melatonin have not been clearly established in the current body of research. For example, a degradation kinetic study using a stability indicating HPTLC method demonstrated that melatonin undergoes degradation in acidic, alkaline, and oxidative environments following first order kinetics, yet it did not specify an exact temperature threshold for degradation [RJPT](https://rjptonline.org/AbstractView.aspx?PID=2020-13-2-2). In related work, investigations on the stability of melatonin in eutectic systems highlighted the role of temperature, alongside light exposure, in affecting its stability; nevertheless, these studies emphasize the qualitative impact of the thermal environment rather than pinpointing a distinct degradation temperature [ScienceDirect](https://www.sciencedirect.com/science/article/pii/S2772422024000351). Additional research on thermal degradation in aqueous media supports the concept that increased temperatures accelerate degradation, but a definitive degradation temperature under standardized conditions remains undetermined [PubMed](https://pubmed.ncbi.nlm.nih.gov/32258489/). Further targeted analytical investigations are required for precise determination of the degradation temperature of melatonin.</w:t>
            </w:r>
          </w:p>
          <w:p w14:paraId="749E79F7" w14:textId="01A38265" w:rsidR="27FD9B0B" w:rsidRDefault="27FD9B0B" w:rsidP="003A2A16">
            <w:pPr>
              <w:ind w:left="-108" w:right="-29"/>
              <w:rPr>
                <w:sz w:val="20"/>
                <w:szCs w:val="20"/>
                <w:lang w:val="en-US"/>
              </w:rPr>
            </w:pPr>
            <w:r w:rsidRPr="00055909">
              <w:rPr>
                <w:sz w:val="20"/>
                <w:szCs w:val="20"/>
                <w:lang w:val="en-US"/>
              </w:rPr>
              <w:t xml:space="preserve">Data Analysis: The glass transition temperature (Tg) is a critical parameter for evaluating the stability and performance of amorphous active pharmaceutical ingredients such as melatonin. Although a specific numerical value for melatonin’s Tg is not provided in the current literature, the available evidence emphasizes the methodologies necessary for obtaining precise measurements. Differential scanning calorimetry (DSC), including both conventional DSC and modulated DSC, is highlighted as the primary analytical technique to assess Tg. Conventional DSC offers an approximate temperature range and transition width that aids in establishing initial guidelines, whereas modulated DSC provides enhanced sensitivity and accurate heat capacity data, thereby refining the evaluation of the amorphous state. Experimental conditions, including sample preparation, instrumental parameters, and moisture environment, are critical in determining the observed Tg and ensuring reproducibility. In addition, studies using molecular dynamics simulations illustrate the impact of polymer molecular mass, free volume, hydrogen bonding, and steric shielding on the Tg of pharmaceutical dispersions. Although specific Tg values for melatonin remain to be reported, these analytical approaches underscore the importance of optimizing experimental protocols in future research. Citations: [Springer](https://link.springer.com/article/10.1208/s12249-019-1562-1), [PubMed](https://pubmed.ncbi.nlm.nih.gov/21324354/), [PMC](https://pmc.ncbi.nlm.nih.gov/articles/PMC8400648/), [ACS](https://pubs.acs.org/doi/10.1021/acs.jpcb.7b10105).</w:t>
            </w:r>
          </w:p>
          <w:p w14:paraId="78CE1FC0" w14:textId="77777777" w:rsidR="00F95D69" w:rsidRPr="00055909" w:rsidRDefault="00F95D69" w:rsidP="003A2A16">
            <w:pPr>
              <w:ind w:left="-108" w:right="-29"/>
              <w:rPr>
                <w:sz w:val="20"/>
                <w:szCs w:val="20"/>
              </w:rPr>
            </w:pPr>
          </w:p>
          <w:p w14:paraId="57F3B2DE" w14:textId="59EC67BA" w:rsidR="27FD9B0B" w:rsidRPr="00055909" w:rsidRDefault="27FD9B0B" w:rsidP="003A2A16">
            <w:pPr>
              <w:ind w:left="-108" w:right="-29"/>
              <w:rPr>
                <w:sz w:val="20"/>
                <w:szCs w:val="20"/>
              </w:rPr>
            </w:pPr>
            <w:r w:rsidRPr="00055909">
              <w:rPr>
                <w:b/>
                <w:bCs/>
                <w:sz w:val="20"/>
                <w:szCs w:val="20"/>
              </w:rPr>
              <w:lastRenderedPageBreak/>
              <w:t xml:space="preserve">Boiling point:</w:t>
            </w:r>
            <w:r w:rsidRPr="00055909">
              <w:rPr>
                <w:sz w:val="20"/>
                <w:szCs w:val="20"/>
              </w:rPr>
              <w:t xml:space="preserve"> Información no disponible</w:t>
            </w:r>
          </w:p>
        </w:tc>
      </w:tr>
    </w:tbl>
    <w:p w14:paraId="76D2583F" w14:textId="6C3135F7" w:rsidR="00271F9C" w:rsidRDefault="4F1753C3" w:rsidP="00990997">
      <w:pPr>
        <w:rPr>
          <w:sz w:val="20"/>
          <w:szCs w:val="20"/>
          <w:lang w:val="en-US"/>
        </w:rPr>
      </w:pPr>
      <w:r w:rsidRPr="296F1118">
        <w:rPr>
          <w:sz w:val="20"/>
          <w:szCs w:val="20"/>
          <w:lang w:val="en-US"/>
        </w:rPr>
        <w:lastRenderedPageBreak/>
        <w:t xml:space="preserve"/>
      </w:r>
    </w:p>
    <w:p w14:paraId="5FD46460" w14:textId="121610F2" w:rsidR="00D14509" w:rsidRDefault="00D14509">
      <w:pPr>
        <w:rPr>
          <w:sz w:val="20"/>
          <w:szCs w:val="20"/>
          <w:lang w:val="en-US"/>
        </w:rPr>
      </w:pPr>
      <w:r>
        <w:rPr>
          <w:sz w:val="20"/>
          <w:szCs w:val="20"/>
          <w:lang w:val="en-US"/>
        </w:rPr>
        <w:br w:type="page"/>
      </w:r>
    </w:p>
    <w:p w14:paraId="2A545AAB" w14:textId="08F25ADF" w:rsidR="00D14509" w:rsidRDefault="00D14509" w:rsidP="00D14509">
      <w:pPr>
        <w:rPr>
          <w:sz w:val="20"/>
          <w:szCs w:val="20"/>
          <w:lang w:val="en-US"/>
        </w:rPr>
      </w:pPr>
      <w:r w:rsidRPr="296F1118">
        <w:rPr>
          <w:sz w:val="20"/>
          <w:szCs w:val="20"/>
          <w:lang w:val="en-US"/>
        </w:rPr>
        <w:lastRenderedPageBreak/>
        <w:t xml:space="preserve"/>
      </w:r>
    </w:p>
    <w:tbl>
      <w:tblPr>
        <w:tblW w:w="1065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16"/>
        <w:gridCol w:w="1628"/>
        <w:gridCol w:w="1522"/>
        <w:gridCol w:w="1522"/>
        <w:gridCol w:w="1522"/>
        <w:gridCol w:w="1522"/>
        <w:gridCol w:w="1522"/>
      </w:tblGrid>
      <w:tr w:rsidR="00D14509" w:rsidRPr="00161EAF" w14:paraId="0A73FAEC" w14:textId="77777777" w:rsidTr="00EF29CC">
        <w:trPr>
          <w:trHeight w:val="1042"/>
          <w:tblHeader/>
          <w:jc w:val="center"/>
        </w:trPr>
        <w:tc>
          <w:tcPr>
            <w:tcW w:w="10658" w:type="dxa"/>
            <w:gridSpan w:val="2"/>
            <w:shd w:val="clear" w:color="auto" w:fill="DBE5F1"/>
            <w:vAlign w:val="center"/>
          </w:tcPr>
          <w:p w14:paraId="1614A27C" w14:textId="77777777" w:rsidR="00D14509" w:rsidRPr="00161EAF" w:rsidRDefault="00D14509" w:rsidP="00D14509">
            <w:pPr>
              <w:pStyle w:val="Prrafodelista"/>
              <w:numPr>
                <w:ilvl w:val="0"/>
                <w:numId w:val="17"/>
              </w:numPr>
              <w:ind w:right="-29"/>
              <w:rPr>
                <w:b/>
                <w:sz w:val="20"/>
                <w:szCs w:val="20"/>
                <w:lang w:val="en-US"/>
              </w:rPr>
            </w:pPr>
            <w:r w:rsidRPr="00161EAF">
              <w:rPr>
                <w:b/>
                <w:sz w:val="20"/>
                <w:szCs w:val="20"/>
                <w:lang w:val="en-US"/>
              </w:rPr>
              <w:t>INFORMATION OF THE REFERENCE LISTED DRUG (RLD)</w:t>
            </w:r>
          </w:p>
          <w:p w14:paraId="30AA25AC" w14:textId="77777777" w:rsidR="00D14509" w:rsidRPr="00161EAF" w:rsidRDefault="00D14509" w:rsidP="00EF29CC">
            <w:pPr>
              <w:ind w:left="-108" w:right="-29"/>
              <w:jc w:val="both"/>
              <w:rPr>
                <w:sz w:val="20"/>
                <w:szCs w:val="20"/>
                <w:lang w:val="en-US"/>
              </w:rPr>
            </w:pPr>
            <w:r w:rsidRPr="00161EAF">
              <w:rPr>
                <w:sz w:val="20"/>
                <w:szCs w:val="20"/>
                <w:lang w:val="en-US"/>
              </w:rPr>
              <w:t xml:space="preserve">(The information of this section should be filled in for the RLD and those similar products that appear in the FDA Orange Book) </w:t>
            </w:r>
          </w:p>
        </w:tc>
      </w:tr>
      <w:tr w:rsidR="00D14509" w:rsidRPr="00161EAF" w14:paraId="0941BD99" w14:textId="77777777" w:rsidTr="00EF29CC">
        <w:trPr>
          <w:trHeight w:val="510"/>
          <w:jc w:val="center"/>
        </w:trPr>
        <w:tc>
          <w:tcPr>
            <w:tcW w:w="4957" w:type="dxa"/>
            <w:vAlign w:val="center"/>
          </w:tcPr>
          <w:p w14:paraId="1E6DF57F" w14:textId="77777777" w:rsidR="00D14509" w:rsidRPr="00161EAF" w:rsidRDefault="00D14509" w:rsidP="00EF29CC">
            <w:pPr>
              <w:ind w:left="-108" w:right="-29"/>
              <w:rPr>
                <w:sz w:val="20"/>
                <w:szCs w:val="20"/>
                <w:lang w:val="en-US"/>
              </w:rPr>
            </w:pPr>
            <w:r w:rsidRPr="00161EAF">
              <w:rPr>
                <w:sz w:val="20"/>
                <w:szCs w:val="20"/>
                <w:lang w:val="en-US"/>
              </w:rPr>
              <w:t>Brand name/Generic name</w:t>
            </w:r>
          </w:p>
        </w:tc>
        <w:tc>
          <w:tcPr>
            <w:tcW w:w="5701" w:type="dxa"/>
            <w:vAlign w:val="center"/>
          </w:tcPr>
          <w:p w14:paraId="7B6FC0BB" w14:textId="7B3F3C81" w:rsidR="00D14509" w:rsidRPr="00161EAF" w:rsidRDefault="00D14509" w:rsidP="00D14509">
            <w:pPr>
              <w:ind w:left="-108" w:right="-29"/>
              <w:rPr>
                <w:sz w:val="20"/>
                <w:szCs w:val="20"/>
                <w:lang w:val="en-US"/>
              </w:rPr>
            </w:pPr>
            <w:r w:rsidRPr="00055909">
              <w:rPr>
                <w:sz w:val="20"/>
                <w:szCs w:val="20"/>
              </w:rPr>
              <w:t xml:space="preserve">Melatonin</w:t>
            </w:r>
          </w:p>
        </w:tc>
      </w:tr>
      <w:tr w:rsidR="00D14509" w:rsidRPr="00161EAF" w14:paraId="519382F6" w14:textId="77777777" w:rsidTr="00EF29CC">
        <w:trPr>
          <w:trHeight w:val="510"/>
          <w:jc w:val="center"/>
        </w:trPr>
        <w:tc>
          <w:tcPr>
            <w:tcW w:w="10658" w:type="dxa"/>
            <w:gridSpan w:val="2"/>
            <w:vAlign w:val="center"/>
          </w:tcPr>
          <w:p w14:paraId="3A134D35" w14:textId="77777777" w:rsidR="00D14509" w:rsidRPr="00A32203" w:rsidRDefault="00D14509" w:rsidP="00EF29CC">
            <w:pPr>
              <w:ind w:left="-108" w:right="-29"/>
              <w:jc w:val="center"/>
              <w:rPr>
                <w:sz w:val="16"/>
                <w:szCs w:val="16"/>
                <w:lang w:val="en-US"/>
              </w:rPr>
            </w:pPr>
          </w:p>
          <w:p w14:paraId="534B8E69" w14:textId="0B24233A" w:rsidR="00D14509" w:rsidRDefault="00D14509" w:rsidP="00EF29CC">
            <w:pPr>
              <w:ind w:left="-108" w:right="-29"/>
              <w:jc w:val="center"/>
              <w:rPr>
                <w:sz w:val="20"/>
                <w:szCs w:val="20"/>
                <w:lang w:val="en-US"/>
              </w:rPr>
            </w:pPr>
            <w:proofErr w:type="spellStart"/>
            <w:r>
              <w:rPr>
                <w:sz w:val="20"/>
                <w:szCs w:val="20"/>
                <w:lang w:val="en-US"/>
              </w:rPr>
              <w:t>Packaging_imgs</w:t>
            </w:r>
            <w:proofErr w:type="spellEnd"/>
          </w:p>
          <w:p w14:paraId="14A32372" w14:textId="77777777" w:rsidR="00D14509" w:rsidRPr="00A32203" w:rsidRDefault="00D14509" w:rsidP="00EF29CC">
            <w:pPr>
              <w:ind w:left="-108" w:right="-29"/>
              <w:jc w:val="center"/>
              <w:rPr>
                <w:sz w:val="16"/>
                <w:szCs w:val="16"/>
                <w:lang w:val="en-US"/>
              </w:rPr>
            </w:pPr>
          </w:p>
        </w:tc>
      </w:tr>
      <w:tr w:rsidR="00D14509" w:rsidRPr="00161EAF" w14:paraId="4A1DB35E" w14:textId="77777777" w:rsidTr="00EF29CC">
        <w:trPr>
          <w:trHeight w:val="421"/>
          <w:jc w:val="center"/>
        </w:trPr>
        <w:tc>
          <w:tcPr>
            <w:tcW w:w="4957" w:type="dxa"/>
            <w:vAlign w:val="center"/>
          </w:tcPr>
          <w:p w14:paraId="2313FA33" w14:textId="77777777" w:rsidR="00D14509" w:rsidRPr="00161EAF" w:rsidRDefault="00D14509" w:rsidP="00EF29CC">
            <w:pPr>
              <w:ind w:left="-108" w:right="-29"/>
              <w:rPr>
                <w:sz w:val="20"/>
                <w:szCs w:val="20"/>
                <w:lang w:val="en-US"/>
              </w:rPr>
            </w:pPr>
            <w:r w:rsidRPr="00161EAF">
              <w:rPr>
                <w:sz w:val="20"/>
                <w:szCs w:val="20"/>
                <w:lang w:val="en-US"/>
              </w:rPr>
              <w:t>Manufacturer</w:t>
            </w:r>
          </w:p>
        </w:tc>
        <w:tc>
          <w:tcPr>
            <w:tcW w:w="5701" w:type="dxa"/>
            <w:vAlign w:val="center"/>
          </w:tcPr>
          <w:p w14:paraId="50724068" w14:textId="2AD397E5" w:rsidR="00D14509" w:rsidRPr="00161EAF" w:rsidRDefault="00D14509" w:rsidP="00D14509">
            <w:pPr>
              <w:ind w:left="-108" w:right="-29"/>
              <w:jc w:val="both"/>
              <w:rPr>
                <w:sz w:val="20"/>
                <w:szCs w:val="20"/>
                <w:lang w:val="en-US"/>
              </w:rPr>
            </w:pPr>
            <w:r w:rsidRPr="00055909">
              <w:rPr>
                <w:sz w:val="20"/>
                <w:szCs w:val="20"/>
              </w:rPr>
              <w:t xml:space="preserve"/>
            </w:r>
          </w:p>
        </w:tc>
      </w:tr>
      <w:tr w:rsidR="00D14509" w:rsidRPr="00161EAF" w14:paraId="52EA8BEB" w14:textId="77777777" w:rsidTr="00EF29CC">
        <w:trPr>
          <w:trHeight w:val="400"/>
          <w:jc w:val="center"/>
        </w:trPr>
        <w:tc>
          <w:tcPr>
            <w:tcW w:w="4957" w:type="dxa"/>
            <w:vAlign w:val="center"/>
          </w:tcPr>
          <w:p w14:paraId="7076F1F7" w14:textId="77777777" w:rsidR="00D14509" w:rsidRPr="00161EAF" w:rsidRDefault="00D14509" w:rsidP="00EF29CC">
            <w:pPr>
              <w:ind w:left="-108" w:right="-29"/>
              <w:rPr>
                <w:sz w:val="20"/>
                <w:szCs w:val="20"/>
                <w:lang w:val="en-US"/>
              </w:rPr>
            </w:pPr>
            <w:r w:rsidRPr="00161EAF">
              <w:rPr>
                <w:sz w:val="20"/>
                <w:szCs w:val="20"/>
                <w:lang w:val="en-US"/>
              </w:rPr>
              <w:t>API</w:t>
            </w:r>
          </w:p>
        </w:tc>
        <w:tc>
          <w:tcPr>
            <w:tcW w:w="5701" w:type="dxa"/>
            <w:vAlign w:val="center"/>
          </w:tcPr>
          <w:p w14:paraId="1E2D8240" w14:textId="2EECE7F4" w:rsidR="00D14509" w:rsidRPr="00161EAF" w:rsidRDefault="00D14509" w:rsidP="00D14509">
            <w:pPr>
              <w:ind w:left="-108" w:right="-29"/>
              <w:rPr>
                <w:sz w:val="20"/>
                <w:szCs w:val="20"/>
                <w:lang w:val="en-US"/>
              </w:rPr>
            </w:pPr>
            <w:r w:rsidRPr="00055909">
              <w:rPr>
                <w:sz w:val="20"/>
                <w:szCs w:val="20"/>
              </w:rPr>
              <w:t xml:space="preserve">Melatonin (UNII: JL5DK93RCL).</w:t>
            </w:r>
          </w:p>
        </w:tc>
      </w:tr>
      <w:tr w:rsidR="00D14509" w:rsidRPr="00161EAF" w14:paraId="66992D38" w14:textId="77777777" w:rsidTr="00EF29CC">
        <w:trPr>
          <w:trHeight w:val="510"/>
          <w:jc w:val="center"/>
        </w:trPr>
        <w:tc>
          <w:tcPr>
            <w:tcW w:w="4957" w:type="dxa"/>
            <w:vAlign w:val="center"/>
          </w:tcPr>
          <w:p w14:paraId="0B0698D5" w14:textId="77777777" w:rsidR="00D14509" w:rsidRPr="00161EAF" w:rsidRDefault="00D14509" w:rsidP="00D14509">
            <w:pPr>
              <w:ind w:left="-108" w:right="-29"/>
              <w:rPr>
                <w:sz w:val="20"/>
                <w:szCs w:val="20"/>
                <w:lang w:val="en-US"/>
              </w:rPr>
            </w:pPr>
            <w:r w:rsidRPr="00161EAF">
              <w:rPr>
                <w:sz w:val="20"/>
                <w:szCs w:val="20"/>
                <w:lang w:val="en-US"/>
              </w:rPr>
              <w:t>Excipients</w:t>
            </w:r>
          </w:p>
        </w:tc>
        <w:tc>
          <w:tcPr>
            <w:tcW w:w="5701" w:type="dxa"/>
            <w:vAlign w:val="center"/>
          </w:tcPr>
          <w:p w14:paraId="65A784A9" w14:textId="6EA3E803" w:rsidR="00D14509" w:rsidRPr="00161EAF" w:rsidRDefault="00D14509" w:rsidP="00D14509">
            <w:pPr>
              <w:ind w:left="-108" w:right="-29"/>
              <w:jc w:val="both"/>
              <w:rPr>
                <w:sz w:val="20"/>
                <w:szCs w:val="20"/>
                <w:lang w:val="en-US"/>
              </w:rPr>
            </w:pPr>
            <w:r w:rsidRPr="00055909">
              <w:rPr>
                <w:sz w:val="20"/>
                <w:szCs w:val="20"/>
              </w:rPr>
              <w:t xml:space="preserve">The melatonin solution/drops formulation contains the following inactive ingredients: Glycerin (UNII: PDC6A3C0OX) and Water (UNII: 059QF0KO0R).</w:t>
            </w:r>
          </w:p>
        </w:tc>
      </w:tr>
      <w:tr w:rsidR="00D14509" w:rsidRPr="00161EAF" w14:paraId="60399A95" w14:textId="77777777" w:rsidTr="00EF29CC">
        <w:trPr>
          <w:trHeight w:val="510"/>
          <w:jc w:val="center"/>
        </w:trPr>
        <w:tc>
          <w:tcPr>
            <w:tcW w:w="4957" w:type="dxa"/>
            <w:vAlign w:val="center"/>
          </w:tcPr>
          <w:p w14:paraId="1D68B7C7" w14:textId="77777777" w:rsidR="00D14509" w:rsidRPr="00161EAF" w:rsidRDefault="00D14509" w:rsidP="00D14509">
            <w:pPr>
              <w:ind w:left="-108" w:right="-29"/>
              <w:rPr>
                <w:sz w:val="20"/>
                <w:szCs w:val="20"/>
                <w:lang w:val="en-US"/>
              </w:rPr>
            </w:pPr>
            <w:r w:rsidRPr="00161EAF">
              <w:rPr>
                <w:sz w:val="20"/>
                <w:szCs w:val="20"/>
                <w:lang w:val="en-US"/>
              </w:rPr>
              <w:t>Strength(s)</w:t>
            </w:r>
          </w:p>
        </w:tc>
        <w:tc>
          <w:tcPr>
            <w:tcW w:w="5701" w:type="dxa"/>
            <w:vAlign w:val="center"/>
          </w:tcPr>
          <w:p w14:paraId="09BE2FBA" w14:textId="15F4EE21" w:rsidR="00D14509" w:rsidRPr="00161EAF" w:rsidRDefault="00D14509" w:rsidP="00D14509">
            <w:pPr>
              <w:ind w:left="-108" w:right="-29"/>
              <w:rPr>
                <w:sz w:val="20"/>
                <w:szCs w:val="20"/>
                <w:lang w:val="en-US"/>
              </w:rPr>
            </w:pPr>
            <w:r w:rsidRPr="00055909">
              <w:rPr>
                <w:sz w:val="20"/>
                <w:szCs w:val="20"/>
              </w:rPr>
              <w:t xml:space="preserve">No data available.</w:t>
            </w:r>
          </w:p>
        </w:tc>
      </w:tr>
      <w:tr w:rsidR="00D14509" w:rsidRPr="00161EAF" w14:paraId="344EEAD0" w14:textId="77777777" w:rsidTr="00EF29CC">
        <w:trPr>
          <w:trHeight w:val="510"/>
          <w:jc w:val="center"/>
        </w:trPr>
        <w:tc>
          <w:tcPr>
            <w:tcW w:w="4957" w:type="dxa"/>
            <w:vAlign w:val="center"/>
          </w:tcPr>
          <w:p w14:paraId="1CEC1FD2" w14:textId="77777777" w:rsidR="00D14509" w:rsidRPr="00161EAF" w:rsidRDefault="00D14509" w:rsidP="00D14509">
            <w:pPr>
              <w:ind w:left="-108" w:right="-29"/>
              <w:rPr>
                <w:sz w:val="20"/>
                <w:szCs w:val="20"/>
                <w:lang w:val="en-US"/>
              </w:rPr>
            </w:pPr>
            <w:r w:rsidRPr="00161EAF">
              <w:rPr>
                <w:sz w:val="20"/>
                <w:szCs w:val="20"/>
                <w:lang w:val="en-US"/>
              </w:rPr>
              <w:t>Type of packaging material</w:t>
            </w:r>
          </w:p>
        </w:tc>
        <w:tc>
          <w:tcPr>
            <w:tcW w:w="5701" w:type="dxa"/>
            <w:vAlign w:val="center"/>
          </w:tcPr>
          <w:p w14:paraId="298D7F07" w14:textId="23D37317" w:rsidR="00D14509" w:rsidRPr="00161EAF" w:rsidRDefault="00D14509" w:rsidP="00D14509">
            <w:pPr>
              <w:ind w:left="-108" w:right="-29"/>
              <w:rPr>
                <w:sz w:val="20"/>
                <w:szCs w:val="20"/>
                <w:lang w:val="en-US"/>
              </w:rPr>
            </w:pPr>
            <w:r w:rsidRPr="00055909">
              <w:rPr>
                <w:sz w:val="20"/>
                <w:szCs w:val="20"/>
              </w:rPr>
              <w:t xml:space="preserve">The product is supplied as a dietary supplement in a single carton. The packaging consists of a 30 mL bottle with a dropper, as indicated by Item Code NHRIC:71399-0128-1 and associated marketing details. Labeler: Akron Pharma (067878881).</w:t>
            </w:r>
          </w:p>
        </w:tc>
      </w:tr>
      <w:tr w:rsidR="00D14509" w:rsidRPr="00161EAF" w14:paraId="350CFAE8" w14:textId="77777777" w:rsidTr="00EF29CC">
        <w:trPr>
          <w:trHeight w:val="510"/>
          <w:jc w:val="center"/>
        </w:trPr>
        <w:tc>
          <w:tcPr>
            <w:tcW w:w="4957" w:type="dxa"/>
            <w:vAlign w:val="center"/>
          </w:tcPr>
          <w:p w14:paraId="5292FB0A" w14:textId="77777777" w:rsidR="00D14509" w:rsidRPr="00161EAF" w:rsidRDefault="00D14509" w:rsidP="00D14509">
            <w:pPr>
              <w:ind w:left="-108" w:right="-29"/>
              <w:rPr>
                <w:sz w:val="20"/>
                <w:szCs w:val="20"/>
                <w:lang w:val="en-US"/>
              </w:rPr>
            </w:pPr>
            <w:r w:rsidRPr="00161EAF">
              <w:rPr>
                <w:sz w:val="20"/>
                <w:szCs w:val="20"/>
                <w:lang w:val="en-US"/>
              </w:rPr>
              <w:t>How supplied</w:t>
            </w:r>
          </w:p>
        </w:tc>
        <w:tc>
          <w:tcPr>
            <w:tcW w:w="5701" w:type="dxa"/>
            <w:vAlign w:val="center"/>
          </w:tcPr>
          <w:p w14:paraId="1E8A2728" w14:textId="5D9DFF44" w:rsidR="00D14509" w:rsidRPr="00161EAF" w:rsidRDefault="00D14509" w:rsidP="00D14509">
            <w:pPr>
              <w:ind w:left="-108" w:right="-29"/>
              <w:jc w:val="both"/>
              <w:rPr>
                <w:sz w:val="20"/>
                <w:szCs w:val="20"/>
                <w:lang w:val="en-US"/>
              </w:rPr>
            </w:pPr>
            <w:r w:rsidRPr="00055909">
              <w:rPr>
                <w:sz w:val="20"/>
                <w:szCs w:val="20"/>
              </w:rPr>
              <w:t xml:space="preserve">No data available.</w:t>
            </w:r>
          </w:p>
        </w:tc>
      </w:tr>
      <w:tr w:rsidR="00D14509" w:rsidRPr="00161EAF" w14:paraId="2FE94F45" w14:textId="77777777" w:rsidTr="00EF29CC">
        <w:trPr>
          <w:trHeight w:val="510"/>
          <w:jc w:val="center"/>
        </w:trPr>
        <w:tc>
          <w:tcPr>
            <w:tcW w:w="4957" w:type="dxa"/>
            <w:vAlign w:val="center"/>
          </w:tcPr>
          <w:p w14:paraId="4E0253CC" w14:textId="77777777" w:rsidR="00D14509" w:rsidRPr="00161EAF" w:rsidRDefault="00D14509" w:rsidP="00D14509">
            <w:pPr>
              <w:ind w:left="-108" w:right="-29"/>
              <w:rPr>
                <w:sz w:val="20"/>
                <w:szCs w:val="20"/>
                <w:lang w:val="en-US"/>
              </w:rPr>
            </w:pPr>
            <w:r w:rsidRPr="00161EAF">
              <w:rPr>
                <w:sz w:val="20"/>
                <w:szCs w:val="20"/>
                <w:lang w:val="en-US"/>
              </w:rPr>
              <w:t>Physical characteristics (Color, size, shape, text printed, etc.)</w:t>
            </w:r>
          </w:p>
        </w:tc>
        <w:tc>
          <w:tcPr>
            <w:tcW w:w="5701" w:type="dxa"/>
            <w:vAlign w:val="center"/>
          </w:tcPr>
          <w:p w14:paraId="3A92E1B2" w14:textId="1BBCCB89" w:rsidR="00D14509" w:rsidRPr="00161EAF" w:rsidRDefault="00320FF5" w:rsidP="00320FF5">
            <w:pPr>
              <w:ind w:left="-108" w:right="-29"/>
              <w:rPr>
                <w:sz w:val="20"/>
                <w:szCs w:val="20"/>
                <w:lang w:val="en-US"/>
              </w:rPr>
            </w:pPr>
            <w:r w:rsidRPr="00055909">
              <w:rPr>
                <w:sz w:val="20"/>
                <w:szCs w:val="20"/>
              </w:rPr>
              <w:t xml:space="preserve">The MAX SLEEP JUNIOR CHILDRENS SLEEP AID is a melatonin solution/drops formulated as a dietary supplement for oral use. It contains melatonin at a concentration of 1 mg per mL and is supplied in a 30 mL bottle with a dropper. Inactive ingredients include glycerin and water.</w:t>
            </w:r>
          </w:p>
        </w:tc>
      </w:tr>
      <w:tr w:rsidR="00D14509" w:rsidRPr="00161EAF" w14:paraId="3A32482B" w14:textId="77777777" w:rsidTr="00EF29CC">
        <w:trPr>
          <w:trHeight w:val="510"/>
          <w:jc w:val="center"/>
        </w:trPr>
        <w:tc>
          <w:tcPr>
            <w:tcW w:w="4957" w:type="dxa"/>
            <w:vAlign w:val="center"/>
          </w:tcPr>
          <w:p w14:paraId="713166F2" w14:textId="77777777" w:rsidR="00D14509" w:rsidRPr="00161EAF" w:rsidRDefault="00D14509" w:rsidP="00D14509">
            <w:pPr>
              <w:ind w:left="-108" w:right="-29"/>
              <w:rPr>
                <w:sz w:val="20"/>
                <w:szCs w:val="20"/>
                <w:lang w:val="en-US"/>
              </w:rPr>
            </w:pPr>
            <w:r w:rsidRPr="00161EAF">
              <w:rPr>
                <w:sz w:val="20"/>
                <w:szCs w:val="20"/>
                <w:lang w:val="en-US"/>
              </w:rPr>
              <w:t>Storage conditions</w:t>
            </w:r>
          </w:p>
        </w:tc>
        <w:tc>
          <w:tcPr>
            <w:tcW w:w="5701" w:type="dxa"/>
            <w:vAlign w:val="center"/>
          </w:tcPr>
          <w:p w14:paraId="0F4737BF" w14:textId="236D0B57" w:rsidR="00D14509" w:rsidRPr="00161EAF" w:rsidRDefault="00320FF5" w:rsidP="00320FF5">
            <w:pPr>
              <w:ind w:left="-108" w:right="-29"/>
              <w:rPr>
                <w:sz w:val="20"/>
                <w:szCs w:val="20"/>
                <w:lang w:val="en-US"/>
              </w:rPr>
            </w:pPr>
            <w:r w:rsidRPr="00055909">
              <w:rPr>
                <w:sz w:val="20"/>
                <w:szCs w:val="20"/>
              </w:rPr>
              <w:t xml:space="preserve">No data available.</w:t>
            </w:r>
          </w:p>
        </w:tc>
      </w:tr>
      <w:tr w:rsidR="00D14509" w:rsidRPr="00161EAF" w14:paraId="4B19DB14" w14:textId="77777777" w:rsidTr="00EF29CC">
        <w:trPr>
          <w:trHeight w:val="510"/>
          <w:jc w:val="center"/>
        </w:trPr>
        <w:tc>
          <w:tcPr>
            <w:tcW w:w="4957" w:type="dxa"/>
            <w:vAlign w:val="center"/>
          </w:tcPr>
          <w:p w14:paraId="360772C9" w14:textId="77777777" w:rsidR="00D14509" w:rsidRPr="00161EAF" w:rsidRDefault="00D14509" w:rsidP="00D14509">
            <w:pPr>
              <w:ind w:left="-108" w:right="-29"/>
              <w:rPr>
                <w:sz w:val="20"/>
                <w:szCs w:val="20"/>
                <w:lang w:val="en-US"/>
              </w:rPr>
            </w:pPr>
            <w:r w:rsidRPr="00161EAF">
              <w:rPr>
                <w:sz w:val="20"/>
                <w:szCs w:val="20"/>
                <w:lang w:val="en-US"/>
              </w:rPr>
              <w:t>Special characteristics of API and excipients (crystalline form used for the RLD, particle size, etc.)</w:t>
            </w:r>
          </w:p>
        </w:tc>
        <w:tc>
          <w:tcPr>
            <w:tcW w:w="5701" w:type="dxa"/>
            <w:vAlign w:val="center"/>
          </w:tcPr>
          <w:p w14:paraId="547C9981" w14:textId="130DA58E" w:rsidR="00D14509" w:rsidRPr="00161EAF" w:rsidRDefault="00320FF5" w:rsidP="00320FF5">
            <w:pPr>
              <w:ind w:left="-108" w:right="-29"/>
              <w:jc w:val="both"/>
              <w:rPr>
                <w:sz w:val="20"/>
                <w:szCs w:val="20"/>
                <w:lang w:val="en-US"/>
              </w:rPr>
            </w:pPr>
            <w:r w:rsidRPr="00055909">
              <w:rPr>
                <w:sz w:val="20"/>
                <w:szCs w:val="20"/>
              </w:rPr>
              <w:t xml:space="preserve">No data available.</w:t>
            </w:r>
          </w:p>
        </w:tc>
      </w:tr>
      <w:tr w:rsidR="00D14509" w:rsidRPr="00161EAF" w14:paraId="30F06D61" w14:textId="77777777" w:rsidTr="00EF29CC">
        <w:trPr>
          <w:trHeight w:val="510"/>
          <w:jc w:val="center"/>
        </w:trPr>
        <w:tc>
          <w:tcPr>
            <w:tcW w:w="4957" w:type="dxa"/>
            <w:vAlign w:val="center"/>
          </w:tcPr>
          <w:p w14:paraId="39F679B7" w14:textId="77777777" w:rsidR="00D14509" w:rsidRPr="00161EAF" w:rsidRDefault="00D14509" w:rsidP="00D14509">
            <w:pPr>
              <w:ind w:left="-108" w:right="-29"/>
              <w:rPr>
                <w:sz w:val="20"/>
                <w:szCs w:val="20"/>
                <w:lang w:val="en-US"/>
              </w:rPr>
            </w:pPr>
            <w:r w:rsidRPr="00161EAF">
              <w:rPr>
                <w:sz w:val="20"/>
                <w:szCs w:val="20"/>
                <w:lang w:val="en-US"/>
              </w:rPr>
              <w:t>Manufacturing process information (Controls, recommended process conditions):</w:t>
            </w:r>
          </w:p>
        </w:tc>
        <w:tc>
          <w:tcPr>
            <w:tcW w:w="5701" w:type="dxa"/>
            <w:vAlign w:val="center"/>
          </w:tcPr>
          <w:p w14:paraId="3FA82717" w14:textId="77777777" w:rsidR="00D14509" w:rsidRPr="00161EAF" w:rsidRDefault="00D14509" w:rsidP="00D14509">
            <w:pPr>
              <w:ind w:left="-108" w:right="-29"/>
              <w:rPr>
                <w:sz w:val="20"/>
                <w:szCs w:val="20"/>
                <w:lang w:val="en-US"/>
              </w:rPr>
            </w:pPr>
            <w:r w:rsidRPr="00161EAF">
              <w:rPr>
                <w:sz w:val="20"/>
                <w:szCs w:val="20"/>
                <w:lang w:val="en-US"/>
              </w:rPr>
              <w:t xml:space="preserve">Data not available. </w:t>
            </w:r>
            <w:bookmarkStart w:id="0" w:name="_GoBack"/>
            <w:bookmarkEnd w:id="0"/>
          </w:p>
        </w:tc>
      </w:tr>
      <w:tr w:rsidR="00D14509" w:rsidRPr="00161EAF" w14:paraId="376B5BBF" w14:textId="77777777" w:rsidTr="00EF29CC">
        <w:trPr>
          <w:trHeight w:val="222"/>
          <w:jc w:val="center"/>
        </w:trPr>
        <w:tc>
          <w:tcPr>
            <w:tcW w:w="10658" w:type="dxa"/>
            <w:gridSpan w:val="2"/>
          </w:tcPr>
          <w:p w14:paraId="12A0FBC8" w14:textId="77777777" w:rsidR="00D14509" w:rsidRPr="00161EAF" w:rsidRDefault="00D14509" w:rsidP="00D14509">
            <w:pPr>
              <w:ind w:left="-108" w:right="-29"/>
              <w:jc w:val="both"/>
              <w:rPr>
                <w:b/>
                <w:bCs/>
                <w:sz w:val="20"/>
                <w:szCs w:val="20"/>
                <w:lang w:val="en-US"/>
              </w:rPr>
            </w:pPr>
            <w:r w:rsidRPr="00161EAF">
              <w:rPr>
                <w:b/>
                <w:bCs/>
                <w:sz w:val="20"/>
                <w:szCs w:val="20"/>
                <w:lang w:val="en-US"/>
              </w:rPr>
              <w:t>Observations:</w:t>
            </w:r>
          </w:p>
          <w:p w14:paraId="44E7DD74" w14:textId="77777777" w:rsidR="00D14509" w:rsidRPr="00161EAF" w:rsidRDefault="00D14509" w:rsidP="00D14509">
            <w:pPr>
              <w:ind w:left="-108" w:right="-29"/>
              <w:jc w:val="both"/>
              <w:rPr>
                <w:sz w:val="20"/>
                <w:szCs w:val="20"/>
                <w:lang w:val="en-US"/>
              </w:rPr>
            </w:pPr>
            <w:r w:rsidRPr="00161EAF">
              <w:rPr>
                <w:sz w:val="20"/>
                <w:szCs w:val="20"/>
                <w:lang w:val="en-US"/>
              </w:rPr>
              <w:t xml:space="preserve">(Performance tests or other relevant information of </w:t>
            </w:r>
            <w:proofErr w:type="spellStart"/>
            <w:r w:rsidRPr="00161EAF">
              <w:rPr>
                <w:sz w:val="20"/>
                <w:szCs w:val="20"/>
                <w:lang w:val="en-US"/>
              </w:rPr>
              <w:t>pharmacotechnical</w:t>
            </w:r>
            <w:proofErr w:type="spellEnd"/>
            <w:r w:rsidRPr="00161EAF">
              <w:rPr>
                <w:sz w:val="20"/>
                <w:szCs w:val="20"/>
                <w:lang w:val="en-US"/>
              </w:rPr>
              <w:t xml:space="preserve"> nature according to patents, Journals, etc.)</w:t>
            </w:r>
          </w:p>
          <w:p w14:paraId="4B30FE69" w14:textId="19EBC335" w:rsidR="00D14509" w:rsidRDefault="00320FF5" w:rsidP="00D14509">
            <w:pPr>
              <w:pStyle w:val="Prrafodelista"/>
              <w:numPr>
                <w:ilvl w:val="0"/>
                <w:numId w:val="10"/>
              </w:numPr>
              <w:ind w:right="-29"/>
              <w:jc w:val="both"/>
              <w:rPr>
                <w:b/>
                <w:bCs/>
                <w:sz w:val="20"/>
                <w:szCs w:val="20"/>
                <w:lang w:val="en-US"/>
              </w:rPr>
            </w:pPr>
            <w:r>
              <w:rPr>
                <w:b/>
                <w:bCs/>
                <w:sz w:val="20"/>
                <w:szCs w:val="20"/>
                <w:lang w:val="en-US"/>
              </w:rPr>
              <w:t>Previous experience</w:t>
            </w:r>
            <w:r w:rsidR="00D14509" w:rsidRPr="00161EAF">
              <w:rPr>
                <w:b/>
                <w:bCs/>
                <w:sz w:val="20"/>
                <w:szCs w:val="20"/>
                <w:lang w:val="en-US"/>
              </w:rPr>
              <w:t xml:space="preserve">: </w:t>
            </w:r>
          </w:p>
          <w:p w14:paraId="04AC8746" w14:textId="24B49BC8" w:rsidR="00320FF5" w:rsidRDefault="00320FF5" w:rsidP="00320FF5">
            <w:pPr>
              <w:ind w:left="-108" w:right="-29"/>
              <w:jc w:val="both"/>
              <w:rPr>
                <w:bCs/>
                <w:sz w:val="20"/>
                <w:szCs w:val="20"/>
                <w:lang w:val="en-US"/>
              </w:rPr>
            </w:pPr>
          </w:p>
          <w:p w14:paraId="3FC90DB7" w14:textId="77777777" w:rsidR="00320FF5" w:rsidRPr="00320FF5" w:rsidRDefault="00320FF5" w:rsidP="00320FF5">
            <w:pPr>
              <w:ind w:left="-108" w:right="-29"/>
              <w:jc w:val="both"/>
              <w:rPr>
                <w:bCs/>
                <w:sz w:val="20"/>
                <w:szCs w:val="20"/>
                <w:lang w:val="en-US"/>
              </w:rPr>
            </w:pPr>
          </w:p>
          <w:p w14:paraId="319CD072"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Dissolution method</w:t>
            </w:r>
            <w:r>
              <w:rPr>
                <w:b/>
                <w:bCs/>
                <w:sz w:val="20"/>
                <w:szCs w:val="20"/>
                <w:lang w:val="en-US"/>
              </w:rPr>
              <w:t xml:space="preserve"> [26, 27]</w:t>
            </w:r>
            <w:r w:rsidRPr="00161EAF">
              <w:rPr>
                <w:b/>
                <w:bCs/>
                <w:sz w:val="20"/>
                <w:szCs w:val="20"/>
                <w:lang w:val="en-US"/>
              </w:rPr>
              <w:t xml:space="preserve">: </w:t>
            </w:r>
          </w:p>
          <w:p w14:paraId="67F57822"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196"/>
              <w:gridCol w:w="1376"/>
              <w:gridCol w:w="1559"/>
              <w:gridCol w:w="1559"/>
              <w:gridCol w:w="1418"/>
              <w:gridCol w:w="1559"/>
              <w:gridCol w:w="1765"/>
            </w:tblGrid>
            <w:tr w:rsidR="00D14509" w:rsidRPr="00161EAF" w14:paraId="0B8F3508" w14:textId="77777777" w:rsidTr="00EF29CC">
              <w:tc>
                <w:tcPr>
                  <w:tcW w:w="1196" w:type="dxa"/>
                  <w:shd w:val="clear" w:color="auto" w:fill="D9D9D9" w:themeFill="background1" w:themeFillShade="D9"/>
                  <w:vAlign w:val="center"/>
                </w:tcPr>
                <w:p w14:paraId="4F0E9E92" w14:textId="77777777" w:rsidR="00D14509" w:rsidRPr="00161EAF" w:rsidRDefault="00D14509" w:rsidP="00D14509">
                  <w:pPr>
                    <w:ind w:right="-29"/>
                    <w:jc w:val="center"/>
                    <w:rPr>
                      <w:b/>
                      <w:bCs/>
                      <w:sz w:val="20"/>
                      <w:szCs w:val="20"/>
                      <w:lang w:val="en-US"/>
                    </w:rPr>
                  </w:pPr>
                  <w:r w:rsidRPr="00161EAF">
                    <w:rPr>
                      <w:b/>
                      <w:bCs/>
                      <w:sz w:val="20"/>
                      <w:szCs w:val="20"/>
                      <w:lang w:val="en-US"/>
                    </w:rPr>
                    <w:t>Drug name</w:t>
                  </w:r>
                </w:p>
              </w:tc>
              <w:tc>
                <w:tcPr>
                  <w:tcW w:w="1376" w:type="dxa"/>
                  <w:shd w:val="clear" w:color="auto" w:fill="D9D9D9" w:themeFill="background1" w:themeFillShade="D9"/>
                  <w:vAlign w:val="center"/>
                </w:tcPr>
                <w:p w14:paraId="7EE6284B" w14:textId="77777777" w:rsidR="00D14509" w:rsidRPr="00161EAF" w:rsidRDefault="00D14509" w:rsidP="00D14509">
                  <w:pPr>
                    <w:ind w:right="-29"/>
                    <w:jc w:val="center"/>
                    <w:rPr>
                      <w:b/>
                      <w:bCs/>
                      <w:sz w:val="20"/>
                      <w:szCs w:val="20"/>
                      <w:lang w:val="en-US"/>
                    </w:rPr>
                  </w:pPr>
                  <w:r w:rsidRPr="00161EAF">
                    <w:rPr>
                      <w:b/>
                      <w:bCs/>
                      <w:sz w:val="20"/>
                      <w:szCs w:val="20"/>
                      <w:lang w:val="en-US"/>
                    </w:rPr>
                    <w:t>Dosage form</w:t>
                  </w:r>
                </w:p>
              </w:tc>
              <w:tc>
                <w:tcPr>
                  <w:tcW w:w="1559" w:type="dxa"/>
                  <w:shd w:val="clear" w:color="auto" w:fill="D9D9D9" w:themeFill="background1" w:themeFillShade="D9"/>
                  <w:vAlign w:val="center"/>
                </w:tcPr>
                <w:p w14:paraId="5EA4BC9B" w14:textId="77777777" w:rsidR="00D14509" w:rsidRPr="00161EAF" w:rsidRDefault="00D14509" w:rsidP="00D14509">
                  <w:pPr>
                    <w:ind w:right="-29"/>
                    <w:jc w:val="center"/>
                    <w:rPr>
                      <w:b/>
                      <w:bCs/>
                      <w:sz w:val="20"/>
                      <w:szCs w:val="20"/>
                      <w:lang w:val="en-US"/>
                    </w:rPr>
                  </w:pPr>
                  <w:r w:rsidRPr="00161EAF">
                    <w:rPr>
                      <w:b/>
                      <w:bCs/>
                      <w:sz w:val="20"/>
                      <w:szCs w:val="20"/>
                      <w:lang w:val="en-US"/>
                    </w:rPr>
                    <w:t>USP apparatus</w:t>
                  </w:r>
                </w:p>
              </w:tc>
              <w:tc>
                <w:tcPr>
                  <w:tcW w:w="1559" w:type="dxa"/>
                  <w:shd w:val="clear" w:color="auto" w:fill="D9D9D9" w:themeFill="background1" w:themeFillShade="D9"/>
                  <w:vAlign w:val="center"/>
                </w:tcPr>
                <w:p w14:paraId="70E46DC8" w14:textId="77777777" w:rsidR="00D14509" w:rsidRPr="00161EAF" w:rsidRDefault="00D14509" w:rsidP="00D14509">
                  <w:pPr>
                    <w:ind w:right="-29"/>
                    <w:jc w:val="center"/>
                    <w:rPr>
                      <w:b/>
                      <w:bCs/>
                      <w:sz w:val="20"/>
                      <w:szCs w:val="20"/>
                      <w:lang w:val="en-US"/>
                    </w:rPr>
                  </w:pPr>
                  <w:r w:rsidRPr="00161EAF">
                    <w:rPr>
                      <w:b/>
                      <w:bCs/>
                      <w:sz w:val="20"/>
                      <w:szCs w:val="20"/>
                      <w:lang w:val="en-US"/>
                    </w:rPr>
                    <w:t>Speed (rpm)</w:t>
                  </w:r>
                </w:p>
              </w:tc>
              <w:tc>
                <w:tcPr>
                  <w:tcW w:w="1418" w:type="dxa"/>
                  <w:shd w:val="clear" w:color="auto" w:fill="D9D9D9" w:themeFill="background1" w:themeFillShade="D9"/>
                  <w:vAlign w:val="center"/>
                </w:tcPr>
                <w:p w14:paraId="06548BF1" w14:textId="77777777" w:rsidR="00D14509" w:rsidRPr="00161EAF" w:rsidRDefault="00D14509" w:rsidP="00D14509">
                  <w:pPr>
                    <w:ind w:right="-29"/>
                    <w:jc w:val="center"/>
                    <w:rPr>
                      <w:b/>
                      <w:bCs/>
                      <w:sz w:val="20"/>
                      <w:szCs w:val="20"/>
                      <w:lang w:val="en-US"/>
                    </w:rPr>
                  </w:pPr>
                  <w:r w:rsidRPr="00161EAF">
                    <w:rPr>
                      <w:b/>
                      <w:bCs/>
                      <w:sz w:val="20"/>
                      <w:szCs w:val="20"/>
                      <w:lang w:val="en-US"/>
                    </w:rPr>
                    <w:t>Medium</w:t>
                  </w:r>
                </w:p>
              </w:tc>
              <w:tc>
                <w:tcPr>
                  <w:tcW w:w="1559" w:type="dxa"/>
                  <w:shd w:val="clear" w:color="auto" w:fill="D9D9D9" w:themeFill="background1" w:themeFillShade="D9"/>
                  <w:vAlign w:val="center"/>
                </w:tcPr>
                <w:p w14:paraId="748960CF" w14:textId="77777777" w:rsidR="00D14509" w:rsidRPr="00161EAF" w:rsidRDefault="00D14509" w:rsidP="00D14509">
                  <w:pPr>
                    <w:ind w:right="-29"/>
                    <w:jc w:val="center"/>
                    <w:rPr>
                      <w:b/>
                      <w:bCs/>
                      <w:sz w:val="20"/>
                      <w:szCs w:val="20"/>
                      <w:lang w:val="en-US"/>
                    </w:rPr>
                  </w:pPr>
                  <w:r w:rsidRPr="00161EAF">
                    <w:rPr>
                      <w:b/>
                      <w:bCs/>
                      <w:sz w:val="20"/>
                      <w:szCs w:val="20"/>
                      <w:lang w:val="en-US"/>
                    </w:rPr>
                    <w:t>Volume (mL</w:t>
                  </w:r>
                </w:p>
              </w:tc>
              <w:tc>
                <w:tcPr>
                  <w:tcW w:w="1765" w:type="dxa"/>
                  <w:shd w:val="clear" w:color="auto" w:fill="D9D9D9" w:themeFill="background1" w:themeFillShade="D9"/>
                  <w:vAlign w:val="center"/>
                </w:tcPr>
                <w:p w14:paraId="5553D13F" w14:textId="77777777" w:rsidR="00D14509" w:rsidRPr="00161EAF" w:rsidRDefault="00D14509" w:rsidP="00D14509">
                  <w:pPr>
                    <w:ind w:right="-29"/>
                    <w:jc w:val="center"/>
                    <w:rPr>
                      <w:b/>
                      <w:bCs/>
                      <w:sz w:val="20"/>
                      <w:szCs w:val="20"/>
                      <w:lang w:val="en-US"/>
                    </w:rPr>
                  </w:pPr>
                  <w:r w:rsidRPr="00161EAF">
                    <w:rPr>
                      <w:b/>
                      <w:bCs/>
                      <w:sz w:val="20"/>
                      <w:szCs w:val="20"/>
                      <w:lang w:val="en-US"/>
                    </w:rPr>
                    <w:t>Recommended sampling times (minutes)</w:t>
                  </w:r>
                </w:p>
              </w:tc>
            </w:tr>
            <w:tr w:rsidR="00D14509" w:rsidRPr="00161EAF" w14:paraId="02BB6FAF" w14:textId="77777777" w:rsidTr="00EF29CC">
              <w:trPr>
                <w:trHeight w:val="1148"/>
              </w:trPr>
              <w:tc>
                <w:tcPr>
                  <w:tcW w:w="1196" w:type="dxa"/>
                  <w:vAlign w:val="center"/>
                </w:tcPr>
                <w:p w14:paraId="0FF230E7" w14:textId="09B9AAC1" w:rsidR="00D14509" w:rsidRPr="00161EAF" w:rsidRDefault="00D14509" w:rsidP="00D14509">
                  <w:pPr>
                    <w:ind w:right="-29"/>
                    <w:jc w:val="center"/>
                    <w:rPr>
                      <w:sz w:val="20"/>
                      <w:szCs w:val="20"/>
                      <w:lang w:val="en-US"/>
                    </w:rPr>
                  </w:pPr>
                </w:p>
              </w:tc>
              <w:tc>
                <w:tcPr>
                  <w:tcW w:w="1376" w:type="dxa"/>
                  <w:vAlign w:val="center"/>
                </w:tcPr>
                <w:p w14:paraId="594ABBD9" w14:textId="02CCE6AA" w:rsidR="00D14509" w:rsidRPr="00161EAF" w:rsidRDefault="00D14509" w:rsidP="00D14509">
                  <w:pPr>
                    <w:ind w:right="-29"/>
                    <w:jc w:val="center"/>
                    <w:rPr>
                      <w:sz w:val="20"/>
                      <w:szCs w:val="20"/>
                      <w:lang w:val="en-US"/>
                    </w:rPr>
                  </w:pPr>
                </w:p>
              </w:tc>
              <w:tc>
                <w:tcPr>
                  <w:tcW w:w="1559" w:type="dxa"/>
                  <w:vAlign w:val="center"/>
                </w:tcPr>
                <w:p w14:paraId="23155AEF" w14:textId="3140175C" w:rsidR="00D14509" w:rsidRPr="00161EAF" w:rsidRDefault="00D14509" w:rsidP="00D14509">
                  <w:pPr>
                    <w:ind w:right="-29"/>
                    <w:jc w:val="center"/>
                    <w:rPr>
                      <w:sz w:val="20"/>
                      <w:szCs w:val="20"/>
                      <w:lang w:val="en-US"/>
                    </w:rPr>
                  </w:pPr>
                </w:p>
              </w:tc>
              <w:tc>
                <w:tcPr>
                  <w:tcW w:w="1559" w:type="dxa"/>
                  <w:vAlign w:val="center"/>
                </w:tcPr>
                <w:p w14:paraId="054E5A45" w14:textId="604AD0FB" w:rsidR="00D14509" w:rsidRPr="00161EAF" w:rsidRDefault="00D14509" w:rsidP="00D14509">
                  <w:pPr>
                    <w:ind w:right="-29"/>
                    <w:jc w:val="center"/>
                    <w:rPr>
                      <w:sz w:val="20"/>
                      <w:szCs w:val="20"/>
                      <w:lang w:val="en-US"/>
                    </w:rPr>
                  </w:pPr>
                </w:p>
              </w:tc>
              <w:tc>
                <w:tcPr>
                  <w:tcW w:w="1418" w:type="dxa"/>
                  <w:vAlign w:val="center"/>
                </w:tcPr>
                <w:p w14:paraId="29E9BB92" w14:textId="0FDE5AB7" w:rsidR="00D14509" w:rsidRPr="00161EAF" w:rsidRDefault="00D14509" w:rsidP="00D14509">
                  <w:pPr>
                    <w:ind w:right="-29"/>
                    <w:jc w:val="center"/>
                    <w:rPr>
                      <w:sz w:val="20"/>
                      <w:szCs w:val="20"/>
                      <w:lang w:val="en-US"/>
                    </w:rPr>
                  </w:pPr>
                </w:p>
              </w:tc>
              <w:tc>
                <w:tcPr>
                  <w:tcW w:w="1559" w:type="dxa"/>
                  <w:vAlign w:val="center"/>
                </w:tcPr>
                <w:p w14:paraId="06CD93DA" w14:textId="697A3208" w:rsidR="00D14509" w:rsidRPr="00161EAF" w:rsidRDefault="00D14509" w:rsidP="00D14509">
                  <w:pPr>
                    <w:ind w:right="-29"/>
                    <w:jc w:val="center"/>
                    <w:rPr>
                      <w:sz w:val="20"/>
                      <w:szCs w:val="20"/>
                      <w:lang w:val="en-US"/>
                    </w:rPr>
                  </w:pPr>
                </w:p>
              </w:tc>
              <w:tc>
                <w:tcPr>
                  <w:tcW w:w="1765" w:type="dxa"/>
                  <w:vAlign w:val="center"/>
                </w:tcPr>
                <w:p w14:paraId="17ADD46F" w14:textId="72E22A35" w:rsidR="00D14509" w:rsidRPr="00161EAF" w:rsidRDefault="00D14509" w:rsidP="00D14509">
                  <w:pPr>
                    <w:ind w:right="-29"/>
                    <w:jc w:val="center"/>
                    <w:rPr>
                      <w:sz w:val="20"/>
                      <w:szCs w:val="20"/>
                      <w:lang w:val="en-US"/>
                    </w:rPr>
                  </w:pPr>
                </w:p>
              </w:tc>
            </w:tr>
          </w:tbl>
          <w:p w14:paraId="6BB83961" w14:textId="77777777" w:rsidR="00D14509" w:rsidRPr="00161EAF" w:rsidRDefault="00D14509" w:rsidP="00D14509">
            <w:pPr>
              <w:ind w:right="-29"/>
              <w:jc w:val="both"/>
              <w:rPr>
                <w:sz w:val="20"/>
                <w:szCs w:val="20"/>
                <w:lang w:val="en-US"/>
              </w:rPr>
            </w:pPr>
          </w:p>
          <w:p w14:paraId="157E2FE9" w14:textId="77777777" w:rsidR="00D14509" w:rsidRPr="00161EAF" w:rsidRDefault="00D14509" w:rsidP="00D14509">
            <w:pPr>
              <w:pStyle w:val="Prrafodelista"/>
              <w:numPr>
                <w:ilvl w:val="0"/>
                <w:numId w:val="10"/>
              </w:numPr>
              <w:ind w:right="-29"/>
              <w:jc w:val="both"/>
              <w:rPr>
                <w:b/>
                <w:bCs/>
                <w:sz w:val="20"/>
                <w:szCs w:val="20"/>
                <w:lang w:val="en-US"/>
              </w:rPr>
            </w:pPr>
            <w:r w:rsidRPr="00161EAF">
              <w:rPr>
                <w:b/>
                <w:bCs/>
                <w:sz w:val="20"/>
                <w:szCs w:val="20"/>
                <w:lang w:val="en-US"/>
              </w:rPr>
              <w:t>Inactive ingredient list</w:t>
            </w:r>
            <w:r>
              <w:rPr>
                <w:b/>
                <w:bCs/>
                <w:sz w:val="20"/>
                <w:szCs w:val="20"/>
                <w:lang w:val="en-US"/>
              </w:rPr>
              <w:t xml:space="preserve"> [28]</w:t>
            </w:r>
            <w:r w:rsidRPr="00161EAF">
              <w:rPr>
                <w:b/>
                <w:bCs/>
                <w:sz w:val="20"/>
                <w:szCs w:val="20"/>
                <w:lang w:val="en-US"/>
              </w:rPr>
              <w:t>:</w:t>
            </w:r>
          </w:p>
          <w:p w14:paraId="2500B6D1" w14:textId="77777777" w:rsidR="00D14509" w:rsidRPr="00161EAF" w:rsidRDefault="00D14509" w:rsidP="00D14509">
            <w:pPr>
              <w:ind w:right="-29"/>
              <w:jc w:val="both"/>
              <w:rPr>
                <w:b/>
                <w:bCs/>
                <w:sz w:val="20"/>
                <w:szCs w:val="20"/>
                <w:lang w:val="en-US"/>
              </w:rPr>
            </w:pPr>
          </w:p>
          <w:tbl>
            <w:tblPr>
              <w:tblStyle w:val="Tablaconcuadrcula"/>
              <w:tblW w:w="0" w:type="auto"/>
              <w:tblLook w:val="04A0" w:firstRow="1" w:lastRow="0" w:firstColumn="1" w:lastColumn="0" w:noHBand="0" w:noVBand="1"/>
            </w:tblPr>
            <w:tblGrid>
              <w:gridCol w:w="1592"/>
              <w:gridCol w:w="1523"/>
              <w:gridCol w:w="1441"/>
              <w:gridCol w:w="1697"/>
              <w:gridCol w:w="1393"/>
              <w:gridCol w:w="1393"/>
              <w:gridCol w:w="1393"/>
            </w:tblGrid>
            <w:tr w:rsidR="00D14509" w:rsidRPr="00161EAF" w14:paraId="642BF0E7" w14:textId="77777777" w:rsidTr="00EF29CC">
              <w:tc>
                <w:tcPr>
                  <w:tcW w:w="10432" w:type="dxa"/>
                  <w:gridSpan w:val="7"/>
                  <w:shd w:val="clear" w:color="auto" w:fill="D9D9D9" w:themeFill="background1" w:themeFillShade="D9"/>
                  <w:vAlign w:val="center"/>
                </w:tcPr>
                <w:p w14:paraId="27723A1B" w14:textId="77777777" w:rsidR="00D14509" w:rsidRPr="00161EAF" w:rsidRDefault="00D14509" w:rsidP="00D14509">
                  <w:pPr>
                    <w:ind w:left="-108" w:right="-29"/>
                    <w:jc w:val="center"/>
                    <w:rPr>
                      <w:b/>
                      <w:bCs/>
                      <w:sz w:val="20"/>
                      <w:szCs w:val="20"/>
                      <w:lang w:val="en-US"/>
                    </w:rPr>
                  </w:pPr>
                  <w:proofErr w:type="spellStart"/>
                  <w:r w:rsidRPr="00161EAF">
                    <w:rPr>
                      <w:b/>
                      <w:bCs/>
                      <w:sz w:val="20"/>
                      <w:szCs w:val="20"/>
                      <w:lang w:val="en-US"/>
                    </w:rPr>
                    <w:t>Marinol</w:t>
                  </w:r>
                  <w:proofErr w:type="spellEnd"/>
                  <w:r w:rsidRPr="00161EAF">
                    <w:rPr>
                      <w:b/>
                      <w:bCs/>
                      <w:sz w:val="20"/>
                      <w:szCs w:val="20"/>
                      <w:lang w:val="en-US"/>
                    </w:rPr>
                    <w:t>® (</w:t>
                  </w:r>
                  <w:proofErr w:type="spellStart"/>
                  <w:r w:rsidRPr="00161EAF">
                    <w:rPr>
                      <w:b/>
                      <w:bCs/>
                      <w:sz w:val="20"/>
                      <w:szCs w:val="20"/>
                      <w:lang w:val="en-US"/>
                    </w:rPr>
                    <w:t>dronabinol</w:t>
                  </w:r>
                  <w:proofErr w:type="spellEnd"/>
                  <w:r w:rsidRPr="00161EAF">
                    <w:rPr>
                      <w:b/>
                      <w:bCs/>
                      <w:sz w:val="20"/>
                      <w:szCs w:val="20"/>
                      <w:lang w:val="en-US"/>
                    </w:rPr>
                    <w:t xml:space="preserve"> capsules, USP) 2.5 mg</w:t>
                  </w:r>
                </w:p>
              </w:tc>
            </w:tr>
            <w:tr w:rsidR="00D14509" w:rsidRPr="00161EAF" w14:paraId="28B2CA05" w14:textId="77777777" w:rsidTr="00EF29CC">
              <w:tc>
                <w:tcPr>
                  <w:tcW w:w="1592" w:type="dxa"/>
                  <w:shd w:val="clear" w:color="auto" w:fill="D9D9D9" w:themeFill="background1" w:themeFillShade="D9"/>
                  <w:vAlign w:val="center"/>
                </w:tcPr>
                <w:p w14:paraId="04C5B89F" w14:textId="77777777" w:rsidR="00D14509" w:rsidRPr="00161EAF" w:rsidRDefault="00D14509" w:rsidP="00D14509">
                  <w:pPr>
                    <w:ind w:right="-29"/>
                    <w:jc w:val="center"/>
                    <w:rPr>
                      <w:b/>
                      <w:bCs/>
                      <w:sz w:val="20"/>
                      <w:szCs w:val="20"/>
                      <w:lang w:val="en-US"/>
                    </w:rPr>
                  </w:pPr>
                  <w:r w:rsidRPr="00161EAF">
                    <w:rPr>
                      <w:b/>
                      <w:bCs/>
                      <w:sz w:val="20"/>
                      <w:szCs w:val="20"/>
                      <w:lang w:val="en-US"/>
                    </w:rPr>
                    <w:t>Inactive ingredient</w:t>
                  </w:r>
                </w:p>
              </w:tc>
              <w:tc>
                <w:tcPr>
                  <w:tcW w:w="1523" w:type="dxa"/>
                  <w:shd w:val="clear" w:color="auto" w:fill="D9D9D9" w:themeFill="background1" w:themeFillShade="D9"/>
                  <w:vAlign w:val="center"/>
                </w:tcPr>
                <w:p w14:paraId="3048520D" w14:textId="77777777" w:rsidR="00D14509" w:rsidRPr="00161EAF" w:rsidRDefault="00D14509" w:rsidP="00D14509">
                  <w:pPr>
                    <w:ind w:right="-29"/>
                    <w:jc w:val="center"/>
                    <w:rPr>
                      <w:b/>
                      <w:bCs/>
                      <w:sz w:val="20"/>
                      <w:szCs w:val="20"/>
                      <w:lang w:val="en-US"/>
                    </w:rPr>
                  </w:pPr>
                  <w:r w:rsidRPr="00161EAF">
                    <w:rPr>
                      <w:b/>
                      <w:bCs/>
                      <w:sz w:val="20"/>
                      <w:szCs w:val="20"/>
                      <w:lang w:val="en-US"/>
                    </w:rPr>
                    <w:t>Route; dosage form</w:t>
                  </w:r>
                </w:p>
              </w:tc>
              <w:tc>
                <w:tcPr>
                  <w:tcW w:w="1441" w:type="dxa"/>
                  <w:shd w:val="clear" w:color="auto" w:fill="D9D9D9" w:themeFill="background1" w:themeFillShade="D9"/>
                  <w:vAlign w:val="center"/>
                </w:tcPr>
                <w:p w14:paraId="61808F97" w14:textId="77777777" w:rsidR="00D14509" w:rsidRPr="00161EAF" w:rsidRDefault="00D14509" w:rsidP="00D14509">
                  <w:pPr>
                    <w:ind w:right="-29"/>
                    <w:jc w:val="center"/>
                    <w:rPr>
                      <w:b/>
                      <w:bCs/>
                      <w:sz w:val="20"/>
                      <w:szCs w:val="20"/>
                      <w:lang w:val="en-US"/>
                    </w:rPr>
                  </w:pPr>
                  <w:r w:rsidRPr="00161EAF">
                    <w:rPr>
                      <w:b/>
                      <w:bCs/>
                      <w:sz w:val="20"/>
                      <w:szCs w:val="20"/>
                      <w:lang w:val="en-US"/>
                    </w:rPr>
                    <w:t>CAS number</w:t>
                  </w:r>
                </w:p>
              </w:tc>
              <w:tc>
                <w:tcPr>
                  <w:tcW w:w="1697" w:type="dxa"/>
                  <w:shd w:val="clear" w:color="auto" w:fill="D9D9D9" w:themeFill="background1" w:themeFillShade="D9"/>
                  <w:vAlign w:val="center"/>
                </w:tcPr>
                <w:p w14:paraId="1C119004" w14:textId="77777777" w:rsidR="00D14509" w:rsidRPr="00161EAF" w:rsidRDefault="00D14509" w:rsidP="00D14509">
                  <w:pPr>
                    <w:ind w:right="-29"/>
                    <w:jc w:val="center"/>
                    <w:rPr>
                      <w:b/>
                      <w:bCs/>
                      <w:sz w:val="20"/>
                      <w:szCs w:val="20"/>
                      <w:lang w:val="en-US"/>
                    </w:rPr>
                  </w:pPr>
                  <w:r w:rsidRPr="00161EAF">
                    <w:rPr>
                      <w:b/>
                      <w:bCs/>
                      <w:sz w:val="20"/>
                      <w:szCs w:val="20"/>
                      <w:lang w:val="en-US"/>
                    </w:rPr>
                    <w:t>Unique ingredient identifier (UNII)</w:t>
                  </w:r>
                </w:p>
              </w:tc>
              <w:tc>
                <w:tcPr>
                  <w:tcW w:w="1393" w:type="dxa"/>
                  <w:shd w:val="clear" w:color="auto" w:fill="D9D9D9" w:themeFill="background1" w:themeFillShade="D9"/>
                  <w:vAlign w:val="center"/>
                </w:tcPr>
                <w:p w14:paraId="68CE9C1A" w14:textId="77777777" w:rsidR="00D14509" w:rsidRPr="00161EAF" w:rsidRDefault="00D14509" w:rsidP="00D14509">
                  <w:pPr>
                    <w:ind w:right="-29"/>
                    <w:jc w:val="center"/>
                    <w:rPr>
                      <w:b/>
                      <w:bCs/>
                      <w:sz w:val="20"/>
                      <w:szCs w:val="20"/>
                      <w:lang w:val="en-US"/>
                    </w:rPr>
                  </w:pPr>
                  <w:r w:rsidRPr="00161EAF">
                    <w:rPr>
                      <w:b/>
                      <w:bCs/>
                      <w:sz w:val="20"/>
                      <w:szCs w:val="20"/>
                      <w:lang w:val="en-US"/>
                    </w:rPr>
                    <w:t>Maximum potency per unit dose</w:t>
                  </w:r>
                </w:p>
              </w:tc>
              <w:tc>
                <w:tcPr>
                  <w:tcW w:w="1393" w:type="dxa"/>
                  <w:shd w:val="clear" w:color="auto" w:fill="D9D9D9" w:themeFill="background1" w:themeFillShade="D9"/>
                  <w:vAlign w:val="center"/>
                </w:tcPr>
                <w:p w14:paraId="5947898E" w14:textId="77777777" w:rsidR="00D14509" w:rsidRPr="00161EAF" w:rsidRDefault="00D14509" w:rsidP="00D14509">
                  <w:pPr>
                    <w:ind w:right="-29"/>
                    <w:jc w:val="center"/>
                    <w:rPr>
                      <w:b/>
                      <w:bCs/>
                      <w:sz w:val="20"/>
                      <w:szCs w:val="20"/>
                      <w:lang w:val="en-US"/>
                    </w:rPr>
                  </w:pPr>
                  <w:r w:rsidRPr="00161EAF">
                    <w:rPr>
                      <w:b/>
                      <w:bCs/>
                      <w:sz w:val="20"/>
                      <w:szCs w:val="20"/>
                      <w:lang w:val="en-US"/>
                    </w:rPr>
                    <w:t>Maximum daily exposure (MDE)</w:t>
                  </w:r>
                </w:p>
              </w:tc>
              <w:tc>
                <w:tcPr>
                  <w:tcW w:w="1393" w:type="dxa"/>
                  <w:shd w:val="clear" w:color="auto" w:fill="D9D9D9" w:themeFill="background1" w:themeFillShade="D9"/>
                  <w:vAlign w:val="center"/>
                </w:tcPr>
                <w:p w14:paraId="2874ECF2" w14:textId="77777777" w:rsidR="00D14509" w:rsidRPr="00161EAF" w:rsidRDefault="00D14509" w:rsidP="00D14509">
                  <w:pPr>
                    <w:ind w:right="-29"/>
                    <w:jc w:val="center"/>
                    <w:rPr>
                      <w:b/>
                      <w:bCs/>
                      <w:sz w:val="20"/>
                      <w:szCs w:val="20"/>
                      <w:lang w:val="en-US"/>
                    </w:rPr>
                  </w:pPr>
                  <w:r w:rsidRPr="00161EAF">
                    <w:rPr>
                      <w:b/>
                      <w:bCs/>
                      <w:sz w:val="20"/>
                      <w:szCs w:val="20"/>
                      <w:lang w:val="en-US"/>
                    </w:rPr>
                    <w:t>Observations</w:t>
                  </w:r>
                </w:p>
              </w:tc>
            </w:tr>
            <w:tr w:rsidR="00D14509" w:rsidRPr="00161EAF" w14:paraId="4D8B503D" w14:textId="77777777" w:rsidTr="00EF29CC">
              <w:tc>
                <w:tcPr>
                  <w:tcW w:w="1592" w:type="dxa"/>
                  <w:vAlign w:val="center"/>
                </w:tcPr>
                <w:p w14:paraId="6DFCEDF1" w14:textId="77777777" w:rsidR="00D14509" w:rsidRPr="00161EAF" w:rsidRDefault="00D14509" w:rsidP="00D14509">
                  <w:pPr>
                    <w:ind w:right="-29"/>
                    <w:jc w:val="center"/>
                    <w:rPr>
                      <w:sz w:val="20"/>
                      <w:szCs w:val="20"/>
                      <w:lang w:val="en-US"/>
                    </w:rPr>
                  </w:pPr>
                  <w:r w:rsidRPr="00161EAF">
                    <w:rPr>
                      <w:sz w:val="20"/>
                      <w:szCs w:val="20"/>
                      <w:lang w:val="en-US"/>
                    </w:rPr>
                    <w:lastRenderedPageBreak/>
                    <w:t>Gelatin, Unspecified</w:t>
                  </w:r>
                </w:p>
              </w:tc>
              <w:tc>
                <w:tcPr>
                  <w:tcW w:w="1523" w:type="dxa"/>
                  <w:vAlign w:val="center"/>
                </w:tcPr>
                <w:p w14:paraId="1B41255F"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2D4379DD" w14:textId="77777777" w:rsidR="00D14509" w:rsidRPr="00161EAF" w:rsidRDefault="00D14509" w:rsidP="00D14509">
                  <w:pPr>
                    <w:ind w:right="-29"/>
                    <w:jc w:val="center"/>
                    <w:rPr>
                      <w:sz w:val="20"/>
                      <w:szCs w:val="20"/>
                      <w:lang w:val="en-US"/>
                    </w:rPr>
                  </w:pPr>
                  <w:r w:rsidRPr="00161EAF">
                    <w:rPr>
                      <w:sz w:val="20"/>
                      <w:szCs w:val="20"/>
                      <w:lang w:val="en-US"/>
                    </w:rPr>
                    <w:t>9000708</w:t>
                  </w:r>
                </w:p>
              </w:tc>
              <w:tc>
                <w:tcPr>
                  <w:tcW w:w="1697" w:type="dxa"/>
                  <w:vAlign w:val="center"/>
                </w:tcPr>
                <w:p w14:paraId="10A6F0A6" w14:textId="77777777" w:rsidR="00D14509" w:rsidRPr="00161EAF" w:rsidRDefault="00D14509" w:rsidP="00D14509">
                  <w:pPr>
                    <w:ind w:right="-29"/>
                    <w:jc w:val="center"/>
                    <w:rPr>
                      <w:sz w:val="20"/>
                      <w:szCs w:val="20"/>
                      <w:lang w:val="en-US"/>
                    </w:rPr>
                  </w:pPr>
                  <w:r w:rsidRPr="00161EAF">
                    <w:rPr>
                      <w:sz w:val="20"/>
                      <w:szCs w:val="20"/>
                      <w:lang w:val="en-US"/>
                    </w:rPr>
                    <w:t>2G86QN327L</w:t>
                  </w:r>
                </w:p>
              </w:tc>
              <w:tc>
                <w:tcPr>
                  <w:tcW w:w="1393" w:type="dxa"/>
                  <w:vAlign w:val="center"/>
                </w:tcPr>
                <w:p w14:paraId="6F6AD037"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6FC2CBDB" w14:textId="77777777" w:rsidR="00D14509" w:rsidRPr="00161EAF" w:rsidRDefault="00D14509" w:rsidP="00D14509">
                  <w:pPr>
                    <w:ind w:right="-29"/>
                    <w:jc w:val="center"/>
                    <w:rPr>
                      <w:sz w:val="20"/>
                      <w:szCs w:val="20"/>
                      <w:lang w:val="en-US"/>
                    </w:rPr>
                  </w:pPr>
                  <w:r w:rsidRPr="00161EAF">
                    <w:rPr>
                      <w:sz w:val="20"/>
                      <w:szCs w:val="20"/>
                      <w:lang w:val="en-US"/>
                    </w:rPr>
                    <w:t>1,042 mg</w:t>
                  </w:r>
                </w:p>
              </w:tc>
              <w:tc>
                <w:tcPr>
                  <w:tcW w:w="1393" w:type="dxa"/>
                  <w:vAlign w:val="center"/>
                </w:tcPr>
                <w:p w14:paraId="1F1396C2"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43B3DAB4" w14:textId="77777777" w:rsidTr="00EF29CC">
              <w:tc>
                <w:tcPr>
                  <w:tcW w:w="1592" w:type="dxa"/>
                  <w:vAlign w:val="center"/>
                </w:tcPr>
                <w:p w14:paraId="7492241A" w14:textId="77777777" w:rsidR="00D14509" w:rsidRPr="00161EAF" w:rsidRDefault="00D14509" w:rsidP="00D14509">
                  <w:pPr>
                    <w:ind w:right="-29"/>
                    <w:jc w:val="center"/>
                    <w:rPr>
                      <w:sz w:val="20"/>
                      <w:szCs w:val="20"/>
                      <w:lang w:val="en-US"/>
                    </w:rPr>
                  </w:pPr>
                  <w:r w:rsidRPr="00161EAF">
                    <w:rPr>
                      <w:sz w:val="20"/>
                      <w:szCs w:val="20"/>
                      <w:lang w:val="en-US"/>
                    </w:rPr>
                    <w:t>Glycerin</w:t>
                  </w:r>
                </w:p>
              </w:tc>
              <w:tc>
                <w:tcPr>
                  <w:tcW w:w="1523" w:type="dxa"/>
                  <w:vAlign w:val="center"/>
                </w:tcPr>
                <w:p w14:paraId="257FE186"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35FB90B2" w14:textId="77777777" w:rsidR="00D14509" w:rsidRPr="00161EAF" w:rsidRDefault="00D14509" w:rsidP="00D14509">
                  <w:pPr>
                    <w:ind w:right="-29"/>
                    <w:jc w:val="center"/>
                    <w:rPr>
                      <w:sz w:val="20"/>
                      <w:szCs w:val="20"/>
                      <w:lang w:val="en-US"/>
                    </w:rPr>
                  </w:pPr>
                  <w:r w:rsidRPr="00161EAF">
                    <w:rPr>
                      <w:sz w:val="20"/>
                      <w:szCs w:val="20"/>
                      <w:lang w:val="en-US"/>
                    </w:rPr>
                    <w:t>56815</w:t>
                  </w:r>
                </w:p>
              </w:tc>
              <w:tc>
                <w:tcPr>
                  <w:tcW w:w="1697" w:type="dxa"/>
                  <w:vAlign w:val="center"/>
                </w:tcPr>
                <w:p w14:paraId="0EEACD4A" w14:textId="77777777" w:rsidR="00D14509" w:rsidRPr="00161EAF" w:rsidRDefault="00D14509" w:rsidP="00D14509">
                  <w:pPr>
                    <w:ind w:right="-29"/>
                    <w:jc w:val="center"/>
                    <w:rPr>
                      <w:sz w:val="20"/>
                      <w:szCs w:val="20"/>
                      <w:lang w:val="en-US"/>
                    </w:rPr>
                  </w:pPr>
                  <w:r w:rsidRPr="00161EAF">
                    <w:rPr>
                      <w:sz w:val="20"/>
                      <w:szCs w:val="20"/>
                      <w:lang w:val="en-US"/>
                    </w:rPr>
                    <w:t>PDC6A3C0OX</w:t>
                  </w:r>
                </w:p>
              </w:tc>
              <w:tc>
                <w:tcPr>
                  <w:tcW w:w="1393" w:type="dxa"/>
                  <w:vAlign w:val="center"/>
                </w:tcPr>
                <w:p w14:paraId="60D25471"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FFE549B" w14:textId="77777777" w:rsidR="00D14509" w:rsidRPr="00161EAF" w:rsidRDefault="00D14509" w:rsidP="00D14509">
                  <w:pPr>
                    <w:ind w:right="-29"/>
                    <w:jc w:val="center"/>
                    <w:rPr>
                      <w:sz w:val="20"/>
                      <w:szCs w:val="20"/>
                      <w:lang w:val="en-US"/>
                    </w:rPr>
                  </w:pPr>
                  <w:r w:rsidRPr="00161EAF">
                    <w:rPr>
                      <w:sz w:val="20"/>
                      <w:szCs w:val="20"/>
                      <w:lang w:val="en-US"/>
                    </w:rPr>
                    <w:t>3,487 mg</w:t>
                  </w:r>
                </w:p>
              </w:tc>
              <w:tc>
                <w:tcPr>
                  <w:tcW w:w="1393" w:type="dxa"/>
                  <w:vAlign w:val="center"/>
                </w:tcPr>
                <w:p w14:paraId="5B00AB2E"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2A217874" w14:textId="77777777" w:rsidTr="00EF29CC">
              <w:tc>
                <w:tcPr>
                  <w:tcW w:w="1592" w:type="dxa"/>
                  <w:vAlign w:val="center"/>
                </w:tcPr>
                <w:p w14:paraId="65DA00CF" w14:textId="77777777" w:rsidR="00D14509" w:rsidRPr="00161EAF" w:rsidRDefault="00D14509" w:rsidP="00D14509">
                  <w:pPr>
                    <w:ind w:right="-29"/>
                    <w:jc w:val="center"/>
                    <w:rPr>
                      <w:sz w:val="20"/>
                      <w:szCs w:val="20"/>
                      <w:lang w:val="en-US"/>
                    </w:rPr>
                  </w:pPr>
                  <w:r w:rsidRPr="00161EAF">
                    <w:rPr>
                      <w:sz w:val="20"/>
                      <w:szCs w:val="20"/>
                      <w:lang w:val="en-US"/>
                    </w:rPr>
                    <w:t>Sesame Oil</w:t>
                  </w:r>
                </w:p>
              </w:tc>
              <w:tc>
                <w:tcPr>
                  <w:tcW w:w="1523" w:type="dxa"/>
                  <w:vAlign w:val="center"/>
                </w:tcPr>
                <w:p w14:paraId="775DE1BC" w14:textId="77777777" w:rsidR="00D14509" w:rsidRPr="00161EAF" w:rsidRDefault="00D14509" w:rsidP="00D14509">
                  <w:pPr>
                    <w:ind w:right="-29"/>
                    <w:jc w:val="center"/>
                    <w:rPr>
                      <w:sz w:val="20"/>
                      <w:szCs w:val="20"/>
                      <w:lang w:val="en-US"/>
                    </w:rPr>
                  </w:pPr>
                  <w:r w:rsidRPr="00161EAF">
                    <w:rPr>
                      <w:sz w:val="20"/>
                      <w:szCs w:val="20"/>
                      <w:lang w:val="en-US"/>
                    </w:rPr>
                    <w:t>Oral; capsule</w:t>
                  </w:r>
                </w:p>
              </w:tc>
              <w:tc>
                <w:tcPr>
                  <w:tcW w:w="1441" w:type="dxa"/>
                  <w:vAlign w:val="center"/>
                </w:tcPr>
                <w:p w14:paraId="67A9CFA6" w14:textId="77777777" w:rsidR="00D14509" w:rsidRPr="00161EAF" w:rsidRDefault="00D14509" w:rsidP="00D14509">
                  <w:pPr>
                    <w:ind w:right="-29"/>
                    <w:jc w:val="center"/>
                    <w:rPr>
                      <w:sz w:val="20"/>
                      <w:szCs w:val="20"/>
                      <w:lang w:val="en-US"/>
                    </w:rPr>
                  </w:pPr>
                  <w:r w:rsidRPr="00161EAF">
                    <w:rPr>
                      <w:sz w:val="20"/>
                      <w:szCs w:val="20"/>
                      <w:lang w:val="en-US"/>
                    </w:rPr>
                    <w:t>8008740</w:t>
                  </w:r>
                </w:p>
              </w:tc>
              <w:tc>
                <w:tcPr>
                  <w:tcW w:w="1697" w:type="dxa"/>
                  <w:vAlign w:val="center"/>
                </w:tcPr>
                <w:p w14:paraId="788FF1F0" w14:textId="77777777" w:rsidR="00D14509" w:rsidRPr="00161EAF" w:rsidRDefault="00D14509" w:rsidP="00D14509">
                  <w:pPr>
                    <w:ind w:right="-29"/>
                    <w:jc w:val="center"/>
                    <w:rPr>
                      <w:sz w:val="20"/>
                      <w:szCs w:val="20"/>
                      <w:lang w:val="en-US"/>
                    </w:rPr>
                  </w:pPr>
                  <w:r w:rsidRPr="00161EAF">
                    <w:rPr>
                      <w:sz w:val="20"/>
                      <w:szCs w:val="20"/>
                      <w:lang w:val="en-US"/>
                    </w:rPr>
                    <w:t>QX10HYY4QV</w:t>
                  </w:r>
                </w:p>
              </w:tc>
              <w:tc>
                <w:tcPr>
                  <w:tcW w:w="1393" w:type="dxa"/>
                  <w:vAlign w:val="center"/>
                </w:tcPr>
                <w:p w14:paraId="45416DD6"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7A1F8913" w14:textId="77777777" w:rsidR="00D14509" w:rsidRPr="00161EAF" w:rsidRDefault="00D14509" w:rsidP="00D14509">
                  <w:pPr>
                    <w:ind w:right="-29"/>
                    <w:jc w:val="center"/>
                    <w:rPr>
                      <w:sz w:val="20"/>
                      <w:szCs w:val="20"/>
                      <w:lang w:val="en-US"/>
                    </w:rPr>
                  </w:pPr>
                  <w:r w:rsidRPr="00161EAF">
                    <w:rPr>
                      <w:sz w:val="20"/>
                      <w:szCs w:val="20"/>
                      <w:lang w:val="en-US"/>
                    </w:rPr>
                    <w:t>2,325 mg</w:t>
                  </w:r>
                </w:p>
              </w:tc>
              <w:tc>
                <w:tcPr>
                  <w:tcW w:w="1393" w:type="dxa"/>
                  <w:vAlign w:val="center"/>
                </w:tcPr>
                <w:p w14:paraId="26DA920B" w14:textId="77777777" w:rsidR="00D14509" w:rsidRPr="00161EAF" w:rsidRDefault="00D14509" w:rsidP="00D14509">
                  <w:pPr>
                    <w:ind w:right="-29"/>
                    <w:jc w:val="center"/>
                    <w:rPr>
                      <w:sz w:val="20"/>
                      <w:szCs w:val="20"/>
                      <w:lang w:val="en-US"/>
                    </w:rPr>
                  </w:pPr>
                  <w:r w:rsidRPr="00161EAF">
                    <w:rPr>
                      <w:sz w:val="20"/>
                      <w:szCs w:val="20"/>
                      <w:lang w:val="en-US"/>
                    </w:rPr>
                    <w:t>None</w:t>
                  </w:r>
                </w:p>
              </w:tc>
            </w:tr>
            <w:tr w:rsidR="00D14509" w:rsidRPr="00161EAF" w14:paraId="3915BF59" w14:textId="77777777" w:rsidTr="00EF29CC">
              <w:tc>
                <w:tcPr>
                  <w:tcW w:w="1592" w:type="dxa"/>
                  <w:vAlign w:val="center"/>
                </w:tcPr>
                <w:p w14:paraId="6116C66A" w14:textId="77777777" w:rsidR="00D14509" w:rsidRPr="00161EAF" w:rsidRDefault="00D14509" w:rsidP="00D14509">
                  <w:pPr>
                    <w:ind w:right="-29"/>
                    <w:jc w:val="center"/>
                    <w:rPr>
                      <w:sz w:val="20"/>
                      <w:szCs w:val="20"/>
                      <w:lang w:val="en-US"/>
                    </w:rPr>
                  </w:pPr>
                  <w:r w:rsidRPr="00161EAF">
                    <w:rPr>
                      <w:sz w:val="20"/>
                      <w:szCs w:val="20"/>
                      <w:lang w:val="en-US"/>
                    </w:rPr>
                    <w:t>Titanium Dioxide</w:t>
                  </w:r>
                </w:p>
              </w:tc>
              <w:tc>
                <w:tcPr>
                  <w:tcW w:w="1523" w:type="dxa"/>
                  <w:vAlign w:val="center"/>
                </w:tcPr>
                <w:p w14:paraId="41C6CD43" w14:textId="77777777" w:rsidR="00D14509" w:rsidRPr="00161EAF" w:rsidRDefault="00D14509" w:rsidP="00D14509">
                  <w:pPr>
                    <w:ind w:right="-29"/>
                    <w:jc w:val="center"/>
                    <w:rPr>
                      <w:sz w:val="20"/>
                      <w:szCs w:val="20"/>
                      <w:lang w:val="en-US"/>
                    </w:rPr>
                  </w:pPr>
                  <w:r w:rsidRPr="00161EAF">
                    <w:rPr>
                      <w:sz w:val="20"/>
                      <w:szCs w:val="20"/>
                      <w:lang w:val="en-US"/>
                    </w:rPr>
                    <w:t>Oral; capsule, liquid filled</w:t>
                  </w:r>
                </w:p>
              </w:tc>
              <w:tc>
                <w:tcPr>
                  <w:tcW w:w="1441" w:type="dxa"/>
                  <w:vAlign w:val="center"/>
                </w:tcPr>
                <w:p w14:paraId="02BD6DBE" w14:textId="77777777" w:rsidR="00D14509" w:rsidRPr="00161EAF" w:rsidRDefault="00D14509" w:rsidP="00D14509">
                  <w:pPr>
                    <w:ind w:right="-29"/>
                    <w:jc w:val="center"/>
                    <w:rPr>
                      <w:sz w:val="20"/>
                      <w:szCs w:val="20"/>
                      <w:lang w:val="en-US"/>
                    </w:rPr>
                  </w:pPr>
                  <w:r w:rsidRPr="00161EAF">
                    <w:rPr>
                      <w:sz w:val="20"/>
                      <w:szCs w:val="20"/>
                      <w:lang w:val="en-US"/>
                    </w:rPr>
                    <w:t>13463677</w:t>
                  </w:r>
                </w:p>
              </w:tc>
              <w:tc>
                <w:tcPr>
                  <w:tcW w:w="1697" w:type="dxa"/>
                  <w:vAlign w:val="center"/>
                </w:tcPr>
                <w:p w14:paraId="3827C2CD" w14:textId="77777777" w:rsidR="00D14509" w:rsidRPr="00161EAF" w:rsidRDefault="00D14509" w:rsidP="00D14509">
                  <w:pPr>
                    <w:ind w:right="-29"/>
                    <w:jc w:val="center"/>
                    <w:rPr>
                      <w:sz w:val="20"/>
                      <w:szCs w:val="20"/>
                      <w:lang w:val="en-US"/>
                    </w:rPr>
                  </w:pPr>
                  <w:r w:rsidRPr="00161EAF">
                    <w:rPr>
                      <w:sz w:val="20"/>
                      <w:szCs w:val="20"/>
                      <w:lang w:val="en-US"/>
                    </w:rPr>
                    <w:t>15FIX9V2JP</w:t>
                  </w:r>
                </w:p>
              </w:tc>
              <w:tc>
                <w:tcPr>
                  <w:tcW w:w="1393" w:type="dxa"/>
                  <w:vAlign w:val="center"/>
                </w:tcPr>
                <w:p w14:paraId="686915D4" w14:textId="77777777" w:rsidR="00D14509" w:rsidRPr="00161EAF" w:rsidRDefault="00D14509" w:rsidP="00D14509">
                  <w:pPr>
                    <w:ind w:right="-29"/>
                    <w:jc w:val="center"/>
                    <w:rPr>
                      <w:sz w:val="20"/>
                      <w:szCs w:val="20"/>
                      <w:lang w:val="en-US"/>
                    </w:rPr>
                  </w:pPr>
                  <w:r w:rsidRPr="00161EAF">
                    <w:rPr>
                      <w:sz w:val="20"/>
                      <w:szCs w:val="20"/>
                      <w:lang w:val="en-US"/>
                    </w:rPr>
                    <w:t>-</w:t>
                  </w:r>
                </w:p>
              </w:tc>
              <w:tc>
                <w:tcPr>
                  <w:tcW w:w="1393" w:type="dxa"/>
                  <w:vAlign w:val="center"/>
                </w:tcPr>
                <w:p w14:paraId="22775151" w14:textId="77777777" w:rsidR="00D14509" w:rsidRPr="00161EAF" w:rsidRDefault="00D14509" w:rsidP="00D14509">
                  <w:pPr>
                    <w:ind w:right="-29"/>
                    <w:jc w:val="center"/>
                    <w:rPr>
                      <w:sz w:val="20"/>
                      <w:szCs w:val="20"/>
                      <w:lang w:val="en-US"/>
                    </w:rPr>
                  </w:pPr>
                  <w:r w:rsidRPr="00161EAF">
                    <w:rPr>
                      <w:sz w:val="20"/>
                      <w:szCs w:val="20"/>
                      <w:lang w:val="en-US"/>
                    </w:rPr>
                    <w:t>12 mg</w:t>
                  </w:r>
                </w:p>
              </w:tc>
              <w:tc>
                <w:tcPr>
                  <w:tcW w:w="1393" w:type="dxa"/>
                  <w:vAlign w:val="center"/>
                </w:tcPr>
                <w:p w14:paraId="56774819" w14:textId="77777777" w:rsidR="00D14509" w:rsidRPr="00161EAF" w:rsidRDefault="00D14509" w:rsidP="00D14509">
                  <w:pPr>
                    <w:ind w:right="-29"/>
                    <w:jc w:val="center"/>
                    <w:rPr>
                      <w:sz w:val="20"/>
                      <w:szCs w:val="20"/>
                      <w:lang w:val="en-US"/>
                    </w:rPr>
                  </w:pPr>
                  <w:r w:rsidRPr="00161EAF">
                    <w:rPr>
                      <w:sz w:val="20"/>
                      <w:szCs w:val="20"/>
                      <w:lang w:val="en-US"/>
                    </w:rPr>
                    <w:t xml:space="preserve">None</w:t>
                  </w:r>
                </w:p>
              </w:tc>
            </w:tr>
          </w:tbl>
          <w:p w14:paraId="2404189F" w14:textId="790538AF" w:rsidR="00D14509" w:rsidRDefault="00D14509" w:rsidP="00D14509">
            <w:pPr>
              <w:pStyle w:val="Prrafodelista"/>
              <w:rPr>
                <w:b/>
                <w:bCs/>
                <w:sz w:val="20"/>
                <w:szCs w:val="20"/>
                <w:lang w:val="en-US"/>
              </w:rPr>
            </w:pPr>
          </w:p>
          <w:p w14:paraId="585C996B" w14:textId="1900ECD5" w:rsidR="00320FF5" w:rsidRDefault="00320FF5" w:rsidP="00D14509">
            <w:pPr>
              <w:pStyle w:val="Prrafodelista"/>
              <w:rPr>
                <w:b/>
                <w:bCs/>
                <w:sz w:val="20"/>
                <w:szCs w:val="20"/>
                <w:lang w:val="en-US"/>
              </w:rPr>
            </w:pPr>
          </w:p>
          <w:p w14:paraId="538A77ED" w14:textId="77777777" w:rsidR="00320FF5" w:rsidRDefault="00320FF5" w:rsidP="00D14509">
            <w:pPr>
              <w:pStyle w:val="Prrafodelista"/>
              <w:rPr>
                <w:b/>
                <w:bCs/>
                <w:sz w:val="20"/>
                <w:szCs w:val="20"/>
                <w:lang w:val="en-US"/>
              </w:rPr>
            </w:pPr>
          </w:p>
          <w:p w14:paraId="187808B7" w14:textId="77777777" w:rsidR="00320FF5"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Bioequivalence recommendations: </w:t>
            </w:r>
          </w:p>
          <w:p w14:paraId="3711B7FE" w14:textId="77777777" w:rsidR="00320FF5" w:rsidRDefault="00320FF5" w:rsidP="00320FF5">
            <w:pPr>
              <w:pStyle w:val="Prrafodelista"/>
              <w:ind w:left="252" w:right="-29"/>
              <w:jc w:val="both"/>
              <w:rPr>
                <w:b/>
                <w:bCs/>
                <w:sz w:val="20"/>
                <w:szCs w:val="20"/>
                <w:lang w:val="en-US"/>
              </w:rPr>
            </w:pPr>
          </w:p>
          <w:p w14:paraId="64EBE6E3" w14:textId="77777777" w:rsidR="00D14509" w:rsidRDefault="00D14509" w:rsidP="00320FF5">
            <w:pPr>
              <w:pStyle w:val="Prrafodelista"/>
              <w:numPr>
                <w:ilvl w:val="0"/>
                <w:numId w:val="10"/>
              </w:numPr>
              <w:ind w:right="-29"/>
              <w:jc w:val="both"/>
              <w:rPr>
                <w:b/>
                <w:bCs/>
                <w:sz w:val="20"/>
                <w:szCs w:val="20"/>
                <w:lang w:val="en-US"/>
              </w:rPr>
            </w:pPr>
            <w:r w:rsidRPr="00161EAF">
              <w:rPr>
                <w:b/>
                <w:bCs/>
                <w:sz w:val="20"/>
                <w:szCs w:val="20"/>
                <w:lang w:val="en-US"/>
              </w:rPr>
              <w:t xml:space="preserve">Packaging: </w:t>
            </w:r>
          </w:p>
          <w:p w14:paraId="1AB89CFD" w14:textId="31880FF2" w:rsidR="00320FF5" w:rsidRPr="00320FF5" w:rsidRDefault="00320FF5" w:rsidP="00320FF5">
            <w:pPr>
              <w:ind w:right="-29"/>
              <w:jc w:val="both"/>
              <w:rPr>
                <w:b/>
                <w:bCs/>
                <w:sz w:val="20"/>
                <w:szCs w:val="20"/>
                <w:lang w:val="en-US"/>
              </w:rPr>
            </w:pPr>
          </w:p>
        </w:tc>
      </w:tr>
    </w:tbl>
    <w:p w14:paraId="494F1382" w14:textId="77777777" w:rsidR="00D14509" w:rsidRPr="00D14509" w:rsidRDefault="00D14509" w:rsidP="00D14509">
      <w:pPr>
        <w:rPr>
          <w:sz w:val="20"/>
          <w:szCs w:val="20"/>
        </w:rPr>
      </w:pPr>
    </w:p>
    <w:p w14:paraId="32D5E5B9" w14:textId="07F7D265" w:rsidR="00D14509" w:rsidRDefault="00D14509" w:rsidP="00D14509">
      <w:pPr>
        <w:rPr>
          <w:sz w:val="20"/>
          <w:szCs w:val="20"/>
          <w:lang w:val="en-US"/>
        </w:rPr>
      </w:pPr>
      <w:r w:rsidRPr="296F1118">
        <w:rPr>
          <w:sz w:val="20"/>
          <w:szCs w:val="20"/>
          <w:lang w:val="en-US"/>
        </w:rPr>
        <w:t xml:space="preserve"/>
      </w:r>
    </w:p>
    <w:p w14:paraId="7394E1C3" w14:textId="53E110DE" w:rsidR="00320FF5" w:rsidRDefault="00320FF5">
      <w:pPr>
        <w:rPr>
          <w:sz w:val="20"/>
          <w:szCs w:val="20"/>
          <w:lang w:val="en-US"/>
        </w:rPr>
      </w:pPr>
      <w:r>
        <w:rPr>
          <w:sz w:val="20"/>
          <w:szCs w:val="20"/>
          <w:lang w:val="en-US"/>
        </w:rPr>
        <w:br w:type="page"/>
      </w:r>
    </w:p>
    <w:p w14:paraId="7C51087C" w14:textId="77777777" w:rsidR="00271F9C" w:rsidRDefault="00271F9C" w:rsidP="00990997">
      <w:pPr>
        <w:rPr>
          <w:sz w:val="20"/>
          <w:szCs w:val="20"/>
          <w:lang w:val="en-US"/>
        </w:rPr>
      </w:pPr>
    </w:p>
    <w:tbl>
      <w:tblPr>
        <w:tblW w:w="1065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04"/>
        <w:gridCol w:w="3796"/>
        <w:gridCol w:w="3550"/>
      </w:tblGrid>
      <w:tr w:rsidR="00320FF5" w:rsidRPr="00161EAF" w14:paraId="710D1B01" w14:textId="77777777" w:rsidTr="00EF29CC">
        <w:trPr>
          <w:trHeight w:val="680"/>
          <w:tblHeader/>
          <w:jc w:val="center"/>
        </w:trPr>
        <w:tc>
          <w:tcPr>
            <w:tcW w:w="10652" w:type="dxa"/>
            <w:gridSpan w:val="2"/>
            <w:shd w:val="clear" w:color="auto" w:fill="DBE5F1"/>
            <w:vAlign w:val="center"/>
          </w:tcPr>
          <w:p w14:paraId="566B64F6" w14:textId="77777777" w:rsidR="00320FF5" w:rsidRPr="00161EAF" w:rsidRDefault="00320FF5" w:rsidP="00320FF5">
            <w:pPr>
              <w:pStyle w:val="Prrafodelista"/>
              <w:numPr>
                <w:ilvl w:val="0"/>
                <w:numId w:val="18"/>
              </w:numPr>
              <w:ind w:right="-29"/>
              <w:rPr>
                <w:b/>
                <w:sz w:val="20"/>
                <w:szCs w:val="20"/>
                <w:lang w:val="en-US"/>
              </w:rPr>
            </w:pPr>
            <w:r w:rsidRPr="00161EAF">
              <w:rPr>
                <w:b/>
                <w:sz w:val="20"/>
                <w:szCs w:val="20"/>
                <w:lang w:val="en-US"/>
              </w:rPr>
              <w:t>INFORMATION OF MONOGRAPHS OF API AND FINISHED PRODUCTS</w:t>
            </w:r>
          </w:p>
        </w:tc>
      </w:tr>
      <w:tr w:rsidR="00320FF5" w:rsidRPr="00161EAF" w14:paraId="7CBF7FC2" w14:textId="77777777" w:rsidTr="00EF29CC">
        <w:trPr>
          <w:trHeight w:val="510"/>
          <w:jc w:val="center"/>
        </w:trPr>
        <w:tc>
          <w:tcPr>
            <w:tcW w:w="4957" w:type="dxa"/>
            <w:vAlign w:val="center"/>
          </w:tcPr>
          <w:p w14:paraId="1ED1EAA1" w14:textId="77777777" w:rsidR="00320FF5" w:rsidRPr="00161EAF" w:rsidRDefault="00320FF5" w:rsidP="00EF29CC">
            <w:pPr>
              <w:ind w:left="-108" w:right="-29"/>
              <w:rPr>
                <w:sz w:val="20"/>
                <w:szCs w:val="20"/>
                <w:lang w:val="en-US"/>
              </w:rPr>
            </w:pPr>
            <w:r w:rsidRPr="00161EAF">
              <w:rPr>
                <w:sz w:val="20"/>
                <w:szCs w:val="20"/>
                <w:lang w:val="en-US"/>
              </w:rPr>
              <w:t>Official monographs for the API:</w:t>
            </w:r>
          </w:p>
        </w:tc>
        <w:tc>
          <w:tcPr>
            <w:tcW w:w="5695" w:type="dxa"/>
            <w:vAlign w:val="center"/>
          </w:tcPr>
          <w:p w14:paraId="7622E04D"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xml:space="preserve"> USP monograph [</w:t>
            </w:r>
            <w:r>
              <w:rPr>
                <w:sz w:val="20"/>
                <w:szCs w:val="20"/>
                <w:lang w:val="en-US"/>
              </w:rPr>
              <w:t>32</w:t>
            </w:r>
            <w:r w:rsidRPr="00161EAF">
              <w:rPr>
                <w:sz w:val="20"/>
                <w:szCs w:val="20"/>
                <w:lang w:val="en-US"/>
              </w:rPr>
              <w:t>]</w:t>
            </w:r>
          </w:p>
          <w:p w14:paraId="3303E48E" w14:textId="77777777" w:rsidR="00320FF5" w:rsidRPr="00161EAF" w:rsidRDefault="00320FF5" w:rsidP="00EF29CC">
            <w:pPr>
              <w:ind w:left="-108" w:right="-29"/>
              <w:jc w:val="both"/>
              <w:rPr>
                <w:sz w:val="20"/>
                <w:szCs w:val="20"/>
                <w:lang w:val="en-US"/>
              </w:rPr>
            </w:pPr>
            <w:r w:rsidRPr="00161EAF">
              <w:rPr>
                <w:sz w:val="20"/>
                <w:szCs w:val="20"/>
                <w:lang w:val="en-US"/>
              </w:rPr>
              <w:t>Acetazolamide USP monograph [1</w:t>
            </w:r>
            <w:r>
              <w:rPr>
                <w:sz w:val="20"/>
                <w:szCs w:val="20"/>
                <w:lang w:val="en-US"/>
              </w:rPr>
              <w:t>6</w:t>
            </w:r>
            <w:r w:rsidRPr="00161EAF">
              <w:rPr>
                <w:sz w:val="20"/>
                <w:szCs w:val="20"/>
                <w:lang w:val="en-US"/>
              </w:rPr>
              <w:t>]</w:t>
            </w:r>
          </w:p>
          <w:p w14:paraId="3763FBB8" w14:textId="77777777" w:rsidR="00320FF5"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Ph. Eur.</w:t>
            </w:r>
            <w:r w:rsidRPr="00161EAF">
              <w:rPr>
                <w:sz w:val="20"/>
                <w:szCs w:val="20"/>
                <w:lang w:val="en-US"/>
              </w:rPr>
              <w:t xml:space="preserve"> monograph [</w:t>
            </w:r>
            <w:r>
              <w:rPr>
                <w:sz w:val="20"/>
                <w:szCs w:val="20"/>
                <w:lang w:val="en-US"/>
              </w:rPr>
              <w:t>33</w:t>
            </w:r>
            <w:r w:rsidRPr="00161EAF">
              <w:rPr>
                <w:sz w:val="20"/>
                <w:szCs w:val="20"/>
                <w:lang w:val="en-US"/>
              </w:rPr>
              <w:t>]</w:t>
            </w:r>
          </w:p>
          <w:p w14:paraId="11BC9D69" w14:textId="77777777" w:rsidR="00320FF5" w:rsidRPr="00161EAF" w:rsidRDefault="00320FF5" w:rsidP="00EF29CC">
            <w:pPr>
              <w:ind w:left="-108" w:right="-29"/>
              <w:jc w:val="both"/>
              <w:rPr>
                <w:sz w:val="20"/>
                <w:szCs w:val="20"/>
                <w:lang w:val="en-US"/>
              </w:rPr>
            </w:pPr>
            <w:r w:rsidRPr="00161EAF">
              <w:rPr>
                <w:sz w:val="20"/>
                <w:szCs w:val="20"/>
                <w:lang w:val="en-US"/>
              </w:rPr>
              <w:t xml:space="preserve">Acetazolamide </w:t>
            </w:r>
            <w:r>
              <w:rPr>
                <w:sz w:val="20"/>
                <w:szCs w:val="20"/>
                <w:lang w:val="en-US"/>
              </w:rPr>
              <w:t>B</w:t>
            </w:r>
            <w:r w:rsidRPr="00161EAF">
              <w:rPr>
                <w:sz w:val="20"/>
                <w:szCs w:val="20"/>
                <w:lang w:val="en-US"/>
              </w:rPr>
              <w:t>P monograph</w:t>
            </w:r>
            <w:r>
              <w:rPr>
                <w:sz w:val="20"/>
                <w:szCs w:val="20"/>
                <w:lang w:val="en-US"/>
              </w:rPr>
              <w:t xml:space="preserve"> [34]</w:t>
            </w:r>
          </w:p>
          <w:p w14:paraId="0BEF7746" w14:textId="77777777" w:rsidR="00320FF5" w:rsidRPr="00161EAF" w:rsidRDefault="00320FF5" w:rsidP="00EF29CC">
            <w:pPr>
              <w:ind w:left="-108" w:right="-29"/>
              <w:jc w:val="both"/>
              <w:rPr>
                <w:sz w:val="20"/>
                <w:szCs w:val="20"/>
                <w:lang w:val="en-US"/>
              </w:rPr>
            </w:pPr>
            <w:r w:rsidRPr="00161EAF">
              <w:rPr>
                <w:sz w:val="20"/>
                <w:szCs w:val="20"/>
                <w:lang w:val="en-US"/>
              </w:rPr>
              <w:t>Acetazolamide JP monograph [</w:t>
            </w:r>
            <w:r>
              <w:rPr>
                <w:sz w:val="20"/>
                <w:szCs w:val="20"/>
                <w:lang w:val="en-US"/>
              </w:rPr>
              <w:t>35</w:t>
            </w:r>
            <w:r w:rsidRPr="00161EAF">
              <w:rPr>
                <w:sz w:val="20"/>
                <w:szCs w:val="20"/>
                <w:lang w:val="en-US"/>
              </w:rPr>
              <w:t>]</w:t>
            </w:r>
          </w:p>
        </w:tc>
      </w:tr>
      <w:tr w:rsidR="00320FF5" w:rsidRPr="00161EAF" w14:paraId="22A8CD33" w14:textId="77777777" w:rsidTr="00EF29CC">
        <w:trPr>
          <w:trHeight w:val="510"/>
          <w:jc w:val="center"/>
        </w:trPr>
        <w:tc>
          <w:tcPr>
            <w:tcW w:w="4957" w:type="dxa"/>
            <w:vAlign w:val="center"/>
          </w:tcPr>
          <w:p w14:paraId="599532AE" w14:textId="77777777" w:rsidR="00320FF5" w:rsidRPr="00161EAF" w:rsidRDefault="00320FF5" w:rsidP="00EF29CC">
            <w:pPr>
              <w:ind w:left="-108" w:right="-29"/>
              <w:rPr>
                <w:sz w:val="20"/>
                <w:szCs w:val="20"/>
                <w:lang w:val="en-US"/>
              </w:rPr>
            </w:pPr>
            <w:r w:rsidRPr="00161EAF">
              <w:rPr>
                <w:sz w:val="20"/>
                <w:szCs w:val="20"/>
                <w:lang w:val="en-US"/>
              </w:rPr>
              <w:t>Official monographs for the finished products:</w:t>
            </w:r>
          </w:p>
        </w:tc>
        <w:tc>
          <w:tcPr>
            <w:tcW w:w="5695" w:type="dxa"/>
            <w:vAlign w:val="center"/>
          </w:tcPr>
          <w:p w14:paraId="4BC62B21" w14:textId="77777777" w:rsidR="00320FF5" w:rsidRPr="00161EAF" w:rsidRDefault="00320FF5" w:rsidP="00EF29CC">
            <w:pPr>
              <w:ind w:left="-108" w:right="-29"/>
              <w:rPr>
                <w:sz w:val="20"/>
                <w:szCs w:val="20"/>
                <w:lang w:val="en-US"/>
              </w:rPr>
            </w:pPr>
            <w:proofErr w:type="spellStart"/>
            <w:r w:rsidRPr="00161EAF">
              <w:rPr>
                <w:sz w:val="20"/>
                <w:szCs w:val="20"/>
                <w:lang w:val="en-US"/>
              </w:rPr>
              <w:t>Dronabinol</w:t>
            </w:r>
            <w:proofErr w:type="spellEnd"/>
            <w:r w:rsidRPr="00161EAF">
              <w:rPr>
                <w:sz w:val="20"/>
                <w:szCs w:val="20"/>
                <w:lang w:val="en-US"/>
              </w:rPr>
              <w:t>, capsules USP monograph [</w:t>
            </w:r>
            <w:r>
              <w:rPr>
                <w:sz w:val="20"/>
                <w:szCs w:val="20"/>
                <w:lang w:val="en-US"/>
              </w:rPr>
              <w:t>26</w:t>
            </w:r>
            <w:r w:rsidRPr="00161EAF">
              <w:rPr>
                <w:sz w:val="20"/>
                <w:szCs w:val="20"/>
                <w:lang w:val="en-US"/>
              </w:rPr>
              <w:t>]</w:t>
            </w:r>
          </w:p>
          <w:p w14:paraId="0C717CBD" w14:textId="77777777" w:rsidR="00320FF5" w:rsidRDefault="00320FF5" w:rsidP="00EF29CC">
            <w:pPr>
              <w:ind w:left="-108" w:right="-29"/>
              <w:rPr>
                <w:sz w:val="20"/>
                <w:szCs w:val="20"/>
                <w:lang w:val="en-US"/>
              </w:rPr>
            </w:pPr>
            <w:r w:rsidRPr="00161EAF">
              <w:rPr>
                <w:sz w:val="20"/>
                <w:szCs w:val="20"/>
                <w:lang w:val="en-US"/>
              </w:rPr>
              <w:t>Acetazolamide, tablets USP monograph [</w:t>
            </w:r>
            <w:r>
              <w:rPr>
                <w:sz w:val="20"/>
                <w:szCs w:val="20"/>
                <w:lang w:val="en-US"/>
              </w:rPr>
              <w:t>31</w:t>
            </w:r>
            <w:r w:rsidRPr="00161EAF">
              <w:rPr>
                <w:sz w:val="20"/>
                <w:szCs w:val="20"/>
                <w:lang w:val="en-US"/>
              </w:rPr>
              <w:t>]</w:t>
            </w:r>
          </w:p>
          <w:p w14:paraId="78CB19C7" w14:textId="77777777" w:rsidR="00320FF5" w:rsidRPr="00161EAF" w:rsidRDefault="00320FF5" w:rsidP="00EF29CC">
            <w:pPr>
              <w:ind w:left="-108" w:right="-29"/>
              <w:rPr>
                <w:sz w:val="20"/>
                <w:szCs w:val="20"/>
                <w:lang w:val="en-US"/>
              </w:rPr>
            </w:pPr>
            <w:r w:rsidRPr="00161EAF">
              <w:rPr>
                <w:sz w:val="20"/>
                <w:szCs w:val="20"/>
                <w:lang w:val="en-US"/>
              </w:rPr>
              <w:t xml:space="preserve">Acetazolamide, tablets </w:t>
            </w:r>
            <w:r>
              <w:rPr>
                <w:sz w:val="20"/>
                <w:szCs w:val="20"/>
                <w:lang w:val="en-US"/>
              </w:rPr>
              <w:t>BP monograph [36]</w:t>
            </w:r>
          </w:p>
        </w:tc>
      </w:tr>
      <w:tr w:rsidR="00320FF5" w:rsidRPr="00161EAF" w14:paraId="6AAA0689" w14:textId="77777777" w:rsidTr="00EF29CC">
        <w:trPr>
          <w:trHeight w:val="510"/>
          <w:jc w:val="center"/>
        </w:trPr>
        <w:tc>
          <w:tcPr>
            <w:tcW w:w="10652" w:type="dxa"/>
            <w:gridSpan w:val="2"/>
            <w:vAlign w:val="center"/>
          </w:tcPr>
          <w:p w14:paraId="40D4D234" w14:textId="77777777" w:rsidR="00320FF5" w:rsidRPr="00161EAF" w:rsidRDefault="00320FF5" w:rsidP="00EF29CC">
            <w:pPr>
              <w:ind w:left="-108" w:right="-29"/>
              <w:rPr>
                <w:sz w:val="20"/>
                <w:szCs w:val="20"/>
                <w:lang w:val="en-US"/>
              </w:rPr>
            </w:pPr>
            <w:r w:rsidRPr="00161EAF">
              <w:rPr>
                <w:sz w:val="20"/>
                <w:szCs w:val="20"/>
                <w:lang w:val="en-US"/>
              </w:rPr>
              <w:t>Other information:</w:t>
            </w:r>
          </w:p>
          <w:p w14:paraId="3F90E2F7" w14:textId="77777777" w:rsidR="00320FF5" w:rsidRPr="00161EAF" w:rsidRDefault="00320FF5" w:rsidP="00EF29CC">
            <w:pPr>
              <w:ind w:left="-108" w:right="-29"/>
              <w:rPr>
                <w:sz w:val="20"/>
                <w:szCs w:val="20"/>
                <w:lang w:val="en-US"/>
              </w:rPr>
            </w:pPr>
          </w:p>
          <w:p w14:paraId="346001E9" w14:textId="77777777" w:rsidR="00320FF5" w:rsidRPr="00161EAF" w:rsidRDefault="00320FF5" w:rsidP="00320FF5">
            <w:pPr>
              <w:pStyle w:val="Prrafodelista"/>
              <w:numPr>
                <w:ilvl w:val="0"/>
                <w:numId w:val="15"/>
              </w:numPr>
              <w:ind w:right="-29"/>
              <w:rPr>
                <w:b/>
                <w:bCs/>
                <w:sz w:val="20"/>
                <w:szCs w:val="20"/>
                <w:lang w:val="en-US"/>
              </w:rPr>
            </w:pPr>
            <w:r w:rsidRPr="00161EAF">
              <w:rPr>
                <w:b/>
                <w:bCs/>
                <w:sz w:val="20"/>
                <w:szCs w:val="20"/>
                <w:lang w:val="en-US"/>
              </w:rPr>
              <w:t>API monographs</w:t>
            </w:r>
          </w:p>
          <w:p w14:paraId="62361BDD"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1F05D70" w14:textId="77777777" w:rsidTr="00EF29CC">
              <w:tc>
                <w:tcPr>
                  <w:tcW w:w="10426" w:type="dxa"/>
                  <w:gridSpan w:val="3"/>
                  <w:shd w:val="clear" w:color="auto" w:fill="D9D9D9" w:themeFill="background1" w:themeFillShade="D9"/>
                </w:tcPr>
                <w:p w14:paraId="50D7CD6B"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sidRPr="00161EAF">
                    <w:rPr>
                      <w:b/>
                      <w:bCs/>
                      <w:sz w:val="20"/>
                      <w:szCs w:val="20"/>
                      <w:lang w:val="en-US"/>
                    </w:rPr>
                    <w:t xml:space="preserve"> USP monograph</w:t>
                  </w:r>
                  <w:r>
                    <w:rPr>
                      <w:b/>
                      <w:bCs/>
                      <w:sz w:val="20"/>
                      <w:szCs w:val="20"/>
                      <w:lang w:val="en-US"/>
                    </w:rPr>
                    <w:t xml:space="preserve"> [32]</w:t>
                  </w:r>
                </w:p>
              </w:tc>
            </w:tr>
            <w:tr w:rsidR="00320FF5" w:rsidRPr="00161EAF" w14:paraId="126281E6" w14:textId="77777777" w:rsidTr="00EF29CC">
              <w:tc>
                <w:tcPr>
                  <w:tcW w:w="10426" w:type="dxa"/>
                  <w:gridSpan w:val="3"/>
                  <w:vAlign w:val="center"/>
                </w:tcPr>
                <w:p w14:paraId="7D3D43D0" w14:textId="77777777" w:rsidR="00320FF5" w:rsidRPr="00161EAF" w:rsidRDefault="00320FF5" w:rsidP="00EF29CC">
                  <w:pPr>
                    <w:ind w:left="720" w:right="-29" w:hanging="720"/>
                    <w:rPr>
                      <w:sz w:val="20"/>
                      <w:szCs w:val="20"/>
                      <w:lang w:val="en-US"/>
                    </w:rPr>
                  </w:pPr>
                  <w:r w:rsidRPr="00161EAF">
                    <w:rPr>
                      <w:b/>
                      <w:bCs/>
                      <w:sz w:val="20"/>
                      <w:szCs w:val="20"/>
                      <w:lang w:val="en-US"/>
                    </w:rPr>
                    <w:t>Description:</w:t>
                  </w:r>
                  <w:r w:rsidRPr="00161EAF">
                    <w:rPr>
                      <w:sz w:val="20"/>
                      <w:szCs w:val="20"/>
                      <w:lang w:val="en-US"/>
                    </w:rPr>
                    <w:t xml:space="preserve"> Light yellow resinous oil that is sticky at room temperature and hardens upon refrigeration.</w:t>
                  </w:r>
                </w:p>
                <w:p w14:paraId="325F7043" w14:textId="77777777" w:rsidR="00320FF5" w:rsidRPr="00161EAF" w:rsidRDefault="00320FF5" w:rsidP="00EF29CC">
                  <w:pPr>
                    <w:ind w:left="720" w:right="-29" w:hanging="720"/>
                    <w:rPr>
                      <w:sz w:val="20"/>
                      <w:szCs w:val="20"/>
                      <w:lang w:val="en-US"/>
                    </w:rPr>
                  </w:pPr>
                  <w:r w:rsidRPr="00161EAF">
                    <w:rPr>
                      <w:b/>
                      <w:bCs/>
                      <w:sz w:val="20"/>
                      <w:szCs w:val="20"/>
                      <w:lang w:val="en-US"/>
                    </w:rPr>
                    <w:t>Solubility:</w:t>
                  </w:r>
                  <w:r w:rsidRPr="00161EAF">
                    <w:rPr>
                      <w:sz w:val="20"/>
                      <w:szCs w:val="20"/>
                      <w:lang w:val="en-US"/>
                    </w:rPr>
                    <w:t xml:space="preserve"> Insoluble water.</w:t>
                  </w:r>
                </w:p>
              </w:tc>
            </w:tr>
            <w:tr w:rsidR="00320FF5" w:rsidRPr="00161EAF" w14:paraId="67E08437" w14:textId="77777777" w:rsidTr="00EF29CC">
              <w:tc>
                <w:tcPr>
                  <w:tcW w:w="2005" w:type="dxa"/>
                  <w:shd w:val="clear" w:color="auto" w:fill="D9D9D9" w:themeFill="background1" w:themeFillShade="D9"/>
                </w:tcPr>
                <w:p w14:paraId="681E19F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65D5EDAB"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5B0B9F0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0883BEB0" w14:textId="77777777" w:rsidTr="00EF29CC">
              <w:tc>
                <w:tcPr>
                  <w:tcW w:w="2005" w:type="dxa"/>
                  <w:vAlign w:val="center"/>
                </w:tcPr>
                <w:p w14:paraId="2B3D266C"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tcPr>
                <w:p w14:paraId="63F7BB0C" w14:textId="77777777" w:rsidR="00320FF5" w:rsidRPr="00161EAF" w:rsidRDefault="00320FF5" w:rsidP="00EF29CC">
                  <w:pPr>
                    <w:ind w:right="-29"/>
                    <w:rPr>
                      <w:sz w:val="20"/>
                      <w:szCs w:val="20"/>
                      <w:lang w:val="en-US"/>
                    </w:rPr>
                  </w:pPr>
                  <w:r w:rsidRPr="00161EAF">
                    <w:rPr>
                      <w:sz w:val="20"/>
                      <w:szCs w:val="20"/>
                      <w:lang w:val="en-US"/>
                    </w:rPr>
                    <w:t>The retention time of the major peak in the chromatogram of the </w:t>
                  </w:r>
                  <w:r w:rsidRPr="00161EAF">
                    <w:rPr>
                      <w:i/>
                      <w:iCs/>
                      <w:sz w:val="20"/>
                      <w:szCs w:val="20"/>
                      <w:lang w:val="en-US"/>
                    </w:rPr>
                    <w:t>Assay preparation</w:t>
                  </w:r>
                  <w:r w:rsidRPr="00161EAF">
                    <w:rPr>
                      <w:sz w:val="20"/>
                      <w:szCs w:val="20"/>
                      <w:lang w:val="en-US"/>
                    </w:rPr>
                    <w:t> corresponds to that in the chromatogram of the </w:t>
                  </w:r>
                  <w:r w:rsidRPr="00161EAF">
                    <w:rPr>
                      <w:i/>
                      <w:iCs/>
                      <w:sz w:val="20"/>
                      <w:szCs w:val="20"/>
                      <w:lang w:val="en-US"/>
                    </w:rPr>
                    <w:t>Standard preparation,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31CFB5F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5E54BF55" w14:textId="77777777" w:rsidTr="00EF29CC">
              <w:tc>
                <w:tcPr>
                  <w:tcW w:w="2005" w:type="dxa"/>
                  <w:vAlign w:val="center"/>
                </w:tcPr>
                <w:p w14:paraId="41371B23"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7A18E634" w14:textId="77777777" w:rsidR="00320FF5" w:rsidRPr="00161EAF" w:rsidRDefault="00320FF5" w:rsidP="00EF29CC">
                  <w:pPr>
                    <w:ind w:right="-29"/>
                    <w:rPr>
                      <w:sz w:val="20"/>
                      <w:szCs w:val="20"/>
                      <w:lang w:val="en-US"/>
                    </w:rPr>
                  </w:pPr>
                  <w:r w:rsidRPr="00161EAF">
                    <w:rPr>
                      <w:sz w:val="20"/>
                      <w:szCs w:val="20"/>
                      <w:lang w:val="en-US"/>
                    </w:rPr>
                    <w:t>The color and </w:t>
                  </w:r>
                  <w:r w:rsidRPr="00161EAF">
                    <w:rPr>
                      <w:i/>
                      <w:iCs/>
                      <w:sz w:val="20"/>
                      <w:szCs w:val="20"/>
                      <w:lang w:val="en-US"/>
                    </w:rPr>
                    <w:t>R</w:t>
                  </w:r>
                  <w:r w:rsidRPr="00161EAF">
                    <w:rPr>
                      <w:lang w:val="en-US"/>
                    </w:rPr>
                    <w:t>F</w:t>
                  </w:r>
                  <w:r w:rsidRPr="00161EAF">
                    <w:rPr>
                      <w:sz w:val="20"/>
                      <w:szCs w:val="20"/>
                      <w:lang w:val="en-US"/>
                    </w:rPr>
                    <w:t> value of the spots from the </w:t>
                  </w:r>
                  <w:r w:rsidRPr="00161EAF">
                    <w:rPr>
                      <w:i/>
                      <w:iCs/>
                      <w:sz w:val="20"/>
                      <w:szCs w:val="20"/>
                      <w:lang w:val="en-US"/>
                    </w:rPr>
                    <w:t>Test solution</w:t>
                  </w:r>
                  <w:r w:rsidRPr="00161EAF">
                    <w:rPr>
                      <w:sz w:val="20"/>
                      <w:szCs w:val="20"/>
                      <w:lang w:val="en-US"/>
                    </w:rPr>
                    <w:t> correspond to those obtained from the </w:t>
                  </w:r>
                  <w:r w:rsidRPr="00161EAF">
                    <w:rPr>
                      <w:i/>
                      <w:iCs/>
                      <w:sz w:val="20"/>
                      <w:szCs w:val="20"/>
                      <w:lang w:val="en-US"/>
                    </w:rPr>
                    <w:t>Identification solution</w:t>
                  </w:r>
                  <w:r w:rsidRPr="00161EAF">
                    <w:rPr>
                      <w:sz w:val="20"/>
                      <w:szCs w:val="20"/>
                      <w:lang w:val="en-US"/>
                    </w:rPr>
                    <w:t>.</w:t>
                  </w:r>
                </w:p>
              </w:tc>
              <w:tc>
                <w:tcPr>
                  <w:tcW w:w="3177" w:type="dxa"/>
                  <w:vAlign w:val="center"/>
                </w:tcPr>
                <w:p w14:paraId="28444696"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Thin-layer Chromatography</w:t>
                  </w:r>
                </w:p>
              </w:tc>
            </w:tr>
            <w:tr w:rsidR="00320FF5" w:rsidRPr="00161EAF" w14:paraId="19C00EE1" w14:textId="77777777" w:rsidTr="00EF29CC">
              <w:tc>
                <w:tcPr>
                  <w:tcW w:w="2005" w:type="dxa"/>
                  <w:vAlign w:val="center"/>
                </w:tcPr>
                <w:p w14:paraId="743D0DB9" w14:textId="77777777" w:rsidR="00320FF5" w:rsidRPr="00161EAF" w:rsidRDefault="00320FF5" w:rsidP="00EF29CC">
                  <w:pPr>
                    <w:ind w:right="-29"/>
                    <w:rPr>
                      <w:sz w:val="20"/>
                      <w:szCs w:val="20"/>
                      <w:lang w:val="en-US"/>
                    </w:rPr>
                  </w:pPr>
                  <w:r w:rsidRPr="00161EAF">
                    <w:rPr>
                      <w:sz w:val="20"/>
                      <w:szCs w:val="20"/>
                      <w:lang w:val="en-US"/>
                    </w:rPr>
                    <w:t>Related compounds</w:t>
                  </w:r>
                </w:p>
              </w:tc>
              <w:tc>
                <w:tcPr>
                  <w:tcW w:w="5244" w:type="dxa"/>
                </w:tcPr>
                <w:p w14:paraId="654456FC" w14:textId="77777777" w:rsidR="00320FF5" w:rsidRPr="00161EAF" w:rsidRDefault="00320FF5" w:rsidP="00EF29CC">
                  <w:pPr>
                    <w:ind w:right="-29"/>
                    <w:rPr>
                      <w:sz w:val="20"/>
                      <w:szCs w:val="20"/>
                      <w:lang w:val="en-US"/>
                    </w:rPr>
                  </w:pPr>
                  <w:r w:rsidRPr="00161EAF">
                    <w:rPr>
                      <w:sz w:val="20"/>
                      <w:szCs w:val="20"/>
                      <w:lang w:val="en-US"/>
                    </w:rPr>
                    <w:t>Cannabinol: Not more than 1.5 %.</w:t>
                  </w:r>
                </w:p>
                <w:p w14:paraId="09C9E73A" w14:textId="77777777" w:rsidR="00320FF5" w:rsidRPr="00161EAF" w:rsidRDefault="00320FF5" w:rsidP="00EF29CC">
                  <w:pPr>
                    <w:ind w:right="-29"/>
                    <w:rPr>
                      <w:sz w:val="20"/>
                      <w:szCs w:val="20"/>
                      <w:lang w:val="en-US"/>
                    </w:rPr>
                  </w:pPr>
                  <w:proofErr w:type="spellStart"/>
                  <w:r w:rsidRPr="00161EAF">
                    <w:rPr>
                      <w:i/>
                      <w:iCs/>
                      <w:sz w:val="20"/>
                      <w:szCs w:val="20"/>
                      <w:lang w:val="en-US"/>
                    </w:rPr>
                    <w:t>Exo</w:t>
                  </w:r>
                  <w:proofErr w:type="spellEnd"/>
                  <w:r w:rsidRPr="00161EAF">
                    <w:rPr>
                      <w:sz w:val="20"/>
                      <w:szCs w:val="20"/>
                      <w:lang w:val="en-US"/>
                    </w:rPr>
                    <w:t>-tetrahydrocannabinol: Not more than 0.5 %.</w:t>
                  </w:r>
                </w:p>
                <w:p w14:paraId="21B86235" w14:textId="77777777" w:rsidR="00320FF5" w:rsidRPr="00161EAF" w:rsidRDefault="00320FF5" w:rsidP="00EF29CC">
                  <w:pPr>
                    <w:ind w:right="-29"/>
                    <w:rPr>
                      <w:sz w:val="20"/>
                      <w:szCs w:val="20"/>
                      <w:lang w:val="en-US"/>
                    </w:rPr>
                  </w:pPr>
                  <w:r w:rsidRPr="00161EAF">
                    <w:rPr>
                      <w:sz w:val="20"/>
                      <w:szCs w:val="20"/>
                      <w:lang w:val="en-US"/>
                    </w:rPr>
                    <w:t>Δ</w:t>
                  </w:r>
                  <w:r w:rsidRPr="00161EAF">
                    <w:rPr>
                      <w:sz w:val="20"/>
                      <w:szCs w:val="20"/>
                      <w:vertAlign w:val="superscript"/>
                      <w:lang w:val="en-US"/>
                    </w:rPr>
                    <w:t>8</w:t>
                  </w:r>
                  <w:r w:rsidRPr="00161EAF">
                    <w:rPr>
                      <w:sz w:val="20"/>
                      <w:szCs w:val="20"/>
                      <w:lang w:val="en-US"/>
                    </w:rPr>
                    <w:t>-Tetrahydrocannabinol: Not more than 2.0 %.</w:t>
                  </w:r>
                </w:p>
                <w:p w14:paraId="399C3F54" w14:textId="77777777" w:rsidR="00320FF5" w:rsidRPr="00161EAF" w:rsidRDefault="00320FF5" w:rsidP="00EF29CC">
                  <w:pPr>
                    <w:ind w:right="-29"/>
                    <w:rPr>
                      <w:sz w:val="20"/>
                      <w:szCs w:val="20"/>
                      <w:lang w:val="en-US"/>
                    </w:rPr>
                  </w:pPr>
                  <w:r w:rsidRPr="00161EAF">
                    <w:rPr>
                      <w:sz w:val="20"/>
                      <w:szCs w:val="20"/>
                      <w:lang w:val="en-US"/>
                    </w:rPr>
                    <w:t>Any other individual impurity: Not more than 1.0 %.</w:t>
                  </w:r>
                </w:p>
                <w:p w14:paraId="3A365C92" w14:textId="77777777" w:rsidR="00320FF5" w:rsidRPr="00161EAF" w:rsidRDefault="00320FF5" w:rsidP="00EF29CC">
                  <w:pPr>
                    <w:ind w:right="-29"/>
                    <w:rPr>
                      <w:sz w:val="20"/>
                      <w:szCs w:val="20"/>
                      <w:lang w:val="en-US"/>
                    </w:rPr>
                  </w:pPr>
                  <w:r w:rsidRPr="00161EAF">
                    <w:rPr>
                      <w:sz w:val="20"/>
                      <w:szCs w:val="20"/>
                      <w:lang w:val="en-US"/>
                    </w:rPr>
                    <w:t>Total impurities: Not more than 5.0 %.</w:t>
                  </w:r>
                </w:p>
              </w:tc>
              <w:tc>
                <w:tcPr>
                  <w:tcW w:w="3177" w:type="dxa"/>
                  <w:vAlign w:val="center"/>
                </w:tcPr>
                <w:p w14:paraId="528A2BD3"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4202EDE" w14:textId="77777777" w:rsidTr="00EF29CC">
              <w:tc>
                <w:tcPr>
                  <w:tcW w:w="2005" w:type="dxa"/>
                  <w:vAlign w:val="center"/>
                </w:tcPr>
                <w:p w14:paraId="78077D51"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525F7360" w14:textId="77777777" w:rsidR="00320FF5" w:rsidRPr="00161EAF" w:rsidRDefault="00320FF5" w:rsidP="00EF29CC">
                  <w:pPr>
                    <w:ind w:right="-29"/>
                    <w:rPr>
                      <w:sz w:val="20"/>
                      <w:szCs w:val="20"/>
                      <w:lang w:val="en-US"/>
                    </w:rPr>
                  </w:pPr>
                  <w:r w:rsidRPr="00161EAF">
                    <w:rPr>
                      <w:sz w:val="20"/>
                      <w:szCs w:val="20"/>
                      <w:lang w:val="en-US"/>
                    </w:rPr>
                    <w:t>Not less than 95.0 percent of 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sidRPr="00161EAF">
                    <w:rPr>
                      <w:sz w:val="20"/>
                      <w:szCs w:val="20"/>
                      <w:lang w:val="en-US"/>
                    </w:rPr>
                    <w:t>.</w:t>
                  </w:r>
                </w:p>
              </w:tc>
              <w:tc>
                <w:tcPr>
                  <w:tcW w:w="3177" w:type="dxa"/>
                  <w:vAlign w:val="center"/>
                </w:tcPr>
                <w:p w14:paraId="32DA19E5"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11B30232" w14:textId="77777777" w:rsidR="00320FF5" w:rsidRPr="00161EAF"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02BDD33" w14:textId="77777777" w:rsidTr="00EF29CC">
              <w:tc>
                <w:tcPr>
                  <w:tcW w:w="10426" w:type="dxa"/>
                  <w:gridSpan w:val="3"/>
                  <w:shd w:val="clear" w:color="auto" w:fill="D9D9D9" w:themeFill="background1" w:themeFillShade="D9"/>
                </w:tcPr>
                <w:p w14:paraId="1B680245" w14:textId="77777777" w:rsidR="00320FF5" w:rsidRPr="00161EAF" w:rsidRDefault="00320FF5" w:rsidP="00EF29CC">
                  <w:pPr>
                    <w:ind w:right="-29"/>
                    <w:jc w:val="center"/>
                    <w:rPr>
                      <w:b/>
                      <w:bCs/>
                      <w:sz w:val="20"/>
                      <w:szCs w:val="20"/>
                      <w:lang w:val="en-US"/>
                    </w:rPr>
                  </w:pPr>
                  <w:r w:rsidRPr="00161EAF">
                    <w:rPr>
                      <w:b/>
                      <w:bCs/>
                      <w:sz w:val="20"/>
                      <w:szCs w:val="20"/>
                      <w:lang w:val="en-US"/>
                    </w:rPr>
                    <w:t>Acetazolamide USP monograph</w:t>
                  </w:r>
                  <w:r>
                    <w:rPr>
                      <w:b/>
                      <w:bCs/>
                      <w:sz w:val="20"/>
                      <w:szCs w:val="20"/>
                      <w:lang w:val="en-US"/>
                    </w:rPr>
                    <w:t xml:space="preserve"> [16]</w:t>
                  </w:r>
                </w:p>
              </w:tc>
            </w:tr>
            <w:tr w:rsidR="00320FF5" w:rsidRPr="00161EAF" w14:paraId="4838CB69" w14:textId="77777777" w:rsidTr="00EF29CC">
              <w:tc>
                <w:tcPr>
                  <w:tcW w:w="10426" w:type="dxa"/>
                  <w:gridSpan w:val="3"/>
                  <w:vAlign w:val="center"/>
                </w:tcPr>
                <w:p w14:paraId="2DD18F9F" w14:textId="77777777" w:rsidR="00320FF5" w:rsidRPr="00161EAF" w:rsidRDefault="00320FF5" w:rsidP="00EF29CC">
                  <w:pPr>
                    <w:ind w:left="720" w:right="-29" w:hanging="720"/>
                    <w:rPr>
                      <w:sz w:val="20"/>
                      <w:szCs w:val="20"/>
                      <w:lang w:val="en-US"/>
                    </w:rPr>
                  </w:pPr>
                  <w:r w:rsidRPr="00161EAF">
                    <w:rPr>
                      <w:b/>
                      <w:bCs/>
                      <w:sz w:val="20"/>
                      <w:szCs w:val="20"/>
                      <w:lang w:val="en-US"/>
                    </w:rPr>
                    <w:t xml:space="preserve">Description: </w:t>
                  </w:r>
                  <w:r w:rsidRPr="00161EAF">
                    <w:rPr>
                      <w:sz w:val="20"/>
                      <w:szCs w:val="20"/>
                      <w:lang w:val="en-US"/>
                    </w:rPr>
                    <w:t xml:space="preserve">White to faintly yellowish-white, crystalline, odorless powder. </w:t>
                  </w:r>
                </w:p>
                <w:p w14:paraId="5B7F930A" w14:textId="77777777" w:rsidR="00320FF5" w:rsidRPr="00161EAF" w:rsidRDefault="00320FF5" w:rsidP="00EF29CC">
                  <w:pPr>
                    <w:ind w:left="720" w:right="-29" w:hanging="720"/>
                    <w:rPr>
                      <w:b/>
                      <w:bCs/>
                      <w:sz w:val="20"/>
                      <w:szCs w:val="20"/>
                      <w:lang w:val="en-US"/>
                    </w:rPr>
                  </w:pPr>
                  <w:r w:rsidRPr="00161EAF">
                    <w:rPr>
                      <w:b/>
                      <w:bCs/>
                      <w:sz w:val="20"/>
                      <w:szCs w:val="20"/>
                      <w:lang w:val="en-US"/>
                    </w:rPr>
                    <w:t xml:space="preserve">Solubility: </w:t>
                  </w:r>
                  <w:r w:rsidRPr="00161EAF">
                    <w:rPr>
                      <w:sz w:val="20"/>
                      <w:szCs w:val="20"/>
                      <w:lang w:val="en-US"/>
                    </w:rPr>
                    <w:t>Sparingly soluble in practically boiling water; slightly soluble in alcohol; very slightly soluble in water.</w:t>
                  </w:r>
                </w:p>
              </w:tc>
            </w:tr>
            <w:tr w:rsidR="00320FF5" w:rsidRPr="00161EAF" w14:paraId="5774F45B" w14:textId="77777777" w:rsidTr="00EF29CC">
              <w:tc>
                <w:tcPr>
                  <w:tcW w:w="2005" w:type="dxa"/>
                  <w:shd w:val="clear" w:color="auto" w:fill="D9D9D9" w:themeFill="background1" w:themeFillShade="D9"/>
                </w:tcPr>
                <w:p w14:paraId="45E060B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EC64EA"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46E8439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22DF728" w14:textId="77777777" w:rsidTr="00EF29CC">
              <w:tc>
                <w:tcPr>
                  <w:tcW w:w="2005" w:type="dxa"/>
                  <w:vAlign w:val="center"/>
                </w:tcPr>
                <w:p w14:paraId="3CCF295D"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7272BA9C" w14:textId="77777777" w:rsidR="00320FF5" w:rsidRPr="000E1144"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66DED1B"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A41DD53" w14:textId="77777777" w:rsidTr="00EF29CC">
              <w:tc>
                <w:tcPr>
                  <w:tcW w:w="2005" w:type="dxa"/>
                  <w:vAlign w:val="center"/>
                </w:tcPr>
                <w:p w14:paraId="286F84E9"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94AAE24"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21079091"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940370A" w14:textId="77777777" w:rsidTr="00EF29CC">
              <w:tc>
                <w:tcPr>
                  <w:tcW w:w="2005" w:type="dxa"/>
                  <w:vAlign w:val="center"/>
                </w:tcPr>
                <w:p w14:paraId="0BD47A0B"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15AB702" w14:textId="77777777" w:rsidR="00320FF5" w:rsidRPr="00161EAF" w:rsidRDefault="00320FF5" w:rsidP="00EF29CC">
                  <w:pPr>
                    <w:ind w:right="-29"/>
                    <w:rPr>
                      <w:sz w:val="20"/>
                      <w:szCs w:val="20"/>
                      <w:lang w:val="en-US"/>
                    </w:rPr>
                  </w:pPr>
                  <w:r w:rsidRPr="00161EAF">
                    <w:rPr>
                      <w:sz w:val="20"/>
                      <w:szCs w:val="20"/>
                      <w:lang w:val="en-US"/>
                    </w:rPr>
                    <w:t>98.0 % – 102.0 % on the anhydrous basis</w:t>
                  </w:r>
                </w:p>
              </w:tc>
              <w:tc>
                <w:tcPr>
                  <w:tcW w:w="3177" w:type="dxa"/>
                  <w:vAlign w:val="center"/>
                </w:tcPr>
                <w:p w14:paraId="402BBE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558AED8" w14:textId="77777777" w:rsidTr="00EF29CC">
              <w:tc>
                <w:tcPr>
                  <w:tcW w:w="2005" w:type="dxa"/>
                  <w:vAlign w:val="center"/>
                </w:tcPr>
                <w:p w14:paraId="5F8C5C30" w14:textId="77777777" w:rsidR="00320FF5" w:rsidRPr="00161EAF" w:rsidRDefault="00320FF5" w:rsidP="00EF29CC">
                  <w:pPr>
                    <w:ind w:right="-29"/>
                    <w:rPr>
                      <w:sz w:val="20"/>
                      <w:szCs w:val="20"/>
                      <w:lang w:val="en-US"/>
                    </w:rPr>
                  </w:pPr>
                  <w:r w:rsidRPr="00161EAF">
                    <w:rPr>
                      <w:sz w:val="20"/>
                      <w:szCs w:val="20"/>
                      <w:lang w:val="en-US"/>
                    </w:rPr>
                    <w:t xml:space="preserve">Residue on ignition </w:t>
                  </w:r>
                  <w:r w:rsidRPr="00161EAF">
                    <w:rPr>
                      <w:rFonts w:ascii="Cambria Math" w:hAnsi="Cambria Math" w:cs="Cambria Math"/>
                      <w:sz w:val="20"/>
                      <w:szCs w:val="20"/>
                      <w:lang w:val="en-US"/>
                    </w:rPr>
                    <w:t>〈281〉</w:t>
                  </w:r>
                </w:p>
              </w:tc>
              <w:tc>
                <w:tcPr>
                  <w:tcW w:w="5244" w:type="dxa"/>
                  <w:vAlign w:val="center"/>
                </w:tcPr>
                <w:p w14:paraId="26B98A4F" w14:textId="77777777" w:rsidR="00320FF5" w:rsidRPr="00161EAF" w:rsidRDefault="00320FF5" w:rsidP="00EF29CC">
                  <w:pPr>
                    <w:ind w:right="-29"/>
                    <w:rPr>
                      <w:sz w:val="20"/>
                      <w:szCs w:val="20"/>
                      <w:lang w:val="en-US"/>
                    </w:rPr>
                  </w:pPr>
                  <w:r w:rsidRPr="00161EAF">
                    <w:rPr>
                      <w:sz w:val="20"/>
                      <w:szCs w:val="20"/>
                      <w:lang w:val="en-US"/>
                    </w:rPr>
                    <w:t>Not more than 0.1 %</w:t>
                  </w:r>
                </w:p>
              </w:tc>
              <w:tc>
                <w:tcPr>
                  <w:tcW w:w="3177" w:type="dxa"/>
                  <w:vAlign w:val="center"/>
                </w:tcPr>
                <w:p w14:paraId="36FBCF9E"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BDFD932" w14:textId="77777777" w:rsidTr="00EF29CC">
              <w:tc>
                <w:tcPr>
                  <w:tcW w:w="2005" w:type="dxa"/>
                  <w:vAlign w:val="center"/>
                </w:tcPr>
                <w:p w14:paraId="66389B7D" w14:textId="77777777" w:rsidR="00320FF5" w:rsidRPr="00161EAF" w:rsidRDefault="00320FF5" w:rsidP="00EF29CC">
                  <w:pPr>
                    <w:ind w:right="-29"/>
                    <w:rPr>
                      <w:sz w:val="20"/>
                      <w:szCs w:val="20"/>
                      <w:lang w:val="en-US"/>
                    </w:rPr>
                  </w:pPr>
                  <w:r w:rsidRPr="00161EAF">
                    <w:rPr>
                      <w:sz w:val="20"/>
                      <w:szCs w:val="20"/>
                      <w:lang w:val="en-US"/>
                    </w:rPr>
                    <w:t>Chloride</w:t>
                  </w:r>
                </w:p>
              </w:tc>
              <w:tc>
                <w:tcPr>
                  <w:tcW w:w="5244" w:type="dxa"/>
                </w:tcPr>
                <w:p w14:paraId="24B1F08A" w14:textId="77777777" w:rsidR="00320FF5" w:rsidRPr="00161EAF" w:rsidRDefault="00320FF5" w:rsidP="00EF29CC">
                  <w:pPr>
                    <w:ind w:right="-29"/>
                    <w:rPr>
                      <w:sz w:val="20"/>
                      <w:szCs w:val="20"/>
                      <w:lang w:val="en-US"/>
                    </w:rPr>
                  </w:pPr>
                  <w:r w:rsidRPr="00161EAF">
                    <w:rPr>
                      <w:sz w:val="20"/>
                      <w:szCs w:val="20"/>
                      <w:lang w:val="en-US"/>
                    </w:rPr>
                    <w:t>A 25-mL portion of the filtrate shows no more chloride than corresponds to 0.10 mL of 0.020 N hydrochloric acid 0.014%).</w:t>
                  </w:r>
                </w:p>
              </w:tc>
              <w:tc>
                <w:tcPr>
                  <w:tcW w:w="3177" w:type="dxa"/>
                  <w:vAlign w:val="center"/>
                </w:tcPr>
                <w:p w14:paraId="5965A7B6"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39316BD4" w14:textId="77777777" w:rsidTr="00EF29CC">
              <w:tc>
                <w:tcPr>
                  <w:tcW w:w="2005" w:type="dxa"/>
                  <w:vAlign w:val="center"/>
                </w:tcPr>
                <w:p w14:paraId="459C121B" w14:textId="77777777" w:rsidR="00320FF5" w:rsidRPr="00161EAF" w:rsidRDefault="00320FF5" w:rsidP="00EF29CC">
                  <w:pPr>
                    <w:ind w:right="-29"/>
                    <w:rPr>
                      <w:sz w:val="20"/>
                      <w:szCs w:val="20"/>
                      <w:lang w:val="en-US"/>
                    </w:rPr>
                  </w:pPr>
                  <w:r w:rsidRPr="00161EAF">
                    <w:rPr>
                      <w:sz w:val="20"/>
                      <w:szCs w:val="20"/>
                      <w:lang w:val="en-US"/>
                    </w:rPr>
                    <w:t>Sulfate</w:t>
                  </w:r>
                </w:p>
              </w:tc>
              <w:tc>
                <w:tcPr>
                  <w:tcW w:w="5244" w:type="dxa"/>
                </w:tcPr>
                <w:p w14:paraId="0F6F5F77" w14:textId="77777777" w:rsidR="00320FF5" w:rsidRPr="00161EAF" w:rsidRDefault="00320FF5" w:rsidP="00EF29CC">
                  <w:pPr>
                    <w:ind w:right="-29"/>
                    <w:rPr>
                      <w:sz w:val="20"/>
                      <w:szCs w:val="20"/>
                      <w:lang w:val="en-US"/>
                    </w:rPr>
                  </w:pPr>
                  <w:r w:rsidRPr="00161EAF">
                    <w:rPr>
                      <w:sz w:val="20"/>
                      <w:szCs w:val="20"/>
                      <w:lang w:val="en-US"/>
                    </w:rPr>
                    <w:t>It shows no more sulfate than corresponds to 0.20 mL of 0.020 N sulfuric acid (0.04%).</w:t>
                  </w:r>
                </w:p>
              </w:tc>
              <w:tc>
                <w:tcPr>
                  <w:tcW w:w="3177" w:type="dxa"/>
                  <w:vAlign w:val="center"/>
                </w:tcPr>
                <w:p w14:paraId="3EAE20E9" w14:textId="77777777" w:rsidR="00320FF5" w:rsidRPr="00161EAF" w:rsidRDefault="00320FF5" w:rsidP="00EF29CC">
                  <w:pPr>
                    <w:ind w:right="-29"/>
                    <w:rPr>
                      <w:sz w:val="20"/>
                      <w:szCs w:val="20"/>
                      <w:lang w:val="en-US"/>
                    </w:rPr>
                  </w:pPr>
                  <w:r w:rsidRPr="00161EAF">
                    <w:rPr>
                      <w:sz w:val="20"/>
                      <w:szCs w:val="20"/>
                      <w:lang w:val="en-US"/>
                    </w:rPr>
                    <w:t>Chloride and Sulfate </w:t>
                  </w:r>
                  <w:r w:rsidRPr="00161EAF">
                    <w:rPr>
                      <w:rFonts w:ascii="Cambria Math" w:hAnsi="Cambria Math" w:cs="Cambria Math"/>
                      <w:sz w:val="20"/>
                      <w:szCs w:val="20"/>
                      <w:lang w:val="en-US"/>
                    </w:rPr>
                    <w:t>〈</w:t>
                  </w:r>
                  <w:r w:rsidRPr="00161EAF">
                    <w:rPr>
                      <w:sz w:val="20"/>
                      <w:szCs w:val="20"/>
                      <w:lang w:val="en-US"/>
                    </w:rPr>
                    <w:t>221</w:t>
                  </w:r>
                  <w:r w:rsidRPr="00161EAF">
                    <w:rPr>
                      <w:rFonts w:ascii="Cambria Math" w:hAnsi="Cambria Math" w:cs="Cambria Math"/>
                      <w:sz w:val="20"/>
                      <w:szCs w:val="20"/>
                      <w:lang w:val="en-US"/>
                    </w:rPr>
                    <w:t>〉</w:t>
                  </w:r>
                </w:p>
              </w:tc>
            </w:tr>
            <w:tr w:rsidR="00320FF5" w:rsidRPr="00161EAF" w14:paraId="2827AE18" w14:textId="77777777" w:rsidTr="00EF29CC">
              <w:tc>
                <w:tcPr>
                  <w:tcW w:w="2005" w:type="dxa"/>
                  <w:vAlign w:val="center"/>
                </w:tcPr>
                <w:p w14:paraId="38026E0C" w14:textId="77777777" w:rsidR="00320FF5" w:rsidRPr="00161EAF" w:rsidRDefault="00320FF5" w:rsidP="00EF29CC">
                  <w:pPr>
                    <w:ind w:right="-29"/>
                    <w:rPr>
                      <w:sz w:val="20"/>
                      <w:szCs w:val="20"/>
                      <w:lang w:val="en-US"/>
                    </w:rPr>
                  </w:pPr>
                  <w:r w:rsidRPr="00161EAF">
                    <w:rPr>
                      <w:sz w:val="20"/>
                      <w:szCs w:val="20"/>
                      <w:lang w:val="en-US"/>
                    </w:rPr>
                    <w:t>Selenium </w:t>
                  </w:r>
                  <w:r w:rsidRPr="00161EAF">
                    <w:rPr>
                      <w:rFonts w:ascii="Cambria Math" w:hAnsi="Cambria Math" w:cs="Cambria Math"/>
                      <w:sz w:val="20"/>
                      <w:szCs w:val="20"/>
                      <w:lang w:val="en-US"/>
                    </w:rPr>
                    <w:t>〈</w:t>
                  </w:r>
                  <w:r w:rsidRPr="00161EAF">
                    <w:rPr>
                      <w:sz w:val="20"/>
                      <w:szCs w:val="20"/>
                      <w:lang w:val="en-US"/>
                    </w:rPr>
                    <w:t>291</w:t>
                  </w:r>
                  <w:r w:rsidRPr="00161EAF">
                    <w:rPr>
                      <w:rFonts w:ascii="Cambria Math" w:hAnsi="Cambria Math" w:cs="Cambria Math"/>
                      <w:sz w:val="20"/>
                      <w:szCs w:val="20"/>
                      <w:lang w:val="en-US"/>
                    </w:rPr>
                    <w:t>〉</w:t>
                  </w:r>
                </w:p>
              </w:tc>
              <w:tc>
                <w:tcPr>
                  <w:tcW w:w="5244" w:type="dxa"/>
                </w:tcPr>
                <w:p w14:paraId="50448784" w14:textId="77777777" w:rsidR="00320FF5" w:rsidRPr="00161EAF" w:rsidRDefault="00320FF5" w:rsidP="00EF29CC">
                  <w:pPr>
                    <w:ind w:right="-29"/>
                    <w:rPr>
                      <w:sz w:val="20"/>
                      <w:szCs w:val="20"/>
                      <w:lang w:val="en-US"/>
                    </w:rPr>
                  </w:pPr>
                  <w:r w:rsidRPr="00161EAF">
                    <w:rPr>
                      <w:sz w:val="20"/>
                      <w:szCs w:val="20"/>
                      <w:lang w:val="en-US"/>
                    </w:rPr>
                    <w:t>Not more than 30 rpm.</w:t>
                  </w:r>
                </w:p>
              </w:tc>
              <w:tc>
                <w:tcPr>
                  <w:tcW w:w="3177" w:type="dxa"/>
                  <w:vAlign w:val="center"/>
                </w:tcPr>
                <w:p w14:paraId="700FC5E4" w14:textId="77777777" w:rsidR="00320FF5" w:rsidRPr="00161EAF" w:rsidRDefault="00320FF5" w:rsidP="00EF29CC">
                  <w:pPr>
                    <w:ind w:right="-29"/>
                    <w:rPr>
                      <w:sz w:val="20"/>
                      <w:szCs w:val="20"/>
                      <w:lang w:val="en-US"/>
                    </w:rPr>
                  </w:pPr>
                  <w:r w:rsidRPr="00161EAF">
                    <w:rPr>
                      <w:sz w:val="20"/>
                      <w:szCs w:val="20"/>
                      <w:lang w:val="en-US"/>
                    </w:rPr>
                    <w:t>None</w:t>
                  </w:r>
                </w:p>
              </w:tc>
            </w:tr>
          </w:tbl>
          <w:p w14:paraId="154EA8B6" w14:textId="77777777" w:rsidR="00320FF5" w:rsidRDefault="00320FF5" w:rsidP="00EF29CC"/>
          <w:p w14:paraId="05AB075E" w14:textId="77777777" w:rsidR="00320FF5" w:rsidRDefault="00320FF5" w:rsidP="00EF29CC"/>
          <w:p w14:paraId="0D464BF0" w14:textId="77777777" w:rsidR="00320FF5" w:rsidRDefault="00320FF5" w:rsidP="00EF29CC"/>
          <w:tbl>
            <w:tblPr>
              <w:tblStyle w:val="Tablaconcuadrcula"/>
              <w:tblW w:w="0" w:type="auto"/>
              <w:tblLook w:val="04A0" w:firstRow="1" w:lastRow="0" w:firstColumn="1" w:lastColumn="0" w:noHBand="0" w:noVBand="1"/>
            </w:tblPr>
            <w:tblGrid>
              <w:gridCol w:w="2005"/>
              <w:gridCol w:w="5244"/>
              <w:gridCol w:w="3177"/>
            </w:tblGrid>
            <w:tr w:rsidR="00320FF5" w:rsidRPr="00161EAF" w14:paraId="25EA2E85" w14:textId="77777777" w:rsidTr="00EF29CC">
              <w:tc>
                <w:tcPr>
                  <w:tcW w:w="2005" w:type="dxa"/>
                  <w:shd w:val="clear" w:color="auto" w:fill="BFBFBF" w:themeFill="background1" w:themeFillShade="BF"/>
                  <w:vAlign w:val="center"/>
                </w:tcPr>
                <w:p w14:paraId="5CDBDECC"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vAlign w:val="center"/>
                </w:tcPr>
                <w:p w14:paraId="79FF232E" w14:textId="77777777" w:rsidR="00320FF5" w:rsidRPr="00161EAF"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vAlign w:val="center"/>
                </w:tcPr>
                <w:p w14:paraId="4BF58B34" w14:textId="77777777" w:rsidR="00320FF5" w:rsidRPr="00161EAF" w:rsidRDefault="00320FF5" w:rsidP="00EF29CC">
                  <w:pPr>
                    <w:ind w:right="-29"/>
                    <w:jc w:val="center"/>
                    <w:rPr>
                      <w:sz w:val="20"/>
                      <w:szCs w:val="20"/>
                      <w:lang w:val="en-US"/>
                    </w:rPr>
                  </w:pPr>
                  <w:r w:rsidRPr="00161EAF">
                    <w:rPr>
                      <w:b/>
                      <w:bCs/>
                      <w:sz w:val="20"/>
                      <w:szCs w:val="20"/>
                      <w:lang w:val="en-US"/>
                    </w:rPr>
                    <w:t>Observations</w:t>
                  </w:r>
                </w:p>
              </w:tc>
            </w:tr>
            <w:tr w:rsidR="00320FF5" w:rsidRPr="00161EAF" w14:paraId="4F64EC10" w14:textId="77777777" w:rsidTr="00EF29CC">
              <w:tc>
                <w:tcPr>
                  <w:tcW w:w="2005" w:type="dxa"/>
                  <w:vAlign w:val="center"/>
                </w:tcPr>
                <w:p w14:paraId="24077BFC" w14:textId="77777777" w:rsidR="00320FF5" w:rsidRPr="00161EAF" w:rsidRDefault="00320FF5" w:rsidP="00EF29CC">
                  <w:pPr>
                    <w:ind w:right="-29"/>
                    <w:rPr>
                      <w:sz w:val="20"/>
                      <w:szCs w:val="20"/>
                      <w:lang w:val="en-US"/>
                    </w:rPr>
                  </w:pPr>
                  <w:r w:rsidRPr="00161EAF">
                    <w:rPr>
                      <w:sz w:val="20"/>
                      <w:szCs w:val="20"/>
                      <w:lang w:val="en-US"/>
                    </w:rPr>
                    <w:t>Organic impurities</w:t>
                  </w:r>
                </w:p>
              </w:tc>
              <w:tc>
                <w:tcPr>
                  <w:tcW w:w="5244" w:type="dxa"/>
                </w:tcPr>
                <w:p w14:paraId="4E2C39F4" w14:textId="77777777" w:rsidR="00320FF5" w:rsidRPr="00161EAF" w:rsidRDefault="00320FF5" w:rsidP="00EF29CC">
                  <w:pPr>
                    <w:ind w:right="-29"/>
                    <w:rPr>
                      <w:sz w:val="20"/>
                      <w:szCs w:val="20"/>
                      <w:lang w:val="en-US"/>
                    </w:rPr>
                  </w:pPr>
                  <w:proofErr w:type="spellStart"/>
                  <w:r w:rsidRPr="00161EAF">
                    <w:rPr>
                      <w:sz w:val="20"/>
                      <w:szCs w:val="20"/>
                      <w:lang w:val="en-US"/>
                    </w:rPr>
                    <w:t>Desacetyl</w:t>
                  </w:r>
                  <w:proofErr w:type="spellEnd"/>
                  <w:r w:rsidRPr="00161EAF">
                    <w:rPr>
                      <w:sz w:val="20"/>
                      <w:szCs w:val="20"/>
                      <w:lang w:val="en-US"/>
                    </w:rPr>
                    <w:t xml:space="preserve"> acetazolamide: Not more than 0.3 %.</w:t>
                  </w:r>
                </w:p>
                <w:p w14:paraId="11B82374" w14:textId="77777777" w:rsidR="00320FF5" w:rsidRPr="00161EAF" w:rsidRDefault="00320FF5" w:rsidP="00EF29CC">
                  <w:pPr>
                    <w:ind w:right="-29"/>
                    <w:rPr>
                      <w:sz w:val="20"/>
                      <w:szCs w:val="20"/>
                      <w:lang w:val="en-US"/>
                    </w:rPr>
                  </w:pPr>
                  <w:r w:rsidRPr="00161EAF">
                    <w:rPr>
                      <w:sz w:val="20"/>
                      <w:szCs w:val="20"/>
                      <w:lang w:val="en-US"/>
                    </w:rPr>
                    <w:t>Acetazolamide acid analog: Not more than 0.5 %.</w:t>
                  </w:r>
                </w:p>
                <w:p w14:paraId="6034DC80" w14:textId="77777777" w:rsidR="00320FF5" w:rsidRPr="00161EAF" w:rsidRDefault="00320FF5" w:rsidP="00EF29CC">
                  <w:pPr>
                    <w:ind w:right="-29"/>
                    <w:rPr>
                      <w:sz w:val="20"/>
                      <w:szCs w:val="20"/>
                      <w:lang w:val="en-US"/>
                    </w:rPr>
                  </w:pPr>
                  <w:proofErr w:type="spellStart"/>
                  <w:r w:rsidRPr="00161EAF">
                    <w:rPr>
                      <w:sz w:val="20"/>
                      <w:szCs w:val="20"/>
                      <w:lang w:val="en-US"/>
                    </w:rPr>
                    <w:t>Acetamidothiadiazole</w:t>
                  </w:r>
                  <w:proofErr w:type="spellEnd"/>
                  <w:r w:rsidRPr="00161EAF">
                    <w:rPr>
                      <w:sz w:val="20"/>
                      <w:szCs w:val="20"/>
                      <w:lang w:val="en-US"/>
                    </w:rPr>
                    <w:t>: Not more than 0.5 %.</w:t>
                  </w:r>
                </w:p>
                <w:p w14:paraId="66FBFFA7" w14:textId="77777777" w:rsidR="00320FF5" w:rsidRPr="00161EAF" w:rsidRDefault="00320FF5" w:rsidP="00EF29CC">
                  <w:pPr>
                    <w:ind w:right="-29"/>
                    <w:rPr>
                      <w:sz w:val="20"/>
                      <w:szCs w:val="20"/>
                      <w:lang w:val="en-US"/>
                    </w:rPr>
                  </w:pPr>
                  <w:proofErr w:type="spellStart"/>
                  <w:r w:rsidRPr="00161EAF">
                    <w:rPr>
                      <w:sz w:val="20"/>
                      <w:szCs w:val="20"/>
                      <w:lang w:val="en-US"/>
                    </w:rPr>
                    <w:t>Mercaptothiadiazole</w:t>
                  </w:r>
                  <w:proofErr w:type="spellEnd"/>
                  <w:r w:rsidRPr="00161EAF">
                    <w:rPr>
                      <w:sz w:val="20"/>
                      <w:szCs w:val="20"/>
                      <w:lang w:val="en-US"/>
                    </w:rPr>
                    <w:t xml:space="preserve"> analog: Not more than 0.5 %.</w:t>
                  </w:r>
                </w:p>
                <w:p w14:paraId="6C8B8BBF" w14:textId="77777777" w:rsidR="00320FF5" w:rsidRPr="00161EAF" w:rsidRDefault="00320FF5" w:rsidP="00EF29CC">
                  <w:pPr>
                    <w:ind w:right="-29"/>
                    <w:rPr>
                      <w:sz w:val="20"/>
                      <w:szCs w:val="20"/>
                      <w:lang w:val="en-US"/>
                    </w:rPr>
                  </w:pPr>
                  <w:proofErr w:type="spellStart"/>
                  <w:r w:rsidRPr="00161EAF">
                    <w:rPr>
                      <w:sz w:val="20"/>
                      <w:szCs w:val="20"/>
                      <w:lang w:val="en-US"/>
                    </w:rPr>
                    <w:t>Chlorothiadiazole</w:t>
                  </w:r>
                  <w:proofErr w:type="spellEnd"/>
                  <w:r w:rsidRPr="00161EAF">
                    <w:rPr>
                      <w:sz w:val="20"/>
                      <w:szCs w:val="20"/>
                      <w:lang w:val="en-US"/>
                    </w:rPr>
                    <w:t xml:space="preserve"> analog: Not more than 0.5 %.</w:t>
                  </w:r>
                </w:p>
                <w:p w14:paraId="407D15AC" w14:textId="77777777" w:rsidR="00320FF5" w:rsidRPr="00161EAF" w:rsidRDefault="00320FF5" w:rsidP="00EF29CC">
                  <w:pPr>
                    <w:ind w:right="-29"/>
                    <w:rPr>
                      <w:sz w:val="20"/>
                      <w:szCs w:val="20"/>
                      <w:lang w:val="en-US"/>
                    </w:rPr>
                  </w:pPr>
                  <w:r w:rsidRPr="00161EAF">
                    <w:rPr>
                      <w:sz w:val="20"/>
                      <w:szCs w:val="20"/>
                      <w:lang w:val="en-US"/>
                    </w:rPr>
                    <w:t>Acetazolamide dimer: Not more than 0.5 %.</w:t>
                  </w:r>
                </w:p>
                <w:p w14:paraId="19B547EB" w14:textId="77777777" w:rsidR="00320FF5" w:rsidRPr="00161EAF" w:rsidRDefault="00320FF5" w:rsidP="00EF29CC">
                  <w:pPr>
                    <w:ind w:right="-29"/>
                    <w:rPr>
                      <w:sz w:val="20"/>
                      <w:szCs w:val="20"/>
                      <w:lang w:val="en-US"/>
                    </w:rPr>
                  </w:pPr>
                  <w:r w:rsidRPr="00161EAF">
                    <w:rPr>
                      <w:sz w:val="20"/>
                      <w:szCs w:val="20"/>
                      <w:lang w:val="en-US"/>
                    </w:rPr>
                    <w:t>Any unspecified impurity: Not more than 0.1 %.</w:t>
                  </w:r>
                </w:p>
                <w:p w14:paraId="5A94D371" w14:textId="77777777" w:rsidR="00320FF5" w:rsidRPr="00161EAF" w:rsidRDefault="00320FF5" w:rsidP="00EF29CC">
                  <w:pPr>
                    <w:ind w:right="-29"/>
                    <w:rPr>
                      <w:sz w:val="20"/>
                      <w:szCs w:val="20"/>
                      <w:lang w:val="en-US"/>
                    </w:rPr>
                  </w:pPr>
                  <w:r w:rsidRPr="00161EAF">
                    <w:rPr>
                      <w:sz w:val="20"/>
                      <w:szCs w:val="20"/>
                      <w:lang w:val="en-US"/>
                    </w:rPr>
                    <w:t>Total impurities: Not more than 1.0 %.</w:t>
                  </w:r>
                </w:p>
              </w:tc>
              <w:tc>
                <w:tcPr>
                  <w:tcW w:w="3177" w:type="dxa"/>
                  <w:vAlign w:val="center"/>
                </w:tcPr>
                <w:p w14:paraId="1A80846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bl>
          <w:p w14:paraId="6DC110EE"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6DAE718" w14:textId="77777777" w:rsidTr="00EF29CC">
              <w:tc>
                <w:tcPr>
                  <w:tcW w:w="10426" w:type="dxa"/>
                  <w:gridSpan w:val="3"/>
                  <w:shd w:val="clear" w:color="auto" w:fill="D9D9D9" w:themeFill="background1" w:themeFillShade="D9"/>
                </w:tcPr>
                <w:p w14:paraId="22B3629D" w14:textId="77777777" w:rsidR="00320FF5" w:rsidRPr="00FD16E7" w:rsidRDefault="00320FF5" w:rsidP="00EF29CC">
                  <w:pPr>
                    <w:ind w:right="-29"/>
                    <w:jc w:val="center"/>
                    <w:rPr>
                      <w:b/>
                      <w:bCs/>
                      <w:sz w:val="20"/>
                      <w:szCs w:val="20"/>
                    </w:rPr>
                  </w:pPr>
                  <w:r w:rsidRPr="00FD16E7">
                    <w:rPr>
                      <w:b/>
                      <w:bCs/>
                      <w:sz w:val="20"/>
                      <w:szCs w:val="20"/>
                    </w:rPr>
                    <w:t>Acetazolamide BP monograph /</w:t>
                  </w:r>
                  <w:r>
                    <w:rPr>
                      <w:b/>
                      <w:bCs/>
                      <w:sz w:val="20"/>
                      <w:szCs w:val="20"/>
                    </w:rPr>
                    <w:t xml:space="preserve"> </w:t>
                  </w:r>
                  <w:r w:rsidRPr="00FD16E7">
                    <w:rPr>
                      <w:b/>
                      <w:bCs/>
                      <w:sz w:val="20"/>
                      <w:szCs w:val="20"/>
                    </w:rPr>
                    <w:t>Ph. Eur. monograph 0454</w:t>
                  </w:r>
                  <w:r>
                    <w:rPr>
                      <w:b/>
                      <w:bCs/>
                      <w:sz w:val="20"/>
                      <w:szCs w:val="20"/>
                    </w:rPr>
                    <w:t xml:space="preserve"> [33, 34]</w:t>
                  </w:r>
                </w:p>
              </w:tc>
            </w:tr>
            <w:tr w:rsidR="00320FF5" w:rsidRPr="00161EAF" w14:paraId="1A2D2629" w14:textId="77777777" w:rsidTr="00EF29CC">
              <w:tc>
                <w:tcPr>
                  <w:tcW w:w="2005" w:type="dxa"/>
                  <w:shd w:val="clear" w:color="auto" w:fill="D9D9D9" w:themeFill="background1" w:themeFillShade="D9"/>
                </w:tcPr>
                <w:p w14:paraId="26E05731" w14:textId="77777777" w:rsidR="00320FF5" w:rsidRPr="00FD16E7" w:rsidRDefault="00320FF5" w:rsidP="00EF29CC">
                  <w:pPr>
                    <w:ind w:right="-29"/>
                    <w:jc w:val="center"/>
                    <w:rPr>
                      <w:b/>
                      <w:bCs/>
                      <w:sz w:val="20"/>
                      <w:szCs w:val="20"/>
                    </w:rPr>
                  </w:pPr>
                  <w:r w:rsidRPr="00FD16E7">
                    <w:rPr>
                      <w:b/>
                      <w:bCs/>
                      <w:sz w:val="20"/>
                      <w:szCs w:val="20"/>
                    </w:rPr>
                    <w:t>Test</w:t>
                  </w:r>
                </w:p>
              </w:tc>
              <w:tc>
                <w:tcPr>
                  <w:tcW w:w="5244" w:type="dxa"/>
                  <w:shd w:val="clear" w:color="auto" w:fill="D9D9D9" w:themeFill="background1" w:themeFillShade="D9"/>
                </w:tcPr>
                <w:p w14:paraId="077DB39E" w14:textId="77777777" w:rsidR="00320FF5" w:rsidRPr="00FD16E7" w:rsidRDefault="00320FF5" w:rsidP="00EF29CC">
                  <w:pPr>
                    <w:ind w:right="-29"/>
                    <w:jc w:val="center"/>
                    <w:rPr>
                      <w:b/>
                      <w:bCs/>
                      <w:sz w:val="20"/>
                      <w:szCs w:val="20"/>
                    </w:rPr>
                  </w:pPr>
                  <w:r w:rsidRPr="00FD16E7">
                    <w:rPr>
                      <w:b/>
                      <w:bCs/>
                      <w:sz w:val="20"/>
                      <w:szCs w:val="20"/>
                    </w:rPr>
                    <w:t>Acceptance criteria</w:t>
                  </w:r>
                </w:p>
              </w:tc>
              <w:tc>
                <w:tcPr>
                  <w:tcW w:w="3177" w:type="dxa"/>
                  <w:shd w:val="clear" w:color="auto" w:fill="D9D9D9" w:themeFill="background1" w:themeFillShade="D9"/>
                </w:tcPr>
                <w:p w14:paraId="7C606C71" w14:textId="77777777" w:rsidR="00320FF5" w:rsidRPr="00FD16E7" w:rsidRDefault="00320FF5" w:rsidP="00EF29CC">
                  <w:pPr>
                    <w:ind w:right="-29"/>
                    <w:jc w:val="center"/>
                    <w:rPr>
                      <w:b/>
                      <w:bCs/>
                      <w:sz w:val="20"/>
                      <w:szCs w:val="20"/>
                    </w:rPr>
                  </w:pPr>
                  <w:r w:rsidRPr="00FD16E7">
                    <w:rPr>
                      <w:b/>
                      <w:bCs/>
                      <w:sz w:val="20"/>
                      <w:szCs w:val="20"/>
                    </w:rPr>
                    <w:t>Observations</w:t>
                  </w:r>
                </w:p>
              </w:tc>
            </w:tr>
            <w:tr w:rsidR="00320FF5" w:rsidRPr="00161EAF" w14:paraId="0CCEE0F4" w14:textId="77777777" w:rsidTr="00EF29CC">
              <w:tc>
                <w:tcPr>
                  <w:tcW w:w="2005" w:type="dxa"/>
                  <w:vAlign w:val="center"/>
                </w:tcPr>
                <w:p w14:paraId="511DB727" w14:textId="77777777" w:rsidR="00320FF5" w:rsidRPr="00FD16E7" w:rsidRDefault="00320FF5" w:rsidP="00EF29CC">
                  <w:pPr>
                    <w:ind w:right="-29"/>
                    <w:rPr>
                      <w:sz w:val="20"/>
                      <w:szCs w:val="20"/>
                    </w:rPr>
                  </w:pPr>
                  <w:r w:rsidRPr="00FD16E7">
                    <w:rPr>
                      <w:sz w:val="20"/>
                      <w:szCs w:val="20"/>
                    </w:rPr>
                    <w:t>Appearance</w:t>
                  </w:r>
                </w:p>
              </w:tc>
              <w:tc>
                <w:tcPr>
                  <w:tcW w:w="5244" w:type="dxa"/>
                  <w:vAlign w:val="center"/>
                </w:tcPr>
                <w:p w14:paraId="7C083F36" w14:textId="77777777" w:rsidR="00320FF5" w:rsidRPr="00FD16E7" w:rsidRDefault="00320FF5" w:rsidP="00EF29CC">
                  <w:pPr>
                    <w:ind w:right="-29"/>
                    <w:jc w:val="both"/>
                    <w:rPr>
                      <w:sz w:val="20"/>
                      <w:szCs w:val="20"/>
                    </w:rPr>
                  </w:pPr>
                  <w:r w:rsidRPr="00FD16E7">
                    <w:rPr>
                      <w:sz w:val="20"/>
                      <w:szCs w:val="20"/>
                    </w:rPr>
                    <w:t>White or almost white, crystalline powder.</w:t>
                  </w:r>
                </w:p>
              </w:tc>
              <w:tc>
                <w:tcPr>
                  <w:tcW w:w="3177" w:type="dxa"/>
                  <w:vAlign w:val="center"/>
                </w:tcPr>
                <w:p w14:paraId="636DF7F8" w14:textId="77777777" w:rsidR="00320FF5" w:rsidRPr="00FD16E7" w:rsidRDefault="00320FF5" w:rsidP="00EF29CC">
                  <w:pPr>
                    <w:ind w:right="-29"/>
                    <w:rPr>
                      <w:sz w:val="20"/>
                      <w:szCs w:val="20"/>
                    </w:rPr>
                  </w:pPr>
                  <w:r w:rsidRPr="00FD16E7">
                    <w:rPr>
                      <w:sz w:val="20"/>
                      <w:szCs w:val="20"/>
                    </w:rPr>
                    <w:t>None</w:t>
                  </w:r>
                </w:p>
              </w:tc>
            </w:tr>
            <w:tr w:rsidR="00320FF5" w:rsidRPr="00161EAF" w14:paraId="42912A37" w14:textId="77777777" w:rsidTr="00EF29CC">
              <w:tc>
                <w:tcPr>
                  <w:tcW w:w="2005" w:type="dxa"/>
                  <w:vAlign w:val="center"/>
                </w:tcPr>
                <w:p w14:paraId="7798ADC7" w14:textId="77777777" w:rsidR="00320FF5" w:rsidRPr="00FD16E7" w:rsidRDefault="00320FF5" w:rsidP="00EF29CC">
                  <w:pPr>
                    <w:ind w:right="-29"/>
                    <w:rPr>
                      <w:sz w:val="20"/>
                      <w:szCs w:val="20"/>
                    </w:rPr>
                  </w:pPr>
                  <w:r w:rsidRPr="00FD16E7">
                    <w:rPr>
                      <w:sz w:val="20"/>
                      <w:szCs w:val="20"/>
                    </w:rPr>
                    <w:t>Solubility</w:t>
                  </w:r>
                </w:p>
              </w:tc>
              <w:tc>
                <w:tcPr>
                  <w:tcW w:w="5244" w:type="dxa"/>
                </w:tcPr>
                <w:p w14:paraId="374FB3E3" w14:textId="77777777" w:rsidR="00320FF5" w:rsidRPr="00FD16E7" w:rsidRDefault="00320FF5" w:rsidP="00EF29CC">
                  <w:pPr>
                    <w:ind w:right="-29"/>
                    <w:jc w:val="both"/>
                    <w:rPr>
                      <w:sz w:val="20"/>
                      <w:szCs w:val="20"/>
                    </w:rPr>
                  </w:pPr>
                  <w:r w:rsidRPr="00FD16E7">
                    <w:rPr>
                      <w:sz w:val="20"/>
                      <w:szCs w:val="20"/>
                    </w:rPr>
                    <w:t>Very slightly soluble in water, slightly soluble in ethanol (96 percent). It dissolves in dilute solutions of alkali hydroxides.</w:t>
                  </w:r>
                </w:p>
              </w:tc>
              <w:tc>
                <w:tcPr>
                  <w:tcW w:w="3177" w:type="dxa"/>
                  <w:vAlign w:val="center"/>
                </w:tcPr>
                <w:p w14:paraId="07B4EA67" w14:textId="77777777" w:rsidR="00320FF5" w:rsidRPr="00FD16E7" w:rsidRDefault="00320FF5" w:rsidP="00EF29CC">
                  <w:pPr>
                    <w:ind w:right="-29"/>
                    <w:rPr>
                      <w:sz w:val="20"/>
                      <w:szCs w:val="20"/>
                    </w:rPr>
                  </w:pPr>
                  <w:r w:rsidRPr="00FD16E7">
                    <w:rPr>
                      <w:sz w:val="20"/>
                      <w:szCs w:val="20"/>
                    </w:rPr>
                    <w:t>None</w:t>
                  </w:r>
                </w:p>
              </w:tc>
            </w:tr>
            <w:tr w:rsidR="00320FF5" w:rsidRPr="00161EAF" w14:paraId="3C674BDB" w14:textId="77777777" w:rsidTr="00EF29CC">
              <w:tc>
                <w:tcPr>
                  <w:tcW w:w="2005" w:type="dxa"/>
                  <w:vAlign w:val="center"/>
                </w:tcPr>
                <w:p w14:paraId="560D4DAE" w14:textId="77777777" w:rsidR="00320FF5" w:rsidRPr="00FD16E7" w:rsidRDefault="00320FF5" w:rsidP="00EF29CC">
                  <w:pPr>
                    <w:ind w:right="-29"/>
                    <w:rPr>
                      <w:sz w:val="20"/>
                      <w:szCs w:val="20"/>
                    </w:rPr>
                  </w:pPr>
                  <w:r w:rsidRPr="00FD16E7">
                    <w:rPr>
                      <w:sz w:val="20"/>
                      <w:szCs w:val="20"/>
                    </w:rPr>
                    <w:t>Identification A</w:t>
                  </w:r>
                </w:p>
              </w:tc>
              <w:tc>
                <w:tcPr>
                  <w:tcW w:w="5244" w:type="dxa"/>
                </w:tcPr>
                <w:p w14:paraId="5769F3E9" w14:textId="77777777" w:rsidR="00320FF5" w:rsidRPr="00FD16E7" w:rsidRDefault="00320FF5" w:rsidP="00EF29CC">
                  <w:pPr>
                    <w:ind w:right="-29"/>
                    <w:jc w:val="both"/>
                    <w:rPr>
                      <w:sz w:val="20"/>
                      <w:szCs w:val="20"/>
                    </w:rPr>
                  </w:pPr>
                  <w:r w:rsidRPr="00FD16E7">
                    <w:rPr>
                      <w:sz w:val="20"/>
                      <w:szCs w:val="20"/>
                    </w:rPr>
                    <w:t>The UV absorption spectrum of the test sample is concordant with the reference spectrum of acetazolamide.</w:t>
                  </w:r>
                </w:p>
              </w:tc>
              <w:tc>
                <w:tcPr>
                  <w:tcW w:w="3177" w:type="dxa"/>
                  <w:vAlign w:val="center"/>
                </w:tcPr>
                <w:p w14:paraId="16BF1A79" w14:textId="77777777" w:rsidR="00320FF5" w:rsidRPr="00FD16E7" w:rsidRDefault="00320FF5" w:rsidP="00EF29CC">
                  <w:pPr>
                    <w:autoSpaceDE w:val="0"/>
                    <w:autoSpaceDN w:val="0"/>
                    <w:adjustRightInd w:val="0"/>
                    <w:jc w:val="both"/>
                    <w:rPr>
                      <w:sz w:val="20"/>
                      <w:szCs w:val="20"/>
                    </w:rPr>
                  </w:pPr>
                  <w:r w:rsidRPr="00FD16E7">
                    <w:rPr>
                      <w:sz w:val="20"/>
                      <w:szCs w:val="20"/>
                    </w:rPr>
                    <w:t>Ultraviolet and visible absorption spectrophotometry (2.2.25)</w:t>
                  </w:r>
                </w:p>
              </w:tc>
            </w:tr>
            <w:tr w:rsidR="00320FF5" w:rsidRPr="00161EAF" w14:paraId="12D4EC18" w14:textId="77777777" w:rsidTr="00EF29CC">
              <w:tc>
                <w:tcPr>
                  <w:tcW w:w="2005" w:type="dxa"/>
                  <w:vAlign w:val="center"/>
                </w:tcPr>
                <w:p w14:paraId="61D5D75D" w14:textId="77777777" w:rsidR="00320FF5" w:rsidRPr="00FD16E7" w:rsidRDefault="00320FF5" w:rsidP="00EF29CC">
                  <w:pPr>
                    <w:ind w:right="-29"/>
                    <w:rPr>
                      <w:sz w:val="20"/>
                      <w:szCs w:val="20"/>
                    </w:rPr>
                  </w:pPr>
                  <w:r w:rsidRPr="00FD16E7">
                    <w:rPr>
                      <w:sz w:val="20"/>
                      <w:szCs w:val="20"/>
                    </w:rPr>
                    <w:t>Identification B</w:t>
                  </w:r>
                </w:p>
              </w:tc>
              <w:tc>
                <w:tcPr>
                  <w:tcW w:w="5244" w:type="dxa"/>
                </w:tcPr>
                <w:p w14:paraId="63B3FD93" w14:textId="77777777" w:rsidR="00320FF5" w:rsidRPr="00FD16E7" w:rsidRDefault="00320FF5" w:rsidP="00EF29CC">
                  <w:pPr>
                    <w:ind w:right="-29"/>
                    <w:jc w:val="both"/>
                    <w:rPr>
                      <w:sz w:val="20"/>
                      <w:szCs w:val="20"/>
                    </w:rPr>
                  </w:pPr>
                  <w:r w:rsidRPr="00FD16E7">
                    <w:rPr>
                      <w:sz w:val="20"/>
                      <w:szCs w:val="20"/>
                    </w:rPr>
                    <w:t>The infrared absorption spectrum of the test sample is concordant with the reference spectrum of acetazolamide.</w:t>
                  </w:r>
                </w:p>
              </w:tc>
              <w:tc>
                <w:tcPr>
                  <w:tcW w:w="3177" w:type="dxa"/>
                  <w:vAlign w:val="center"/>
                </w:tcPr>
                <w:p w14:paraId="0B13D4BC" w14:textId="77777777" w:rsidR="00320FF5" w:rsidRPr="00FD16E7" w:rsidRDefault="00320FF5" w:rsidP="00EF29CC">
                  <w:pPr>
                    <w:ind w:right="-29"/>
                    <w:rPr>
                      <w:sz w:val="20"/>
                      <w:szCs w:val="20"/>
                    </w:rPr>
                  </w:pPr>
                  <w:r w:rsidRPr="00FD16E7">
                    <w:rPr>
                      <w:sz w:val="20"/>
                      <w:szCs w:val="20"/>
                    </w:rPr>
                    <w:t>Infrared absorption spectrophotometry (2.2.24)</w:t>
                  </w:r>
                </w:p>
              </w:tc>
            </w:tr>
            <w:tr w:rsidR="00320FF5" w:rsidRPr="00161EAF" w14:paraId="73444F4D" w14:textId="77777777" w:rsidTr="00EF29CC">
              <w:tc>
                <w:tcPr>
                  <w:tcW w:w="2005" w:type="dxa"/>
                  <w:vAlign w:val="center"/>
                </w:tcPr>
                <w:p w14:paraId="0D720640" w14:textId="77777777" w:rsidR="00320FF5" w:rsidRPr="00FD16E7" w:rsidRDefault="00320FF5" w:rsidP="00EF29CC">
                  <w:pPr>
                    <w:ind w:right="-29"/>
                    <w:rPr>
                      <w:sz w:val="20"/>
                      <w:szCs w:val="20"/>
                    </w:rPr>
                  </w:pPr>
                  <w:r w:rsidRPr="00FD16E7">
                    <w:rPr>
                      <w:sz w:val="20"/>
                      <w:szCs w:val="20"/>
                    </w:rPr>
                    <w:t>Identification C</w:t>
                  </w:r>
                </w:p>
              </w:tc>
              <w:tc>
                <w:tcPr>
                  <w:tcW w:w="5244" w:type="dxa"/>
                </w:tcPr>
                <w:p w14:paraId="6A667B32" w14:textId="77777777" w:rsidR="00320FF5" w:rsidRPr="00FD16E7" w:rsidRDefault="00320FF5" w:rsidP="00EF29CC">
                  <w:pPr>
                    <w:ind w:right="-29"/>
                    <w:jc w:val="both"/>
                    <w:rPr>
                      <w:sz w:val="20"/>
                      <w:szCs w:val="20"/>
                    </w:rPr>
                  </w:pPr>
                  <w:r w:rsidRPr="00FD16E7">
                    <w:rPr>
                      <w:sz w:val="20"/>
                      <w:szCs w:val="20"/>
                    </w:rPr>
                    <w:t xml:space="preserve">The paper shows a brownish-black </w:t>
                  </w:r>
                  <w:proofErr w:type="spellStart"/>
                  <w:r w:rsidRPr="00FD16E7">
                    <w:rPr>
                      <w:sz w:val="20"/>
                      <w:szCs w:val="20"/>
                    </w:rPr>
                    <w:t>color</w:t>
                  </w:r>
                  <w:proofErr w:type="spellEnd"/>
                  <w:r w:rsidRPr="00FD16E7">
                    <w:rPr>
                      <w:sz w:val="20"/>
                      <w:szCs w:val="20"/>
                    </w:rPr>
                    <w:t>.</w:t>
                  </w:r>
                </w:p>
              </w:tc>
              <w:tc>
                <w:tcPr>
                  <w:tcW w:w="3177" w:type="dxa"/>
                  <w:vAlign w:val="center"/>
                </w:tcPr>
                <w:p w14:paraId="789124F9" w14:textId="77777777" w:rsidR="00320FF5" w:rsidRPr="00FD16E7" w:rsidRDefault="00320FF5" w:rsidP="00EF29CC">
                  <w:pPr>
                    <w:ind w:right="-29"/>
                    <w:rPr>
                      <w:sz w:val="20"/>
                      <w:szCs w:val="20"/>
                    </w:rPr>
                  </w:pPr>
                  <w:r w:rsidRPr="00FD16E7">
                    <w:rPr>
                      <w:sz w:val="20"/>
                      <w:szCs w:val="20"/>
                    </w:rPr>
                    <w:t>None</w:t>
                  </w:r>
                </w:p>
              </w:tc>
            </w:tr>
            <w:tr w:rsidR="00320FF5" w:rsidRPr="00161EAF" w14:paraId="1519C1F5" w14:textId="77777777" w:rsidTr="00EF29CC">
              <w:tc>
                <w:tcPr>
                  <w:tcW w:w="2005" w:type="dxa"/>
                  <w:vAlign w:val="center"/>
                </w:tcPr>
                <w:p w14:paraId="1EA33E14" w14:textId="77777777" w:rsidR="00320FF5" w:rsidRPr="00FD16E7" w:rsidRDefault="00320FF5" w:rsidP="00EF29CC">
                  <w:pPr>
                    <w:ind w:right="-29"/>
                    <w:rPr>
                      <w:sz w:val="20"/>
                      <w:szCs w:val="20"/>
                    </w:rPr>
                  </w:pPr>
                  <w:r w:rsidRPr="00FD16E7">
                    <w:rPr>
                      <w:sz w:val="20"/>
                      <w:szCs w:val="20"/>
                    </w:rPr>
                    <w:t>Identification D</w:t>
                  </w:r>
                </w:p>
              </w:tc>
              <w:tc>
                <w:tcPr>
                  <w:tcW w:w="5244" w:type="dxa"/>
                </w:tcPr>
                <w:p w14:paraId="7791378A" w14:textId="77777777" w:rsidR="00320FF5" w:rsidRPr="00FD16E7" w:rsidRDefault="00320FF5" w:rsidP="00EF29CC">
                  <w:pPr>
                    <w:ind w:right="-29"/>
                    <w:jc w:val="both"/>
                    <w:rPr>
                      <w:sz w:val="20"/>
                      <w:szCs w:val="20"/>
                    </w:rPr>
                  </w:pPr>
                  <w:r w:rsidRPr="00FD16E7">
                    <w:rPr>
                      <w:sz w:val="20"/>
                      <w:szCs w:val="20"/>
                    </w:rPr>
                    <w:t>A greenish-blue precipitate is formed.</w:t>
                  </w:r>
                </w:p>
              </w:tc>
              <w:tc>
                <w:tcPr>
                  <w:tcW w:w="3177" w:type="dxa"/>
                  <w:vAlign w:val="center"/>
                </w:tcPr>
                <w:p w14:paraId="190CA4C4" w14:textId="77777777" w:rsidR="00320FF5" w:rsidRPr="00FD16E7" w:rsidRDefault="00320FF5" w:rsidP="00EF29CC">
                  <w:pPr>
                    <w:ind w:right="-29"/>
                    <w:rPr>
                      <w:sz w:val="20"/>
                      <w:szCs w:val="20"/>
                    </w:rPr>
                  </w:pPr>
                  <w:r w:rsidRPr="00FD16E7">
                    <w:rPr>
                      <w:sz w:val="20"/>
                      <w:szCs w:val="20"/>
                    </w:rPr>
                    <w:t>None</w:t>
                  </w:r>
                </w:p>
              </w:tc>
            </w:tr>
            <w:tr w:rsidR="00320FF5" w:rsidRPr="00161EAF" w14:paraId="15C79F12" w14:textId="77777777" w:rsidTr="00EF29CC">
              <w:tc>
                <w:tcPr>
                  <w:tcW w:w="2005" w:type="dxa"/>
                  <w:vAlign w:val="center"/>
                </w:tcPr>
                <w:p w14:paraId="183283D0" w14:textId="77777777" w:rsidR="00320FF5" w:rsidRPr="00FD16E7" w:rsidRDefault="00320FF5" w:rsidP="00EF29CC">
                  <w:pPr>
                    <w:ind w:right="-29"/>
                    <w:rPr>
                      <w:sz w:val="20"/>
                      <w:szCs w:val="20"/>
                    </w:rPr>
                  </w:pPr>
                  <w:r w:rsidRPr="00FD16E7">
                    <w:rPr>
                      <w:sz w:val="20"/>
                      <w:szCs w:val="20"/>
                    </w:rPr>
                    <w:t>Appearance of solution</w:t>
                  </w:r>
                </w:p>
              </w:tc>
              <w:tc>
                <w:tcPr>
                  <w:tcW w:w="5244" w:type="dxa"/>
                </w:tcPr>
                <w:p w14:paraId="64F771B1" w14:textId="77777777" w:rsidR="00320FF5" w:rsidRPr="00FD16E7" w:rsidRDefault="00320FF5" w:rsidP="00EF29CC">
                  <w:pPr>
                    <w:ind w:right="-29"/>
                    <w:jc w:val="both"/>
                    <w:rPr>
                      <w:sz w:val="20"/>
                      <w:szCs w:val="20"/>
                    </w:rPr>
                  </w:pPr>
                  <w:r w:rsidRPr="00FD16E7">
                    <w:rPr>
                      <w:sz w:val="20"/>
                      <w:szCs w:val="20"/>
                    </w:rPr>
                    <w:t xml:space="preserve">The solution is not more opalescent than reference suspension II (2.2.1) and not more intensely </w:t>
                  </w:r>
                  <w:proofErr w:type="spellStart"/>
                  <w:r w:rsidRPr="00FD16E7">
                    <w:rPr>
                      <w:sz w:val="20"/>
                      <w:szCs w:val="20"/>
                    </w:rPr>
                    <w:t>colored</w:t>
                  </w:r>
                  <w:proofErr w:type="spellEnd"/>
                  <w:r w:rsidRPr="00FD16E7">
                    <w:rPr>
                      <w:sz w:val="20"/>
                      <w:szCs w:val="20"/>
                    </w:rPr>
                    <w:t xml:space="preserve"> than reference solution Y</w:t>
                  </w:r>
                  <w:r w:rsidRPr="00FD16E7">
                    <w:rPr>
                      <w:sz w:val="20"/>
                      <w:szCs w:val="20"/>
                      <w:vertAlign w:val="subscript"/>
                    </w:rPr>
                    <w:t>5</w:t>
                  </w:r>
                  <w:r w:rsidRPr="00FD16E7">
                    <w:rPr>
                      <w:sz w:val="20"/>
                      <w:szCs w:val="20"/>
                    </w:rPr>
                    <w:t xml:space="preserve"> or BY</w:t>
                  </w:r>
                  <w:r w:rsidRPr="00FD16E7">
                    <w:rPr>
                      <w:sz w:val="20"/>
                      <w:szCs w:val="20"/>
                      <w:vertAlign w:val="subscript"/>
                    </w:rPr>
                    <w:t>5</w:t>
                  </w:r>
                  <w:r w:rsidRPr="00FD16E7">
                    <w:rPr>
                      <w:sz w:val="20"/>
                      <w:szCs w:val="20"/>
                    </w:rPr>
                    <w:t xml:space="preserve"> (2.2.2, Method II).</w:t>
                  </w:r>
                </w:p>
              </w:tc>
              <w:tc>
                <w:tcPr>
                  <w:tcW w:w="3177" w:type="dxa"/>
                  <w:vAlign w:val="center"/>
                </w:tcPr>
                <w:p w14:paraId="03D176CF" w14:textId="77777777" w:rsidR="00320FF5" w:rsidRPr="00FD16E7" w:rsidRDefault="00320FF5" w:rsidP="00EF29CC">
                  <w:pPr>
                    <w:ind w:right="-29"/>
                    <w:rPr>
                      <w:sz w:val="20"/>
                      <w:szCs w:val="20"/>
                    </w:rPr>
                  </w:pPr>
                  <w:r w:rsidRPr="00FD16E7">
                    <w:rPr>
                      <w:sz w:val="20"/>
                      <w:szCs w:val="20"/>
                    </w:rPr>
                    <w:t>None</w:t>
                  </w:r>
                </w:p>
              </w:tc>
            </w:tr>
            <w:tr w:rsidR="00320FF5" w:rsidRPr="00161EAF" w14:paraId="73B5404F" w14:textId="77777777" w:rsidTr="00EF29CC">
              <w:tc>
                <w:tcPr>
                  <w:tcW w:w="2005" w:type="dxa"/>
                  <w:vAlign w:val="center"/>
                </w:tcPr>
                <w:p w14:paraId="262E2E09" w14:textId="77777777" w:rsidR="00320FF5" w:rsidRPr="00FD16E7" w:rsidRDefault="00320FF5" w:rsidP="00EF29CC">
                  <w:pPr>
                    <w:ind w:right="-29"/>
                    <w:rPr>
                      <w:sz w:val="20"/>
                      <w:szCs w:val="20"/>
                    </w:rPr>
                  </w:pPr>
                  <w:r w:rsidRPr="00FD16E7">
                    <w:rPr>
                      <w:sz w:val="20"/>
                      <w:szCs w:val="20"/>
                    </w:rPr>
                    <w:t>Related substances</w:t>
                  </w:r>
                </w:p>
              </w:tc>
              <w:tc>
                <w:tcPr>
                  <w:tcW w:w="5244" w:type="dxa"/>
                  <w:vAlign w:val="center"/>
                </w:tcPr>
                <w:p w14:paraId="54A8E776" w14:textId="77777777" w:rsidR="00320FF5" w:rsidRPr="00FD16E7" w:rsidRDefault="00320FF5" w:rsidP="00EF29CC">
                  <w:pPr>
                    <w:ind w:right="-29"/>
                    <w:jc w:val="both"/>
                    <w:rPr>
                      <w:sz w:val="20"/>
                      <w:szCs w:val="20"/>
                    </w:rPr>
                  </w:pPr>
                  <w:r w:rsidRPr="00FD16E7">
                    <w:rPr>
                      <w:sz w:val="20"/>
                      <w:szCs w:val="20"/>
                    </w:rPr>
                    <w:t>Impurities A, B, C, D, E, F: For each impurity, not more than 1.5 times the area of the principal peak in the chromatogram obtained with reference solution (a) (0.15 percent)</w:t>
                  </w:r>
                </w:p>
                <w:p w14:paraId="6EC46BB0" w14:textId="77777777" w:rsidR="00320FF5" w:rsidRPr="00FD16E7" w:rsidRDefault="00320FF5" w:rsidP="00EF29CC">
                  <w:pPr>
                    <w:ind w:right="-29"/>
                    <w:jc w:val="both"/>
                    <w:rPr>
                      <w:sz w:val="20"/>
                      <w:szCs w:val="20"/>
                    </w:rPr>
                  </w:pPr>
                  <w:r w:rsidRPr="00FD16E7">
                    <w:rPr>
                      <w:sz w:val="20"/>
                      <w:szCs w:val="20"/>
                    </w:rPr>
                    <w:t>Unspecified impurities: For each impurity, not more than the area of the principal peak in the chromatogram obtained with reference solution (a) (0.10 percent)</w:t>
                  </w:r>
                </w:p>
                <w:p w14:paraId="00642645" w14:textId="77777777" w:rsidR="00320FF5" w:rsidRPr="00FD16E7" w:rsidRDefault="00320FF5" w:rsidP="00EF29CC">
                  <w:pPr>
                    <w:ind w:right="-29"/>
                    <w:jc w:val="both"/>
                    <w:rPr>
                      <w:sz w:val="20"/>
                      <w:szCs w:val="20"/>
                    </w:rPr>
                  </w:pPr>
                  <w:r w:rsidRPr="00FD16E7">
                    <w:rPr>
                      <w:sz w:val="20"/>
                      <w:szCs w:val="20"/>
                    </w:rPr>
                    <w:t>Total: Not more than 6 times the area of the principal peak in the chromatogram obtained with reference solution (a) (0.6 percent)</w:t>
                  </w:r>
                </w:p>
              </w:tc>
              <w:tc>
                <w:tcPr>
                  <w:tcW w:w="3177" w:type="dxa"/>
                  <w:vAlign w:val="center"/>
                </w:tcPr>
                <w:p w14:paraId="1D1CC4C3" w14:textId="77777777" w:rsidR="00320FF5" w:rsidRPr="00FD16E7" w:rsidRDefault="00320FF5" w:rsidP="00EF29CC">
                  <w:pPr>
                    <w:ind w:right="-29"/>
                    <w:rPr>
                      <w:sz w:val="20"/>
                      <w:szCs w:val="20"/>
                    </w:rPr>
                  </w:pPr>
                  <w:r w:rsidRPr="00FD16E7">
                    <w:rPr>
                      <w:sz w:val="20"/>
                      <w:szCs w:val="20"/>
                    </w:rPr>
                    <w:t>None</w:t>
                  </w:r>
                </w:p>
              </w:tc>
            </w:tr>
            <w:tr w:rsidR="00320FF5" w:rsidRPr="00161EAF" w14:paraId="379E1336" w14:textId="77777777" w:rsidTr="00EF29CC">
              <w:tc>
                <w:tcPr>
                  <w:tcW w:w="2005" w:type="dxa"/>
                  <w:vAlign w:val="center"/>
                </w:tcPr>
                <w:p w14:paraId="0B710C44" w14:textId="77777777" w:rsidR="00320FF5" w:rsidRPr="00FD16E7" w:rsidRDefault="00320FF5" w:rsidP="00EF29CC">
                  <w:pPr>
                    <w:ind w:right="-29"/>
                    <w:rPr>
                      <w:sz w:val="20"/>
                      <w:szCs w:val="20"/>
                      <w:lang w:val="en-US"/>
                    </w:rPr>
                  </w:pPr>
                  <w:r w:rsidRPr="00FD16E7">
                    <w:rPr>
                      <w:sz w:val="20"/>
                      <w:szCs w:val="20"/>
                      <w:lang w:val="en-US"/>
                    </w:rPr>
                    <w:t>Sulfates (2.4.13)</w:t>
                  </w:r>
                </w:p>
              </w:tc>
              <w:tc>
                <w:tcPr>
                  <w:tcW w:w="5244" w:type="dxa"/>
                </w:tcPr>
                <w:p w14:paraId="0AF04008" w14:textId="77777777" w:rsidR="00320FF5" w:rsidRPr="00FD16E7" w:rsidRDefault="00320FF5" w:rsidP="00EF29CC">
                  <w:pPr>
                    <w:ind w:right="-29"/>
                    <w:jc w:val="both"/>
                    <w:rPr>
                      <w:sz w:val="20"/>
                      <w:szCs w:val="20"/>
                    </w:rPr>
                  </w:pPr>
                  <w:r w:rsidRPr="00FD16E7">
                    <w:rPr>
                      <w:sz w:val="20"/>
                      <w:szCs w:val="20"/>
                    </w:rPr>
                    <w:t>Maximum 500 ppm.</w:t>
                  </w:r>
                </w:p>
              </w:tc>
              <w:tc>
                <w:tcPr>
                  <w:tcW w:w="3177" w:type="dxa"/>
                  <w:vAlign w:val="center"/>
                </w:tcPr>
                <w:p w14:paraId="3DD536A4" w14:textId="77777777" w:rsidR="00320FF5" w:rsidRPr="00FD16E7" w:rsidRDefault="00320FF5" w:rsidP="00EF29CC">
                  <w:pPr>
                    <w:ind w:right="-29"/>
                    <w:rPr>
                      <w:sz w:val="20"/>
                      <w:szCs w:val="20"/>
                    </w:rPr>
                  </w:pPr>
                  <w:r w:rsidRPr="00FD16E7">
                    <w:rPr>
                      <w:sz w:val="20"/>
                      <w:szCs w:val="20"/>
                    </w:rPr>
                    <w:t>None</w:t>
                  </w:r>
                </w:p>
              </w:tc>
            </w:tr>
            <w:tr w:rsidR="00320FF5" w:rsidRPr="00161EAF" w14:paraId="7B2B2C6D" w14:textId="77777777" w:rsidTr="00EF29CC">
              <w:tc>
                <w:tcPr>
                  <w:tcW w:w="2005" w:type="dxa"/>
                  <w:vAlign w:val="center"/>
                </w:tcPr>
                <w:p w14:paraId="4653CC18" w14:textId="77777777" w:rsidR="00320FF5" w:rsidRPr="00FD16E7" w:rsidRDefault="00320FF5" w:rsidP="00EF29CC">
                  <w:pPr>
                    <w:ind w:right="-29"/>
                    <w:rPr>
                      <w:sz w:val="20"/>
                      <w:szCs w:val="20"/>
                      <w:lang w:val="en-US"/>
                    </w:rPr>
                  </w:pPr>
                  <w:r w:rsidRPr="00FD16E7">
                    <w:rPr>
                      <w:sz w:val="20"/>
                      <w:szCs w:val="20"/>
                      <w:lang w:val="en-US"/>
                    </w:rPr>
                    <w:t>Loss on drying (2.2.32)</w:t>
                  </w:r>
                </w:p>
              </w:tc>
              <w:tc>
                <w:tcPr>
                  <w:tcW w:w="5244" w:type="dxa"/>
                  <w:vAlign w:val="center"/>
                </w:tcPr>
                <w:p w14:paraId="17C98784" w14:textId="77777777" w:rsidR="00320FF5" w:rsidRPr="00FD16E7" w:rsidRDefault="00320FF5" w:rsidP="00EF29CC">
                  <w:pPr>
                    <w:ind w:right="-29"/>
                    <w:jc w:val="both"/>
                    <w:rPr>
                      <w:sz w:val="20"/>
                      <w:szCs w:val="20"/>
                    </w:rPr>
                  </w:pPr>
                  <w:r w:rsidRPr="00FD16E7">
                    <w:rPr>
                      <w:sz w:val="20"/>
                      <w:szCs w:val="20"/>
                    </w:rPr>
                    <w:t>Maximum 0.5 percent</w:t>
                  </w:r>
                </w:p>
              </w:tc>
              <w:tc>
                <w:tcPr>
                  <w:tcW w:w="3177" w:type="dxa"/>
                  <w:vAlign w:val="center"/>
                </w:tcPr>
                <w:p w14:paraId="2960A1C8" w14:textId="77777777" w:rsidR="00320FF5" w:rsidRPr="00FD16E7" w:rsidRDefault="00320FF5" w:rsidP="00EF29CC">
                  <w:pPr>
                    <w:autoSpaceDE w:val="0"/>
                    <w:autoSpaceDN w:val="0"/>
                    <w:adjustRightInd w:val="0"/>
                    <w:jc w:val="both"/>
                    <w:rPr>
                      <w:sz w:val="20"/>
                      <w:szCs w:val="20"/>
                    </w:rPr>
                  </w:pPr>
                  <w:r w:rsidRPr="00FD16E7">
                    <w:rPr>
                      <w:sz w:val="20"/>
                      <w:szCs w:val="20"/>
                    </w:rPr>
                    <w:t>Determined on 1.000 g by drying in an oven at 105 °C.</w:t>
                  </w:r>
                </w:p>
              </w:tc>
            </w:tr>
            <w:tr w:rsidR="00320FF5" w:rsidRPr="00161EAF" w14:paraId="718F6978" w14:textId="77777777" w:rsidTr="00EF29CC">
              <w:tc>
                <w:tcPr>
                  <w:tcW w:w="2005" w:type="dxa"/>
                  <w:vAlign w:val="center"/>
                </w:tcPr>
                <w:p w14:paraId="42544955" w14:textId="77777777" w:rsidR="00320FF5" w:rsidRPr="00FD16E7" w:rsidRDefault="00320FF5" w:rsidP="00EF29CC">
                  <w:pPr>
                    <w:ind w:right="-29"/>
                    <w:jc w:val="both"/>
                    <w:rPr>
                      <w:sz w:val="20"/>
                      <w:szCs w:val="20"/>
                      <w:lang w:val="en-US"/>
                    </w:rPr>
                  </w:pPr>
                  <w:r w:rsidRPr="00FD16E7">
                    <w:rPr>
                      <w:sz w:val="20"/>
                      <w:szCs w:val="20"/>
                      <w:lang w:val="en-US"/>
                    </w:rPr>
                    <w:t>Sulfated ash (2.4.14)</w:t>
                  </w:r>
                </w:p>
              </w:tc>
              <w:tc>
                <w:tcPr>
                  <w:tcW w:w="5244" w:type="dxa"/>
                  <w:vAlign w:val="center"/>
                </w:tcPr>
                <w:p w14:paraId="368E25E9" w14:textId="77777777" w:rsidR="00320FF5" w:rsidRPr="00FD16E7" w:rsidRDefault="00320FF5" w:rsidP="00EF29CC">
                  <w:pPr>
                    <w:ind w:right="-29"/>
                    <w:jc w:val="both"/>
                    <w:rPr>
                      <w:sz w:val="20"/>
                      <w:szCs w:val="20"/>
                    </w:rPr>
                  </w:pPr>
                  <w:r w:rsidRPr="00FD16E7">
                    <w:rPr>
                      <w:sz w:val="20"/>
                      <w:szCs w:val="20"/>
                    </w:rPr>
                    <w:t>Maximum 0.1 percent</w:t>
                  </w:r>
                </w:p>
              </w:tc>
              <w:tc>
                <w:tcPr>
                  <w:tcW w:w="3177" w:type="dxa"/>
                  <w:vAlign w:val="center"/>
                </w:tcPr>
                <w:p w14:paraId="065121EE" w14:textId="77777777" w:rsidR="00320FF5" w:rsidRPr="00FD16E7" w:rsidRDefault="00320FF5" w:rsidP="00EF29CC">
                  <w:pPr>
                    <w:autoSpaceDE w:val="0"/>
                    <w:autoSpaceDN w:val="0"/>
                    <w:adjustRightInd w:val="0"/>
                    <w:jc w:val="both"/>
                    <w:rPr>
                      <w:sz w:val="20"/>
                      <w:szCs w:val="20"/>
                    </w:rPr>
                  </w:pPr>
                  <w:r w:rsidRPr="00FD16E7">
                    <w:rPr>
                      <w:sz w:val="20"/>
                      <w:szCs w:val="20"/>
                    </w:rPr>
                    <w:t>Determined on 1.0 g.</w:t>
                  </w:r>
                </w:p>
              </w:tc>
            </w:tr>
            <w:tr w:rsidR="00320FF5" w:rsidRPr="00161EAF" w14:paraId="5FD7525E" w14:textId="77777777" w:rsidTr="00EF29CC">
              <w:tc>
                <w:tcPr>
                  <w:tcW w:w="2005" w:type="dxa"/>
                  <w:vAlign w:val="center"/>
                </w:tcPr>
                <w:p w14:paraId="25CE21C6" w14:textId="77777777" w:rsidR="00320FF5" w:rsidRPr="00FD16E7" w:rsidRDefault="00320FF5" w:rsidP="00EF29CC">
                  <w:pPr>
                    <w:ind w:right="-29"/>
                    <w:jc w:val="both"/>
                    <w:rPr>
                      <w:sz w:val="20"/>
                      <w:szCs w:val="20"/>
                      <w:lang w:val="en-US"/>
                    </w:rPr>
                  </w:pPr>
                  <w:r w:rsidRPr="00FD16E7">
                    <w:rPr>
                      <w:sz w:val="20"/>
                      <w:szCs w:val="20"/>
                      <w:lang w:val="en-US"/>
                    </w:rPr>
                    <w:t>Assay</w:t>
                  </w:r>
                </w:p>
              </w:tc>
              <w:tc>
                <w:tcPr>
                  <w:tcW w:w="5244" w:type="dxa"/>
                  <w:vAlign w:val="center"/>
                </w:tcPr>
                <w:p w14:paraId="6FF26219" w14:textId="77777777" w:rsidR="00320FF5" w:rsidRPr="00FD16E7" w:rsidRDefault="00320FF5" w:rsidP="00EF29CC">
                  <w:pPr>
                    <w:ind w:right="-29"/>
                    <w:jc w:val="both"/>
                    <w:rPr>
                      <w:sz w:val="20"/>
                      <w:szCs w:val="20"/>
                    </w:rPr>
                  </w:pPr>
                  <w:r w:rsidRPr="00FD16E7">
                    <w:rPr>
                      <w:sz w:val="20"/>
                      <w:szCs w:val="20"/>
                    </w:rPr>
                    <w:t>98.5 per cent to 101.0 per cent (dried substance)</w:t>
                  </w:r>
                </w:p>
              </w:tc>
              <w:tc>
                <w:tcPr>
                  <w:tcW w:w="3177" w:type="dxa"/>
                  <w:vAlign w:val="center"/>
                </w:tcPr>
                <w:p w14:paraId="40AA49A0" w14:textId="77777777" w:rsidR="00320FF5" w:rsidRPr="00FD16E7" w:rsidRDefault="00320FF5" w:rsidP="00EF29CC">
                  <w:pPr>
                    <w:autoSpaceDE w:val="0"/>
                    <w:autoSpaceDN w:val="0"/>
                    <w:adjustRightInd w:val="0"/>
                    <w:jc w:val="both"/>
                    <w:rPr>
                      <w:sz w:val="20"/>
                      <w:szCs w:val="20"/>
                    </w:rPr>
                  </w:pPr>
                  <w:r w:rsidRPr="00FD16E7">
                    <w:rPr>
                      <w:sz w:val="20"/>
                      <w:szCs w:val="20"/>
                    </w:rPr>
                    <w:t>Potentiometric titration (2.2.20)</w:t>
                  </w:r>
                </w:p>
              </w:tc>
            </w:tr>
          </w:tbl>
          <w:p w14:paraId="627FD8C8"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383C5E95" w14:textId="77777777" w:rsidTr="00EF29CC">
              <w:tc>
                <w:tcPr>
                  <w:tcW w:w="10426" w:type="dxa"/>
                  <w:gridSpan w:val="3"/>
                  <w:shd w:val="clear" w:color="auto" w:fill="D9D9D9" w:themeFill="background1" w:themeFillShade="D9"/>
                </w:tcPr>
                <w:p w14:paraId="5DAC5B6D" w14:textId="77777777" w:rsidR="00320FF5" w:rsidRPr="00161EAF" w:rsidRDefault="00320FF5" w:rsidP="00EF29CC">
                  <w:pPr>
                    <w:ind w:right="-29"/>
                    <w:jc w:val="center"/>
                    <w:rPr>
                      <w:b/>
                      <w:bCs/>
                      <w:sz w:val="20"/>
                      <w:szCs w:val="20"/>
                      <w:lang w:val="en-US"/>
                    </w:rPr>
                  </w:pPr>
                  <w:r w:rsidRPr="00161EAF">
                    <w:rPr>
                      <w:b/>
                      <w:bCs/>
                      <w:sz w:val="20"/>
                      <w:szCs w:val="20"/>
                      <w:lang w:val="en-US"/>
                    </w:rPr>
                    <w:t xml:space="preserve">Acetazolamide </w:t>
                  </w:r>
                  <w:r>
                    <w:rPr>
                      <w:b/>
                      <w:bCs/>
                      <w:sz w:val="20"/>
                      <w:szCs w:val="20"/>
                      <w:lang w:val="en-US"/>
                    </w:rPr>
                    <w:t>JP monograph [35]</w:t>
                  </w:r>
                </w:p>
              </w:tc>
            </w:tr>
            <w:tr w:rsidR="00320FF5" w:rsidRPr="00161EAF" w14:paraId="6831012C" w14:textId="77777777" w:rsidTr="00EF29CC">
              <w:tc>
                <w:tcPr>
                  <w:tcW w:w="2005" w:type="dxa"/>
                  <w:shd w:val="clear" w:color="auto" w:fill="D9D9D9" w:themeFill="background1" w:themeFillShade="D9"/>
                </w:tcPr>
                <w:p w14:paraId="7F0548E0"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08C9B5E9"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3D545AED"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4A0625F1" w14:textId="77777777" w:rsidTr="00EF29CC">
              <w:tc>
                <w:tcPr>
                  <w:tcW w:w="2005" w:type="dxa"/>
                  <w:vAlign w:val="center"/>
                </w:tcPr>
                <w:p w14:paraId="3B06F556" w14:textId="77777777" w:rsidR="00320FF5" w:rsidRPr="00161EAF" w:rsidRDefault="00320FF5" w:rsidP="00EF29CC">
                  <w:pPr>
                    <w:ind w:right="-29"/>
                    <w:jc w:val="both"/>
                    <w:rPr>
                      <w:sz w:val="20"/>
                      <w:szCs w:val="20"/>
                      <w:lang w:val="en-US"/>
                    </w:rPr>
                  </w:pPr>
                  <w:r>
                    <w:rPr>
                      <w:sz w:val="20"/>
                      <w:szCs w:val="20"/>
                      <w:lang w:val="en-US"/>
                    </w:rPr>
                    <w:t>Description</w:t>
                  </w:r>
                </w:p>
              </w:tc>
              <w:tc>
                <w:tcPr>
                  <w:tcW w:w="5244" w:type="dxa"/>
                  <w:vAlign w:val="center"/>
                </w:tcPr>
                <w:p w14:paraId="14FEC3DB" w14:textId="77777777" w:rsidR="00320FF5" w:rsidRPr="00161EAF" w:rsidRDefault="00320FF5" w:rsidP="00EF29CC">
                  <w:pPr>
                    <w:ind w:right="-29"/>
                    <w:jc w:val="both"/>
                    <w:rPr>
                      <w:sz w:val="20"/>
                      <w:szCs w:val="20"/>
                      <w:lang w:val="en-US"/>
                    </w:rPr>
                  </w:pPr>
                  <w:r w:rsidRPr="00C73A48">
                    <w:rPr>
                      <w:sz w:val="20"/>
                      <w:szCs w:val="20"/>
                      <w:lang w:val="en-US"/>
                    </w:rPr>
                    <w:t>Acetazolamide occurs as a white to pale yellowish white crystalline powder. It is odorless and has a slight bitter taste.</w:t>
                  </w:r>
                </w:p>
              </w:tc>
              <w:tc>
                <w:tcPr>
                  <w:tcW w:w="3177" w:type="dxa"/>
                  <w:vAlign w:val="center"/>
                </w:tcPr>
                <w:p w14:paraId="0CAC5359"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354B7431" w14:textId="77777777" w:rsidTr="00EF29CC">
              <w:tc>
                <w:tcPr>
                  <w:tcW w:w="2005" w:type="dxa"/>
                  <w:vAlign w:val="center"/>
                </w:tcPr>
                <w:p w14:paraId="68EA799F" w14:textId="77777777" w:rsidR="00320FF5" w:rsidRPr="00161EAF" w:rsidRDefault="00320FF5" w:rsidP="00EF29CC">
                  <w:pPr>
                    <w:ind w:right="-29"/>
                    <w:jc w:val="both"/>
                    <w:rPr>
                      <w:sz w:val="20"/>
                      <w:szCs w:val="20"/>
                      <w:lang w:val="en-US"/>
                    </w:rPr>
                  </w:pPr>
                  <w:r>
                    <w:rPr>
                      <w:sz w:val="20"/>
                      <w:szCs w:val="20"/>
                      <w:lang w:val="en-US"/>
                    </w:rPr>
                    <w:t>Solubility</w:t>
                  </w:r>
                </w:p>
              </w:tc>
              <w:tc>
                <w:tcPr>
                  <w:tcW w:w="5244" w:type="dxa"/>
                </w:tcPr>
                <w:p w14:paraId="0648B842" w14:textId="77777777" w:rsidR="00320FF5" w:rsidRPr="00161EAF" w:rsidRDefault="00320FF5" w:rsidP="00EF29CC">
                  <w:pPr>
                    <w:ind w:right="-29"/>
                    <w:jc w:val="both"/>
                    <w:rPr>
                      <w:sz w:val="20"/>
                      <w:szCs w:val="20"/>
                      <w:lang w:val="en-US"/>
                    </w:rPr>
                  </w:pPr>
                  <w:r w:rsidRPr="00C744ED">
                    <w:rPr>
                      <w:sz w:val="20"/>
                      <w:szCs w:val="20"/>
                      <w:lang w:val="en-US"/>
                    </w:rPr>
                    <w:t>It is slightly soluble in ethanol (95), very slightly soluble in water, and practically insoluble in diethyl ether.</w:t>
                  </w:r>
                </w:p>
              </w:tc>
              <w:tc>
                <w:tcPr>
                  <w:tcW w:w="3177" w:type="dxa"/>
                  <w:vAlign w:val="center"/>
                </w:tcPr>
                <w:p w14:paraId="2ED17A3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176F5EC" w14:textId="77777777" w:rsidTr="00EF29CC">
              <w:tc>
                <w:tcPr>
                  <w:tcW w:w="2005" w:type="dxa"/>
                  <w:vAlign w:val="center"/>
                </w:tcPr>
                <w:p w14:paraId="2AB54336" w14:textId="77777777" w:rsidR="00320FF5" w:rsidRPr="00161EAF" w:rsidRDefault="00320FF5" w:rsidP="00EF29CC">
                  <w:pPr>
                    <w:ind w:right="-29"/>
                    <w:jc w:val="both"/>
                    <w:rPr>
                      <w:sz w:val="20"/>
                      <w:szCs w:val="20"/>
                      <w:lang w:val="en-US"/>
                    </w:rPr>
                  </w:pPr>
                  <w:r>
                    <w:rPr>
                      <w:sz w:val="20"/>
                      <w:szCs w:val="20"/>
                      <w:lang w:val="en-US"/>
                    </w:rPr>
                    <w:t>Melting point</w:t>
                  </w:r>
                </w:p>
              </w:tc>
              <w:tc>
                <w:tcPr>
                  <w:tcW w:w="5244" w:type="dxa"/>
                </w:tcPr>
                <w:p w14:paraId="06E02611" w14:textId="77777777" w:rsidR="00320FF5" w:rsidRPr="00161EAF" w:rsidRDefault="00320FF5" w:rsidP="00EF29CC">
                  <w:pPr>
                    <w:ind w:right="-29"/>
                    <w:jc w:val="both"/>
                    <w:rPr>
                      <w:sz w:val="20"/>
                      <w:szCs w:val="20"/>
                      <w:lang w:val="en-US"/>
                    </w:rPr>
                  </w:pPr>
                  <w:r w:rsidRPr="006C08A1">
                    <w:rPr>
                      <w:sz w:val="20"/>
                      <w:szCs w:val="20"/>
                      <w:lang w:val="en-US"/>
                    </w:rPr>
                    <w:t xml:space="preserve">About </w:t>
                  </w:r>
                  <w:r>
                    <w:rPr>
                      <w:sz w:val="20"/>
                      <w:szCs w:val="20"/>
                      <w:lang w:val="en-US"/>
                    </w:rPr>
                    <w:t>255</w:t>
                  </w:r>
                  <w:r w:rsidRPr="006C08A1">
                    <w:rPr>
                      <w:sz w:val="20"/>
                      <w:szCs w:val="20"/>
                      <w:lang w:val="en-US"/>
                    </w:rPr>
                    <w:t xml:space="preserve"> °C (with decomposition).</w:t>
                  </w:r>
                </w:p>
              </w:tc>
              <w:tc>
                <w:tcPr>
                  <w:tcW w:w="3177" w:type="dxa"/>
                  <w:vAlign w:val="center"/>
                </w:tcPr>
                <w:p w14:paraId="60211D89" w14:textId="77777777" w:rsidR="00320FF5" w:rsidRPr="00B3385E"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376EE8A" w14:textId="77777777" w:rsidTr="00EF29CC">
              <w:tc>
                <w:tcPr>
                  <w:tcW w:w="2005" w:type="dxa"/>
                  <w:vAlign w:val="center"/>
                </w:tcPr>
                <w:p w14:paraId="7BC540D0" w14:textId="77777777" w:rsidR="00320FF5" w:rsidRPr="00161EAF" w:rsidRDefault="00320FF5" w:rsidP="00EF29CC">
                  <w:pPr>
                    <w:ind w:right="-29"/>
                    <w:jc w:val="both"/>
                    <w:rPr>
                      <w:sz w:val="20"/>
                      <w:szCs w:val="20"/>
                      <w:lang w:val="en-US"/>
                    </w:rPr>
                  </w:pPr>
                  <w:r>
                    <w:rPr>
                      <w:sz w:val="20"/>
                      <w:szCs w:val="20"/>
                      <w:lang w:val="en-US"/>
                    </w:rPr>
                    <w:t>Identification 1</w:t>
                  </w:r>
                </w:p>
              </w:tc>
              <w:tc>
                <w:tcPr>
                  <w:tcW w:w="5244" w:type="dxa"/>
                </w:tcPr>
                <w:p w14:paraId="595462EC" w14:textId="77777777" w:rsidR="00320FF5" w:rsidRPr="00161EAF" w:rsidRDefault="00320FF5" w:rsidP="00EF29CC">
                  <w:pPr>
                    <w:ind w:right="-29"/>
                    <w:jc w:val="both"/>
                    <w:rPr>
                      <w:sz w:val="20"/>
                      <w:szCs w:val="20"/>
                      <w:lang w:val="en-US"/>
                    </w:rPr>
                  </w:pPr>
                  <w:r>
                    <w:rPr>
                      <w:sz w:val="20"/>
                      <w:szCs w:val="20"/>
                      <w:lang w:val="en-US"/>
                    </w:rPr>
                    <w:t>A</w:t>
                  </w:r>
                  <w:r w:rsidRPr="00C73A48">
                    <w:rPr>
                      <w:sz w:val="20"/>
                      <w:szCs w:val="20"/>
                      <w:lang w:val="en-US"/>
                    </w:rPr>
                    <w:t xml:space="preserve"> deep yellow color is produced gradually.</w:t>
                  </w:r>
                </w:p>
              </w:tc>
              <w:tc>
                <w:tcPr>
                  <w:tcW w:w="3177" w:type="dxa"/>
                  <w:vAlign w:val="center"/>
                </w:tcPr>
                <w:p w14:paraId="1563DF37" w14:textId="77777777" w:rsidR="00320FF5" w:rsidRPr="00161EAF" w:rsidRDefault="00320FF5" w:rsidP="00EF29CC">
                  <w:pPr>
                    <w:autoSpaceDE w:val="0"/>
                    <w:autoSpaceDN w:val="0"/>
                    <w:adjustRightInd w:val="0"/>
                    <w:jc w:val="both"/>
                    <w:rPr>
                      <w:sz w:val="20"/>
                      <w:szCs w:val="20"/>
                      <w:lang w:val="en-US"/>
                    </w:rPr>
                  </w:pPr>
                  <w:r>
                    <w:rPr>
                      <w:sz w:val="20"/>
                      <w:szCs w:val="20"/>
                      <w:lang w:val="en-US"/>
                    </w:rPr>
                    <w:t>None</w:t>
                  </w:r>
                </w:p>
              </w:tc>
            </w:tr>
            <w:tr w:rsidR="00320FF5" w:rsidRPr="00161EAF" w14:paraId="36503ECF" w14:textId="77777777" w:rsidTr="00EF29CC">
              <w:tc>
                <w:tcPr>
                  <w:tcW w:w="2005" w:type="dxa"/>
                  <w:vAlign w:val="center"/>
                </w:tcPr>
                <w:p w14:paraId="74A9E864" w14:textId="77777777" w:rsidR="00320FF5" w:rsidRPr="00161EAF" w:rsidRDefault="00320FF5" w:rsidP="00EF29CC">
                  <w:pPr>
                    <w:ind w:right="-29"/>
                    <w:jc w:val="both"/>
                    <w:rPr>
                      <w:sz w:val="20"/>
                      <w:szCs w:val="20"/>
                      <w:lang w:val="en-US"/>
                    </w:rPr>
                  </w:pPr>
                  <w:r>
                    <w:rPr>
                      <w:sz w:val="20"/>
                      <w:szCs w:val="20"/>
                      <w:lang w:val="en-US"/>
                    </w:rPr>
                    <w:t>Identification 2</w:t>
                  </w:r>
                </w:p>
              </w:tc>
              <w:tc>
                <w:tcPr>
                  <w:tcW w:w="5244" w:type="dxa"/>
                </w:tcPr>
                <w:p w14:paraId="35453060" w14:textId="77777777" w:rsidR="00320FF5" w:rsidRPr="00161EAF" w:rsidRDefault="00320FF5" w:rsidP="00EF29CC">
                  <w:pPr>
                    <w:ind w:right="-29"/>
                    <w:jc w:val="both"/>
                    <w:rPr>
                      <w:sz w:val="20"/>
                      <w:szCs w:val="20"/>
                      <w:lang w:val="en-US"/>
                    </w:rPr>
                  </w:pPr>
                  <w:r w:rsidRPr="00C73A48">
                    <w:rPr>
                      <w:sz w:val="20"/>
                      <w:szCs w:val="20"/>
                      <w:lang w:val="en-US"/>
                    </w:rPr>
                    <w:t xml:space="preserve">Responds to the Qualitative Tests </w:t>
                  </w:r>
                  <w:r w:rsidRPr="00C73A48">
                    <w:rPr>
                      <w:rFonts w:ascii="Cambria Math" w:hAnsi="Cambria Math" w:cs="Cambria Math"/>
                      <w:sz w:val="20"/>
                      <w:szCs w:val="20"/>
                      <w:lang w:val="en-US"/>
                    </w:rPr>
                    <w:t>〈</w:t>
                  </w:r>
                  <w:r w:rsidRPr="00C73A48">
                    <w:rPr>
                      <w:sz w:val="20"/>
                      <w:szCs w:val="20"/>
                      <w:lang w:val="en-US"/>
                    </w:rPr>
                    <w:t>1</w:t>
                  </w:r>
                  <w:r>
                    <w:rPr>
                      <w:sz w:val="20"/>
                      <w:szCs w:val="20"/>
                      <w:lang w:val="en-US"/>
                    </w:rPr>
                    <w:t>.09</w:t>
                  </w:r>
                  <w:r w:rsidRPr="00C73A48">
                    <w:rPr>
                      <w:rFonts w:ascii="Cambria Math" w:hAnsi="Cambria Math" w:cs="Cambria Math"/>
                      <w:sz w:val="20"/>
                      <w:szCs w:val="20"/>
                      <w:lang w:val="en-US"/>
                    </w:rPr>
                    <w:t>〉</w:t>
                  </w:r>
                  <w:r w:rsidRPr="00C73A48">
                    <w:rPr>
                      <w:sz w:val="20"/>
                      <w:szCs w:val="20"/>
                      <w:lang w:val="en-US"/>
                    </w:rPr>
                    <w:t xml:space="preserve"> for primary aromatic amines.</w:t>
                  </w:r>
                </w:p>
              </w:tc>
              <w:tc>
                <w:tcPr>
                  <w:tcW w:w="3177" w:type="dxa"/>
                  <w:vAlign w:val="center"/>
                </w:tcPr>
                <w:p w14:paraId="3A5DAA04"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5DEBD5CA" w14:textId="77777777" w:rsidTr="00EF29CC">
              <w:tc>
                <w:tcPr>
                  <w:tcW w:w="2005" w:type="dxa"/>
                  <w:vAlign w:val="center"/>
                </w:tcPr>
                <w:p w14:paraId="3F865F7E" w14:textId="77777777" w:rsidR="00320FF5" w:rsidRPr="00161EAF" w:rsidRDefault="00320FF5" w:rsidP="00EF29CC">
                  <w:pPr>
                    <w:ind w:right="-29"/>
                    <w:jc w:val="both"/>
                    <w:rPr>
                      <w:sz w:val="20"/>
                      <w:szCs w:val="20"/>
                      <w:lang w:val="en-US"/>
                    </w:rPr>
                  </w:pPr>
                  <w:r>
                    <w:rPr>
                      <w:sz w:val="20"/>
                      <w:szCs w:val="20"/>
                      <w:lang w:val="en-US"/>
                    </w:rPr>
                    <w:t>Identification 3</w:t>
                  </w:r>
                </w:p>
              </w:tc>
              <w:tc>
                <w:tcPr>
                  <w:tcW w:w="5244" w:type="dxa"/>
                </w:tcPr>
                <w:p w14:paraId="210A4BE1" w14:textId="77777777" w:rsidR="00320FF5" w:rsidRPr="00600B5F" w:rsidRDefault="00320FF5" w:rsidP="00EF29CC">
                  <w:pPr>
                    <w:ind w:right="-29"/>
                    <w:jc w:val="both"/>
                    <w:rPr>
                      <w:sz w:val="20"/>
                      <w:szCs w:val="20"/>
                      <w:lang w:val="en-US"/>
                    </w:rPr>
                  </w:pPr>
                  <w:r>
                    <w:rPr>
                      <w:sz w:val="20"/>
                      <w:szCs w:val="20"/>
                      <w:lang w:val="en-US"/>
                    </w:rPr>
                    <w:t>T</w:t>
                  </w:r>
                  <w:r w:rsidRPr="00C73A48">
                    <w:rPr>
                      <w:sz w:val="20"/>
                      <w:szCs w:val="20"/>
                      <w:lang w:val="en-US"/>
                    </w:rPr>
                    <w:t>he gas evolved darkens moistened lead (II) acetate paper.</w:t>
                  </w:r>
                </w:p>
              </w:tc>
              <w:tc>
                <w:tcPr>
                  <w:tcW w:w="3177" w:type="dxa"/>
                  <w:vAlign w:val="center"/>
                </w:tcPr>
                <w:p w14:paraId="230DA7D2"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59C90EA" w14:textId="77777777" w:rsidTr="00EF29CC">
              <w:tc>
                <w:tcPr>
                  <w:tcW w:w="2005" w:type="dxa"/>
                  <w:vAlign w:val="center"/>
                </w:tcPr>
                <w:p w14:paraId="3B75908F" w14:textId="77777777" w:rsidR="00320FF5" w:rsidRDefault="00320FF5" w:rsidP="00EF29CC">
                  <w:pPr>
                    <w:ind w:right="-29"/>
                    <w:jc w:val="both"/>
                    <w:rPr>
                      <w:sz w:val="20"/>
                      <w:szCs w:val="20"/>
                      <w:lang w:val="en-US"/>
                    </w:rPr>
                  </w:pPr>
                  <w:r w:rsidRPr="00C73A48">
                    <w:rPr>
                      <w:sz w:val="20"/>
                      <w:szCs w:val="20"/>
                      <w:lang w:val="en-US"/>
                    </w:rPr>
                    <w:lastRenderedPageBreak/>
                    <w:t>Clarity and color of solution</w:t>
                  </w:r>
                </w:p>
              </w:tc>
              <w:tc>
                <w:tcPr>
                  <w:tcW w:w="5244" w:type="dxa"/>
                  <w:vAlign w:val="center"/>
                </w:tcPr>
                <w:p w14:paraId="28378030" w14:textId="77777777" w:rsidR="00320FF5" w:rsidRPr="006C08A1" w:rsidRDefault="00320FF5" w:rsidP="00EF29CC">
                  <w:pPr>
                    <w:ind w:right="-29"/>
                    <w:rPr>
                      <w:sz w:val="20"/>
                      <w:szCs w:val="20"/>
                      <w:lang w:val="en-US"/>
                    </w:rPr>
                  </w:pPr>
                  <w:r>
                    <w:rPr>
                      <w:sz w:val="20"/>
                      <w:szCs w:val="20"/>
                      <w:lang w:val="en-US"/>
                    </w:rPr>
                    <w:t>T</w:t>
                  </w:r>
                  <w:r w:rsidRPr="00C73A48">
                    <w:rPr>
                      <w:sz w:val="20"/>
                      <w:szCs w:val="20"/>
                      <w:lang w:val="en-US"/>
                    </w:rPr>
                    <w:t>he solution is clear and colorless to pale yellow</w:t>
                  </w:r>
                </w:p>
              </w:tc>
              <w:tc>
                <w:tcPr>
                  <w:tcW w:w="3177" w:type="dxa"/>
                  <w:vAlign w:val="center"/>
                </w:tcPr>
                <w:p w14:paraId="743D7ACA"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ADD94C4" w14:textId="77777777" w:rsidTr="00EF29CC">
              <w:tc>
                <w:tcPr>
                  <w:tcW w:w="2005" w:type="dxa"/>
                  <w:shd w:val="clear" w:color="auto" w:fill="BFBFBF" w:themeFill="background1" w:themeFillShade="BF"/>
                </w:tcPr>
                <w:p w14:paraId="127052D4" w14:textId="77777777" w:rsidR="00320FF5"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7A263F31" w14:textId="77777777" w:rsidR="00320FF5" w:rsidRPr="006C08A1"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28533323"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08BC8E7F" w14:textId="77777777" w:rsidTr="00EF29CC">
              <w:tc>
                <w:tcPr>
                  <w:tcW w:w="2005" w:type="dxa"/>
                  <w:vAlign w:val="center"/>
                </w:tcPr>
                <w:p w14:paraId="41A0EEE2" w14:textId="77777777" w:rsidR="00320FF5" w:rsidRDefault="00320FF5" w:rsidP="00EF29CC">
                  <w:pPr>
                    <w:ind w:right="-29"/>
                    <w:rPr>
                      <w:sz w:val="20"/>
                      <w:szCs w:val="20"/>
                      <w:lang w:val="en-US"/>
                    </w:rPr>
                  </w:pPr>
                  <w:r>
                    <w:rPr>
                      <w:sz w:val="20"/>
                      <w:szCs w:val="20"/>
                      <w:lang w:val="en-US"/>
                    </w:rPr>
                    <w:t xml:space="preserve">Chloride </w:t>
                  </w:r>
                  <w:r w:rsidRPr="006C08A1">
                    <w:rPr>
                      <w:rFonts w:ascii="Cambria Math" w:hAnsi="Cambria Math" w:cs="Cambria Math"/>
                      <w:sz w:val="20"/>
                      <w:szCs w:val="20"/>
                      <w:lang w:val="en-US"/>
                    </w:rPr>
                    <w:t>〈</w:t>
                  </w:r>
                  <w:r w:rsidRPr="006C08A1">
                    <w:rPr>
                      <w:sz w:val="20"/>
                      <w:szCs w:val="20"/>
                      <w:lang w:val="en-US"/>
                    </w:rPr>
                    <w:t>1.0</w:t>
                  </w:r>
                  <w:r>
                    <w:rPr>
                      <w:sz w:val="20"/>
                      <w:szCs w:val="20"/>
                      <w:lang w:val="en-US"/>
                    </w:rPr>
                    <w:t>3</w:t>
                  </w:r>
                  <w:r w:rsidRPr="006C08A1">
                    <w:rPr>
                      <w:rFonts w:ascii="Cambria Math" w:hAnsi="Cambria Math" w:cs="Cambria Math"/>
                      <w:sz w:val="20"/>
                      <w:szCs w:val="20"/>
                      <w:lang w:val="en-US"/>
                    </w:rPr>
                    <w:t>〉</w:t>
                  </w:r>
                </w:p>
              </w:tc>
              <w:tc>
                <w:tcPr>
                  <w:tcW w:w="5244" w:type="dxa"/>
                </w:tcPr>
                <w:p w14:paraId="55F9191C" w14:textId="77777777" w:rsidR="00320FF5" w:rsidRPr="006C08A1" w:rsidRDefault="00320FF5" w:rsidP="00EF29CC">
                  <w:pPr>
                    <w:ind w:right="-29"/>
                    <w:jc w:val="both"/>
                    <w:rPr>
                      <w:sz w:val="20"/>
                      <w:szCs w:val="20"/>
                      <w:lang w:val="en-US"/>
                    </w:rPr>
                  </w:pPr>
                  <w:r w:rsidRPr="006C08A1">
                    <w:rPr>
                      <w:sz w:val="20"/>
                      <w:szCs w:val="20"/>
                      <w:lang w:val="en-US"/>
                    </w:rPr>
                    <w:t>Not more than 0.01</w:t>
                  </w:r>
                  <w:r>
                    <w:rPr>
                      <w:sz w:val="20"/>
                      <w:szCs w:val="20"/>
                      <w:lang w:val="en-US"/>
                    </w:rPr>
                    <w:t>4</w:t>
                  </w:r>
                  <w:r w:rsidRPr="006C08A1">
                    <w:rPr>
                      <w:sz w:val="20"/>
                      <w:szCs w:val="20"/>
                      <w:lang w:val="en-US"/>
                    </w:rPr>
                    <w:t xml:space="preserve"> %.</w:t>
                  </w:r>
                </w:p>
              </w:tc>
              <w:tc>
                <w:tcPr>
                  <w:tcW w:w="3177" w:type="dxa"/>
                  <w:vAlign w:val="center"/>
                </w:tcPr>
                <w:p w14:paraId="50452C2D"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4828A9D7" w14:textId="77777777" w:rsidTr="00EF29CC">
              <w:tc>
                <w:tcPr>
                  <w:tcW w:w="2005" w:type="dxa"/>
                  <w:vAlign w:val="center"/>
                </w:tcPr>
                <w:p w14:paraId="44B350F0" w14:textId="77777777" w:rsidR="00320FF5" w:rsidRPr="00161EAF" w:rsidRDefault="00320FF5" w:rsidP="00EF29CC">
                  <w:pPr>
                    <w:ind w:right="-29"/>
                    <w:rPr>
                      <w:sz w:val="20"/>
                      <w:szCs w:val="20"/>
                      <w:lang w:val="en-US"/>
                    </w:rPr>
                  </w:pPr>
                  <w:r>
                    <w:rPr>
                      <w:sz w:val="20"/>
                      <w:szCs w:val="20"/>
                      <w:lang w:val="en-US"/>
                    </w:rPr>
                    <w:t xml:space="preserve">Sulfate </w:t>
                  </w:r>
                  <w:r w:rsidRPr="006C08A1">
                    <w:rPr>
                      <w:rFonts w:ascii="Cambria Math" w:hAnsi="Cambria Math" w:cs="Cambria Math"/>
                      <w:sz w:val="20"/>
                      <w:szCs w:val="20"/>
                      <w:lang w:val="en-US"/>
                    </w:rPr>
                    <w:t>〈</w:t>
                  </w:r>
                  <w:r w:rsidRPr="006C08A1">
                    <w:rPr>
                      <w:sz w:val="20"/>
                      <w:szCs w:val="20"/>
                      <w:lang w:val="en-US"/>
                    </w:rPr>
                    <w:t>1.</w:t>
                  </w:r>
                  <w:r>
                    <w:rPr>
                      <w:sz w:val="20"/>
                      <w:szCs w:val="20"/>
                      <w:lang w:val="en-US"/>
                    </w:rPr>
                    <w:t>1</w:t>
                  </w:r>
                  <w:r w:rsidRPr="006C08A1">
                    <w:rPr>
                      <w:sz w:val="20"/>
                      <w:szCs w:val="20"/>
                      <w:lang w:val="en-US"/>
                    </w:rPr>
                    <w:t>4</w:t>
                  </w:r>
                  <w:r w:rsidRPr="006C08A1">
                    <w:rPr>
                      <w:rFonts w:ascii="Cambria Math" w:hAnsi="Cambria Math" w:cs="Cambria Math"/>
                      <w:sz w:val="20"/>
                      <w:szCs w:val="20"/>
                      <w:lang w:val="en-US"/>
                    </w:rPr>
                    <w:t>〉</w:t>
                  </w:r>
                </w:p>
              </w:tc>
              <w:tc>
                <w:tcPr>
                  <w:tcW w:w="5244" w:type="dxa"/>
                </w:tcPr>
                <w:p w14:paraId="2E34E6DF" w14:textId="77777777" w:rsidR="00320FF5" w:rsidRPr="00161EAF" w:rsidRDefault="00320FF5" w:rsidP="00EF29CC">
                  <w:pPr>
                    <w:ind w:right="-29"/>
                    <w:jc w:val="both"/>
                    <w:rPr>
                      <w:sz w:val="20"/>
                      <w:szCs w:val="20"/>
                      <w:lang w:val="en-US"/>
                    </w:rPr>
                  </w:pPr>
                  <w:r w:rsidRPr="006C08A1">
                    <w:rPr>
                      <w:sz w:val="20"/>
                      <w:szCs w:val="20"/>
                      <w:lang w:val="en-US"/>
                    </w:rPr>
                    <w:t>Not more than 0.0</w:t>
                  </w:r>
                  <w:r>
                    <w:rPr>
                      <w:sz w:val="20"/>
                      <w:szCs w:val="20"/>
                      <w:lang w:val="en-US"/>
                    </w:rPr>
                    <w:t>38</w:t>
                  </w:r>
                  <w:r w:rsidRPr="006C08A1">
                    <w:rPr>
                      <w:sz w:val="20"/>
                      <w:szCs w:val="20"/>
                      <w:lang w:val="en-US"/>
                    </w:rPr>
                    <w:t xml:space="preserve"> %.</w:t>
                  </w:r>
                </w:p>
              </w:tc>
              <w:tc>
                <w:tcPr>
                  <w:tcW w:w="3177" w:type="dxa"/>
                  <w:vAlign w:val="center"/>
                </w:tcPr>
                <w:p w14:paraId="3E89D121" w14:textId="77777777" w:rsidR="00320FF5" w:rsidRPr="00161EAF" w:rsidRDefault="00320FF5" w:rsidP="00EF29CC">
                  <w:pPr>
                    <w:ind w:right="-29"/>
                    <w:rPr>
                      <w:sz w:val="20"/>
                      <w:szCs w:val="20"/>
                      <w:lang w:val="en-US"/>
                    </w:rPr>
                  </w:pPr>
                  <w:r w:rsidRPr="00161EAF">
                    <w:rPr>
                      <w:sz w:val="20"/>
                      <w:szCs w:val="20"/>
                      <w:lang w:val="en-US"/>
                    </w:rPr>
                    <w:t>None</w:t>
                  </w:r>
                </w:p>
              </w:tc>
            </w:tr>
            <w:tr w:rsidR="00320FF5" w:rsidRPr="00161EAF" w14:paraId="22C83DFB" w14:textId="77777777" w:rsidTr="00EF29CC">
              <w:tc>
                <w:tcPr>
                  <w:tcW w:w="2005" w:type="dxa"/>
                  <w:vAlign w:val="center"/>
                </w:tcPr>
                <w:p w14:paraId="5B08888D" w14:textId="77777777" w:rsidR="00320FF5" w:rsidRPr="00161EAF" w:rsidRDefault="00320FF5" w:rsidP="00EF29CC">
                  <w:pPr>
                    <w:ind w:right="-29"/>
                    <w:rPr>
                      <w:sz w:val="20"/>
                      <w:szCs w:val="20"/>
                      <w:lang w:val="en-US"/>
                    </w:rPr>
                  </w:pPr>
                  <w:r>
                    <w:rPr>
                      <w:sz w:val="20"/>
                      <w:szCs w:val="20"/>
                      <w:lang w:val="en-US"/>
                    </w:rPr>
                    <w:t xml:space="preserve">Heavy metals </w:t>
                  </w:r>
                  <w:r w:rsidRPr="006C08A1">
                    <w:rPr>
                      <w:rFonts w:ascii="Cambria Math" w:hAnsi="Cambria Math" w:cs="Cambria Math"/>
                      <w:sz w:val="20"/>
                      <w:szCs w:val="20"/>
                      <w:lang w:val="en-US"/>
                    </w:rPr>
                    <w:t>〈</w:t>
                  </w:r>
                  <w:r w:rsidRPr="006C08A1">
                    <w:rPr>
                      <w:sz w:val="20"/>
                      <w:szCs w:val="20"/>
                      <w:lang w:val="en-US"/>
                    </w:rPr>
                    <w:t>1.07</w:t>
                  </w:r>
                  <w:r w:rsidRPr="006C08A1">
                    <w:rPr>
                      <w:rFonts w:ascii="Cambria Math" w:hAnsi="Cambria Math" w:cs="Cambria Math"/>
                      <w:sz w:val="20"/>
                      <w:szCs w:val="20"/>
                      <w:lang w:val="en-US"/>
                    </w:rPr>
                    <w:t>〉</w:t>
                  </w:r>
                </w:p>
              </w:tc>
              <w:tc>
                <w:tcPr>
                  <w:tcW w:w="5244" w:type="dxa"/>
                  <w:vAlign w:val="center"/>
                </w:tcPr>
                <w:p w14:paraId="716B7531" w14:textId="77777777" w:rsidR="00320FF5" w:rsidRPr="00161EAF" w:rsidRDefault="00320FF5" w:rsidP="00EF29CC">
                  <w:pPr>
                    <w:ind w:right="-29"/>
                    <w:jc w:val="both"/>
                    <w:rPr>
                      <w:sz w:val="20"/>
                      <w:szCs w:val="20"/>
                      <w:lang w:val="en-US"/>
                    </w:rPr>
                  </w:pPr>
                  <w:r>
                    <w:rPr>
                      <w:sz w:val="20"/>
                      <w:szCs w:val="20"/>
                      <w:lang w:val="en-US"/>
                    </w:rPr>
                    <w:t>Not more than 20 ppm.</w:t>
                  </w:r>
                </w:p>
              </w:tc>
              <w:tc>
                <w:tcPr>
                  <w:tcW w:w="3177" w:type="dxa"/>
                  <w:vAlign w:val="center"/>
                </w:tcPr>
                <w:p w14:paraId="427BCF3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10BD3A10" w14:textId="77777777" w:rsidTr="00EF29CC">
              <w:tc>
                <w:tcPr>
                  <w:tcW w:w="2005" w:type="dxa"/>
                  <w:vAlign w:val="center"/>
                </w:tcPr>
                <w:p w14:paraId="76FE7BFB" w14:textId="77777777" w:rsidR="00320FF5" w:rsidRDefault="00320FF5" w:rsidP="00EF29CC">
                  <w:pPr>
                    <w:ind w:right="-29"/>
                    <w:rPr>
                      <w:sz w:val="20"/>
                      <w:szCs w:val="20"/>
                      <w:lang w:val="en-US"/>
                    </w:rPr>
                  </w:pPr>
                  <w:r>
                    <w:rPr>
                      <w:sz w:val="20"/>
                      <w:szCs w:val="20"/>
                      <w:lang w:val="en-US"/>
                    </w:rPr>
                    <w:t>Silver-reducing agents</w:t>
                  </w:r>
                </w:p>
              </w:tc>
              <w:tc>
                <w:tcPr>
                  <w:tcW w:w="5244" w:type="dxa"/>
                </w:tcPr>
                <w:p w14:paraId="1BE7360F" w14:textId="77777777" w:rsidR="00320FF5" w:rsidRPr="00FA3C00" w:rsidRDefault="00320FF5" w:rsidP="00EF29CC">
                  <w:pPr>
                    <w:ind w:right="-29"/>
                    <w:jc w:val="both"/>
                    <w:rPr>
                      <w:sz w:val="20"/>
                      <w:szCs w:val="20"/>
                      <w:lang w:val="en-US"/>
                    </w:rPr>
                  </w:pPr>
                  <w:r w:rsidRPr="00C73A48">
                    <w:rPr>
                      <w:sz w:val="20"/>
                      <w:szCs w:val="20"/>
                      <w:lang w:val="en-US"/>
                    </w:rPr>
                    <w:t xml:space="preserve">Not less than 4.8 mL of 0.1 </w:t>
                  </w:r>
                  <w:proofErr w:type="spellStart"/>
                  <w:r w:rsidRPr="00C73A48">
                    <w:rPr>
                      <w:sz w:val="20"/>
                      <w:szCs w:val="20"/>
                      <w:lang w:val="en-US"/>
                    </w:rPr>
                    <w:t>mol</w:t>
                  </w:r>
                  <w:proofErr w:type="spellEnd"/>
                  <w:r w:rsidRPr="00C73A48">
                    <w:rPr>
                      <w:sz w:val="20"/>
                      <w:szCs w:val="20"/>
                      <w:lang w:val="en-US"/>
                    </w:rPr>
                    <w:t>/L ammonium thiocyanate VS is consumed</w:t>
                  </w:r>
                </w:p>
              </w:tc>
              <w:tc>
                <w:tcPr>
                  <w:tcW w:w="3177" w:type="dxa"/>
                  <w:vAlign w:val="center"/>
                </w:tcPr>
                <w:p w14:paraId="1011AA41" w14:textId="77777777" w:rsidR="00320FF5" w:rsidRPr="00161EAF" w:rsidRDefault="00320FF5" w:rsidP="00EF29CC">
                  <w:pPr>
                    <w:ind w:right="-29"/>
                    <w:rPr>
                      <w:sz w:val="20"/>
                      <w:szCs w:val="20"/>
                      <w:lang w:val="en-US"/>
                    </w:rPr>
                  </w:pPr>
                  <w:r>
                    <w:rPr>
                      <w:sz w:val="20"/>
                      <w:szCs w:val="20"/>
                      <w:lang w:val="en-US"/>
                    </w:rPr>
                    <w:t xml:space="preserve">Titration </w:t>
                  </w:r>
                  <w:r w:rsidRPr="00305802">
                    <w:rPr>
                      <w:rFonts w:ascii="Cambria Math" w:hAnsi="Cambria Math" w:cs="Cambria Math"/>
                      <w:sz w:val="20"/>
                      <w:szCs w:val="20"/>
                      <w:lang w:val="en-US"/>
                    </w:rPr>
                    <w:t>〈</w:t>
                  </w:r>
                  <w:r w:rsidRPr="00161EAF">
                    <w:rPr>
                      <w:sz w:val="20"/>
                      <w:szCs w:val="20"/>
                      <w:lang w:val="en-US"/>
                    </w:rPr>
                    <w:t>2</w:t>
                  </w:r>
                  <w:r>
                    <w:rPr>
                      <w:sz w:val="20"/>
                      <w:szCs w:val="20"/>
                      <w:lang w:val="en-US"/>
                    </w:rPr>
                    <w:t>.50</w:t>
                  </w:r>
                  <w:r w:rsidRPr="00305802">
                    <w:rPr>
                      <w:rFonts w:ascii="Cambria Math" w:hAnsi="Cambria Math" w:cs="Cambria Math"/>
                      <w:sz w:val="20"/>
                      <w:szCs w:val="20"/>
                      <w:lang w:val="en-US"/>
                    </w:rPr>
                    <w:t>〉</w:t>
                  </w:r>
                </w:p>
              </w:tc>
            </w:tr>
            <w:tr w:rsidR="00320FF5" w:rsidRPr="00161EAF" w14:paraId="692782CA" w14:textId="77777777" w:rsidTr="00EF29CC">
              <w:tc>
                <w:tcPr>
                  <w:tcW w:w="2005" w:type="dxa"/>
                  <w:vAlign w:val="center"/>
                </w:tcPr>
                <w:p w14:paraId="46691F00" w14:textId="77777777" w:rsidR="00320FF5" w:rsidRPr="00093312" w:rsidRDefault="00320FF5" w:rsidP="00EF29CC">
                  <w:pPr>
                    <w:ind w:right="-29"/>
                    <w:jc w:val="both"/>
                    <w:rPr>
                      <w:sz w:val="20"/>
                      <w:szCs w:val="20"/>
                      <w:lang w:val="en-US"/>
                    </w:rPr>
                  </w:pPr>
                  <w:r>
                    <w:rPr>
                      <w:sz w:val="20"/>
                      <w:szCs w:val="20"/>
                      <w:lang w:val="en-US"/>
                    </w:rPr>
                    <w:t>Loss on drying</w:t>
                  </w:r>
                  <w:r w:rsidRPr="00A977F5">
                    <w:rPr>
                      <w:sz w:val="20"/>
                      <w:szCs w:val="20"/>
                      <w:lang w:val="en-US"/>
                    </w:rPr>
                    <w:t xml:space="preserve"> (2.4</w:t>
                  </w:r>
                  <w:r>
                    <w:rPr>
                      <w:sz w:val="20"/>
                      <w:szCs w:val="20"/>
                      <w:lang w:val="en-US"/>
                    </w:rPr>
                    <w:t>1</w:t>
                  </w:r>
                  <w:r w:rsidRPr="00A977F5">
                    <w:rPr>
                      <w:sz w:val="20"/>
                      <w:szCs w:val="20"/>
                      <w:lang w:val="en-US"/>
                    </w:rPr>
                    <w:t>)</w:t>
                  </w:r>
                </w:p>
              </w:tc>
              <w:tc>
                <w:tcPr>
                  <w:tcW w:w="5244" w:type="dxa"/>
                  <w:vAlign w:val="center"/>
                </w:tcPr>
                <w:p w14:paraId="49D71CC4" w14:textId="77777777" w:rsidR="00320FF5" w:rsidRPr="00A977F5" w:rsidRDefault="00320FF5" w:rsidP="00EF29CC">
                  <w:pPr>
                    <w:ind w:right="-29"/>
                    <w:jc w:val="both"/>
                    <w:rPr>
                      <w:sz w:val="20"/>
                      <w:szCs w:val="20"/>
                      <w:lang w:val="en-US"/>
                    </w:rPr>
                  </w:pPr>
                  <w:r w:rsidRPr="00CB3ACA">
                    <w:rPr>
                      <w:sz w:val="20"/>
                      <w:szCs w:val="20"/>
                      <w:lang w:val="en-US"/>
                    </w:rPr>
                    <w:t xml:space="preserve">Not more than </w:t>
                  </w:r>
                  <w:r>
                    <w:rPr>
                      <w:sz w:val="20"/>
                      <w:szCs w:val="20"/>
                      <w:lang w:val="en-US"/>
                    </w:rPr>
                    <w:t>0.5</w:t>
                  </w:r>
                  <w:r w:rsidRPr="00CB3ACA">
                    <w:rPr>
                      <w:sz w:val="20"/>
                      <w:szCs w:val="20"/>
                      <w:lang w:val="en-US"/>
                    </w:rPr>
                    <w:t xml:space="preserve"> %.</w:t>
                  </w:r>
                </w:p>
              </w:tc>
              <w:tc>
                <w:tcPr>
                  <w:tcW w:w="3177" w:type="dxa"/>
                  <w:vAlign w:val="center"/>
                </w:tcPr>
                <w:p w14:paraId="5C7755E8" w14:textId="77777777" w:rsidR="00320FF5" w:rsidRPr="00A977F5" w:rsidRDefault="00320FF5" w:rsidP="00EF29CC">
                  <w:pPr>
                    <w:autoSpaceDE w:val="0"/>
                    <w:autoSpaceDN w:val="0"/>
                    <w:adjustRightInd w:val="0"/>
                    <w:jc w:val="both"/>
                    <w:rPr>
                      <w:sz w:val="20"/>
                      <w:szCs w:val="20"/>
                      <w:lang w:val="en-US"/>
                    </w:rPr>
                  </w:pPr>
                  <w:r>
                    <w:rPr>
                      <w:sz w:val="20"/>
                      <w:szCs w:val="20"/>
                      <w:lang w:val="en-US"/>
                    </w:rPr>
                    <w:t xml:space="preserve">Determined on 0.5 </w:t>
                  </w:r>
                  <w:r w:rsidRPr="001F0C87">
                    <w:rPr>
                      <w:sz w:val="20"/>
                      <w:szCs w:val="20"/>
                      <w:lang w:val="en-US"/>
                    </w:rPr>
                    <w:t>g, 105</w:t>
                  </w:r>
                  <w:r>
                    <w:rPr>
                      <w:sz w:val="20"/>
                      <w:szCs w:val="20"/>
                      <w:lang w:val="en-US"/>
                    </w:rPr>
                    <w:t xml:space="preserve"> °</w:t>
                  </w:r>
                  <w:r w:rsidRPr="001F0C87">
                    <w:rPr>
                      <w:sz w:val="20"/>
                      <w:szCs w:val="20"/>
                      <w:lang w:val="en-US"/>
                    </w:rPr>
                    <w:t xml:space="preserve">C, </w:t>
                  </w:r>
                  <w:r>
                    <w:rPr>
                      <w:sz w:val="20"/>
                      <w:szCs w:val="20"/>
                      <w:lang w:val="en-US"/>
                    </w:rPr>
                    <w:t>3</w:t>
                  </w:r>
                  <w:r w:rsidRPr="001F0C87">
                    <w:rPr>
                      <w:sz w:val="20"/>
                      <w:szCs w:val="20"/>
                      <w:lang w:val="en-US"/>
                    </w:rPr>
                    <w:t xml:space="preserve"> hours</w:t>
                  </w:r>
                  <w:r>
                    <w:rPr>
                      <w:sz w:val="20"/>
                      <w:szCs w:val="20"/>
                      <w:lang w:val="en-US"/>
                    </w:rPr>
                    <w:t>.</w:t>
                  </w:r>
                </w:p>
              </w:tc>
            </w:tr>
            <w:tr w:rsidR="00320FF5" w:rsidRPr="00161EAF" w14:paraId="7DE1C915" w14:textId="77777777" w:rsidTr="00EF29CC">
              <w:tc>
                <w:tcPr>
                  <w:tcW w:w="2005" w:type="dxa"/>
                  <w:vAlign w:val="center"/>
                </w:tcPr>
                <w:p w14:paraId="2BD17399" w14:textId="77777777" w:rsidR="00320FF5" w:rsidRDefault="00320FF5" w:rsidP="00EF29CC">
                  <w:pPr>
                    <w:ind w:right="-29"/>
                    <w:jc w:val="both"/>
                    <w:rPr>
                      <w:sz w:val="20"/>
                      <w:szCs w:val="20"/>
                      <w:lang w:val="en-US"/>
                    </w:rPr>
                  </w:pPr>
                  <w:r w:rsidRPr="00CB3ACA">
                    <w:rPr>
                      <w:sz w:val="20"/>
                      <w:szCs w:val="20"/>
                      <w:lang w:val="en-US"/>
                    </w:rPr>
                    <w:t xml:space="preserve">Residue on ignition </w:t>
                  </w:r>
                  <w:r w:rsidRPr="00A977F5">
                    <w:rPr>
                      <w:sz w:val="20"/>
                      <w:szCs w:val="20"/>
                      <w:lang w:val="en-US"/>
                    </w:rPr>
                    <w:t>(2.4</w:t>
                  </w:r>
                  <w:r>
                    <w:rPr>
                      <w:sz w:val="20"/>
                      <w:szCs w:val="20"/>
                      <w:lang w:val="en-US"/>
                    </w:rPr>
                    <w:t>4</w:t>
                  </w:r>
                  <w:r w:rsidRPr="00A977F5">
                    <w:rPr>
                      <w:sz w:val="20"/>
                      <w:szCs w:val="20"/>
                      <w:lang w:val="en-US"/>
                    </w:rPr>
                    <w:t>)</w:t>
                  </w:r>
                </w:p>
              </w:tc>
              <w:tc>
                <w:tcPr>
                  <w:tcW w:w="5244" w:type="dxa"/>
                  <w:vAlign w:val="center"/>
                </w:tcPr>
                <w:p w14:paraId="1D4C83DC" w14:textId="77777777" w:rsidR="00320FF5" w:rsidRPr="00CB3ACA" w:rsidRDefault="00320FF5" w:rsidP="00EF29CC">
                  <w:pPr>
                    <w:ind w:right="-29"/>
                    <w:jc w:val="both"/>
                    <w:rPr>
                      <w:sz w:val="20"/>
                      <w:szCs w:val="20"/>
                      <w:lang w:val="en-US"/>
                    </w:rPr>
                  </w:pPr>
                  <w:r w:rsidRPr="00CB3ACA">
                    <w:rPr>
                      <w:sz w:val="20"/>
                      <w:szCs w:val="20"/>
                      <w:lang w:val="en-US"/>
                    </w:rPr>
                    <w:t xml:space="preserve">Not more than 0.1 %. </w:t>
                  </w:r>
                </w:p>
              </w:tc>
              <w:tc>
                <w:tcPr>
                  <w:tcW w:w="3177" w:type="dxa"/>
                  <w:vAlign w:val="center"/>
                </w:tcPr>
                <w:p w14:paraId="1B6B4925" w14:textId="77777777" w:rsidR="00320FF5" w:rsidRPr="001F0C87" w:rsidRDefault="00320FF5" w:rsidP="00EF29CC">
                  <w:pPr>
                    <w:autoSpaceDE w:val="0"/>
                    <w:autoSpaceDN w:val="0"/>
                    <w:adjustRightInd w:val="0"/>
                    <w:jc w:val="both"/>
                    <w:rPr>
                      <w:sz w:val="20"/>
                      <w:szCs w:val="20"/>
                      <w:lang w:val="en-US"/>
                    </w:rPr>
                  </w:pPr>
                  <w:r>
                    <w:rPr>
                      <w:sz w:val="20"/>
                      <w:szCs w:val="20"/>
                      <w:lang w:val="en-US"/>
                    </w:rPr>
                    <w:t>Determined on 0.5 g.</w:t>
                  </w:r>
                </w:p>
              </w:tc>
            </w:tr>
            <w:tr w:rsidR="00320FF5" w:rsidRPr="00161EAF" w14:paraId="6DF944E7" w14:textId="77777777" w:rsidTr="00EF29CC">
              <w:tc>
                <w:tcPr>
                  <w:tcW w:w="2005" w:type="dxa"/>
                  <w:vAlign w:val="center"/>
                </w:tcPr>
                <w:p w14:paraId="59EC371E" w14:textId="77777777" w:rsidR="00320FF5" w:rsidRPr="00A977F5" w:rsidRDefault="00320FF5" w:rsidP="00EF29CC">
                  <w:pPr>
                    <w:ind w:right="-29"/>
                    <w:jc w:val="both"/>
                    <w:rPr>
                      <w:sz w:val="20"/>
                      <w:szCs w:val="20"/>
                      <w:lang w:val="en-US"/>
                    </w:rPr>
                  </w:pPr>
                  <w:r>
                    <w:rPr>
                      <w:sz w:val="20"/>
                      <w:szCs w:val="20"/>
                      <w:lang w:val="en-US"/>
                    </w:rPr>
                    <w:t>Assay</w:t>
                  </w:r>
                </w:p>
              </w:tc>
              <w:tc>
                <w:tcPr>
                  <w:tcW w:w="5244" w:type="dxa"/>
                  <w:vAlign w:val="center"/>
                </w:tcPr>
                <w:p w14:paraId="560B69EA" w14:textId="77777777" w:rsidR="00320FF5" w:rsidRPr="00A977F5" w:rsidRDefault="00320FF5" w:rsidP="00EF29CC">
                  <w:pPr>
                    <w:ind w:right="-29"/>
                    <w:jc w:val="both"/>
                    <w:rPr>
                      <w:sz w:val="20"/>
                      <w:szCs w:val="20"/>
                      <w:lang w:val="en-US"/>
                    </w:rPr>
                  </w:pPr>
                  <w:r w:rsidRPr="00C73A48">
                    <w:rPr>
                      <w:sz w:val="20"/>
                      <w:szCs w:val="20"/>
                      <w:lang w:val="en-US"/>
                    </w:rPr>
                    <w:t>Not less than 98.0 % and not more than 102.0 % of acetazolamide (C4H6N4O3S2), calculated on the dried basis.</w:t>
                  </w:r>
                </w:p>
              </w:tc>
              <w:tc>
                <w:tcPr>
                  <w:tcW w:w="3177" w:type="dxa"/>
                  <w:vAlign w:val="center"/>
                </w:tcPr>
                <w:p w14:paraId="0EEB250E" w14:textId="77777777" w:rsidR="00320FF5" w:rsidRPr="00A977F5" w:rsidRDefault="00320FF5" w:rsidP="00EF29CC">
                  <w:pPr>
                    <w:autoSpaceDE w:val="0"/>
                    <w:autoSpaceDN w:val="0"/>
                    <w:adjustRightInd w:val="0"/>
                    <w:rPr>
                      <w:sz w:val="20"/>
                      <w:szCs w:val="20"/>
                      <w:lang w:val="en-US"/>
                    </w:rPr>
                  </w:pPr>
                  <w:r>
                    <w:rPr>
                      <w:sz w:val="20"/>
                      <w:szCs w:val="20"/>
                      <w:lang w:val="en-US"/>
                    </w:rPr>
                    <w:t xml:space="preserve">Ultraviolet-visible Spectrometry </w:t>
                  </w:r>
                  <w:r w:rsidRPr="00305802">
                    <w:rPr>
                      <w:rFonts w:ascii="Cambria Math" w:hAnsi="Cambria Math" w:cs="Cambria Math"/>
                      <w:sz w:val="20"/>
                      <w:szCs w:val="20"/>
                      <w:lang w:val="en-US"/>
                    </w:rPr>
                    <w:t>〈</w:t>
                  </w:r>
                  <w:r w:rsidRPr="00161EAF">
                    <w:rPr>
                      <w:sz w:val="20"/>
                      <w:szCs w:val="20"/>
                      <w:lang w:val="en-US"/>
                    </w:rPr>
                    <w:t>2</w:t>
                  </w:r>
                  <w:r>
                    <w:rPr>
                      <w:sz w:val="20"/>
                      <w:szCs w:val="20"/>
                      <w:lang w:val="en-US"/>
                    </w:rPr>
                    <w:t>.24</w:t>
                  </w:r>
                  <w:r w:rsidRPr="00305802">
                    <w:rPr>
                      <w:rFonts w:ascii="Cambria Math" w:hAnsi="Cambria Math" w:cs="Cambria Math"/>
                      <w:sz w:val="20"/>
                      <w:szCs w:val="20"/>
                      <w:lang w:val="en-US"/>
                    </w:rPr>
                    <w:t>〉</w:t>
                  </w:r>
                </w:p>
              </w:tc>
            </w:tr>
          </w:tbl>
          <w:p w14:paraId="0ED54250" w14:textId="77777777" w:rsidR="00320FF5" w:rsidRDefault="00320FF5" w:rsidP="00EF29CC">
            <w:pPr>
              <w:ind w:right="-29"/>
              <w:rPr>
                <w:sz w:val="20"/>
                <w:szCs w:val="20"/>
                <w:lang w:val="en-US"/>
              </w:rPr>
            </w:pPr>
          </w:p>
          <w:p w14:paraId="265DBC39" w14:textId="77777777" w:rsidR="00320FF5" w:rsidRDefault="00320FF5" w:rsidP="00320FF5">
            <w:pPr>
              <w:pStyle w:val="Prrafodelista"/>
              <w:numPr>
                <w:ilvl w:val="0"/>
                <w:numId w:val="15"/>
              </w:numPr>
              <w:ind w:right="-29"/>
              <w:rPr>
                <w:b/>
                <w:bCs/>
                <w:sz w:val="20"/>
                <w:szCs w:val="20"/>
                <w:lang w:val="en-US"/>
              </w:rPr>
            </w:pPr>
            <w:r w:rsidRPr="00127351">
              <w:rPr>
                <w:b/>
                <w:bCs/>
                <w:sz w:val="20"/>
                <w:szCs w:val="20"/>
                <w:lang w:val="en-US"/>
              </w:rPr>
              <w:t>Drug product monographs</w:t>
            </w:r>
          </w:p>
          <w:p w14:paraId="750AA348"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55555039" w14:textId="77777777" w:rsidTr="00EF29CC">
              <w:tc>
                <w:tcPr>
                  <w:tcW w:w="10426" w:type="dxa"/>
                  <w:gridSpan w:val="3"/>
                  <w:shd w:val="clear" w:color="auto" w:fill="D9D9D9" w:themeFill="background1" w:themeFillShade="D9"/>
                </w:tcPr>
                <w:p w14:paraId="3426F36C" w14:textId="77777777" w:rsidR="00320FF5" w:rsidRPr="00161EAF" w:rsidRDefault="00320FF5" w:rsidP="00EF29CC">
                  <w:pPr>
                    <w:ind w:right="-29"/>
                    <w:jc w:val="center"/>
                    <w:rPr>
                      <w:b/>
                      <w:bCs/>
                      <w:sz w:val="20"/>
                      <w:szCs w:val="20"/>
                      <w:lang w:val="en-US"/>
                    </w:rPr>
                  </w:pPr>
                  <w:proofErr w:type="spellStart"/>
                  <w:r w:rsidRPr="00161EAF">
                    <w:rPr>
                      <w:b/>
                      <w:bCs/>
                      <w:sz w:val="20"/>
                      <w:szCs w:val="20"/>
                      <w:lang w:val="en-US"/>
                    </w:rPr>
                    <w:t>Dronabinol</w:t>
                  </w:r>
                  <w:proofErr w:type="spellEnd"/>
                  <w:r>
                    <w:rPr>
                      <w:b/>
                      <w:bCs/>
                      <w:sz w:val="20"/>
                      <w:szCs w:val="20"/>
                      <w:lang w:val="en-US"/>
                    </w:rPr>
                    <w:t xml:space="preserve">, capsules </w:t>
                  </w:r>
                  <w:r w:rsidRPr="00161EAF">
                    <w:rPr>
                      <w:b/>
                      <w:bCs/>
                      <w:sz w:val="20"/>
                      <w:szCs w:val="20"/>
                      <w:lang w:val="en-US"/>
                    </w:rPr>
                    <w:t>USP monograph</w:t>
                  </w:r>
                  <w:r>
                    <w:rPr>
                      <w:b/>
                      <w:bCs/>
                      <w:sz w:val="20"/>
                      <w:szCs w:val="20"/>
                      <w:lang w:val="en-US"/>
                    </w:rPr>
                    <w:t xml:space="preserve"> [26]</w:t>
                  </w:r>
                </w:p>
              </w:tc>
            </w:tr>
            <w:tr w:rsidR="00320FF5" w:rsidRPr="00161EAF" w14:paraId="7F5401F2" w14:textId="77777777" w:rsidTr="00EF29CC">
              <w:tc>
                <w:tcPr>
                  <w:tcW w:w="2005" w:type="dxa"/>
                  <w:shd w:val="clear" w:color="auto" w:fill="D9D9D9" w:themeFill="background1" w:themeFillShade="D9"/>
                </w:tcPr>
                <w:p w14:paraId="44F37A51"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4BA84693"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11A84461"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6896F3F8" w14:textId="77777777" w:rsidTr="00EF29CC">
              <w:tc>
                <w:tcPr>
                  <w:tcW w:w="2005" w:type="dxa"/>
                  <w:vAlign w:val="center"/>
                </w:tcPr>
                <w:p w14:paraId="54DB9068" w14:textId="77777777" w:rsidR="00320FF5" w:rsidRPr="00161EAF" w:rsidRDefault="00320FF5" w:rsidP="00EF29CC">
                  <w:pPr>
                    <w:ind w:right="-29"/>
                    <w:rPr>
                      <w:sz w:val="20"/>
                      <w:szCs w:val="20"/>
                      <w:lang w:val="en-US"/>
                    </w:rPr>
                  </w:pPr>
                  <w:r w:rsidRPr="00161EAF">
                    <w:rPr>
                      <w:sz w:val="20"/>
                      <w:szCs w:val="20"/>
                      <w:lang w:val="en-US"/>
                    </w:rPr>
                    <w:t>Identification</w:t>
                  </w:r>
                </w:p>
              </w:tc>
              <w:tc>
                <w:tcPr>
                  <w:tcW w:w="5244" w:type="dxa"/>
                </w:tcPr>
                <w:p w14:paraId="063FCA6A" w14:textId="77777777" w:rsidR="00320FF5" w:rsidRPr="00161EAF" w:rsidRDefault="00320FF5" w:rsidP="00EF29CC">
                  <w:pPr>
                    <w:ind w:right="-29"/>
                    <w:jc w:val="both"/>
                    <w:rPr>
                      <w:sz w:val="20"/>
                      <w:szCs w:val="20"/>
                      <w:lang w:val="en-US"/>
                    </w:rPr>
                  </w:pPr>
                  <w:r w:rsidRPr="00D1640D">
                    <w:rPr>
                      <w:sz w:val="20"/>
                      <w:szCs w:val="20"/>
                      <w:lang w:val="en-US"/>
                    </w:rPr>
                    <w:t>The retention time of the major peak of the </w:t>
                  </w:r>
                  <w:r w:rsidRPr="00D1640D">
                    <w:rPr>
                      <w:i/>
                      <w:iCs/>
                      <w:sz w:val="20"/>
                      <w:szCs w:val="20"/>
                      <w:lang w:val="en-US"/>
                    </w:rPr>
                    <w:t xml:space="preserve">Sample </w:t>
                  </w:r>
                  <w:r>
                    <w:rPr>
                      <w:i/>
                      <w:iCs/>
                      <w:sz w:val="20"/>
                      <w:szCs w:val="20"/>
                      <w:lang w:val="en-US"/>
                    </w:rPr>
                    <w:t>s</w:t>
                  </w:r>
                  <w:r w:rsidRPr="00D1640D">
                    <w:rPr>
                      <w:i/>
                      <w:iCs/>
                      <w:sz w:val="20"/>
                      <w:szCs w:val="20"/>
                      <w:lang w:val="en-US"/>
                    </w:rPr>
                    <w:t>olution</w:t>
                  </w:r>
                  <w:r w:rsidRPr="00D1640D">
                    <w:rPr>
                      <w:sz w:val="20"/>
                      <w:szCs w:val="20"/>
                      <w:lang w:val="en-US"/>
                    </w:rPr>
                    <w:t> corresponds to that of the </w:t>
                  </w:r>
                  <w:r w:rsidRPr="00D1640D">
                    <w:rPr>
                      <w:i/>
                      <w:iCs/>
                      <w:sz w:val="20"/>
                      <w:szCs w:val="20"/>
                      <w:lang w:val="en-US"/>
                    </w:rPr>
                    <w:t>Standard solution</w:t>
                  </w:r>
                  <w:r w:rsidRPr="00D1640D">
                    <w:rPr>
                      <w:sz w:val="20"/>
                      <w:szCs w:val="20"/>
                      <w:lang w:val="en-US"/>
                    </w:rPr>
                    <w:t>, as obtained in the </w:t>
                  </w:r>
                  <w:r w:rsidRPr="00D1640D">
                    <w:rPr>
                      <w:i/>
                      <w:iCs/>
                      <w:sz w:val="20"/>
                      <w:szCs w:val="20"/>
                      <w:lang w:val="en-US"/>
                    </w:rPr>
                    <w:t>Assay.</w:t>
                  </w:r>
                </w:p>
              </w:tc>
              <w:tc>
                <w:tcPr>
                  <w:tcW w:w="3177" w:type="dxa"/>
                  <w:vAlign w:val="center"/>
                </w:tcPr>
                <w:p w14:paraId="5844F5CF"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11051C05" w14:textId="77777777" w:rsidTr="00EF29CC">
              <w:tc>
                <w:tcPr>
                  <w:tcW w:w="2005" w:type="dxa"/>
                  <w:vAlign w:val="center"/>
                </w:tcPr>
                <w:p w14:paraId="021A4EE8" w14:textId="77777777" w:rsidR="00320FF5" w:rsidRPr="00161EAF" w:rsidRDefault="00320FF5" w:rsidP="00EF29CC">
                  <w:pPr>
                    <w:ind w:right="-29"/>
                    <w:rPr>
                      <w:sz w:val="20"/>
                      <w:szCs w:val="20"/>
                      <w:lang w:val="en-US"/>
                    </w:rPr>
                  </w:pPr>
                  <w:r>
                    <w:rPr>
                      <w:sz w:val="20"/>
                      <w:szCs w:val="20"/>
                      <w:lang w:val="en-US"/>
                    </w:rPr>
                    <w:t>Assay</w:t>
                  </w:r>
                </w:p>
              </w:tc>
              <w:tc>
                <w:tcPr>
                  <w:tcW w:w="5244" w:type="dxa"/>
                  <w:vAlign w:val="center"/>
                </w:tcPr>
                <w:p w14:paraId="4651DDA4" w14:textId="77777777" w:rsidR="00320FF5" w:rsidRPr="00161EAF" w:rsidRDefault="00320FF5" w:rsidP="00EF29CC">
                  <w:pPr>
                    <w:ind w:right="-29"/>
                    <w:rPr>
                      <w:sz w:val="20"/>
                      <w:szCs w:val="20"/>
                      <w:lang w:val="en-US"/>
                    </w:rPr>
                  </w:pPr>
                  <w:r w:rsidRPr="00161EAF">
                    <w:rPr>
                      <w:sz w:val="20"/>
                      <w:szCs w:val="20"/>
                      <w:lang w:val="en-US"/>
                    </w:rPr>
                    <w:t xml:space="preserve">Not less than </w:t>
                  </w:r>
                  <w:r>
                    <w:rPr>
                      <w:sz w:val="20"/>
                      <w:szCs w:val="20"/>
                      <w:lang w:val="en-US"/>
                    </w:rPr>
                    <w:t xml:space="preserve">90.0 % and not more than 110.0 % of the labeled amount of </w:t>
                  </w:r>
                  <w:proofErr w:type="spellStart"/>
                  <w:r>
                    <w:rPr>
                      <w:sz w:val="20"/>
                      <w:szCs w:val="20"/>
                      <w:lang w:val="en-US"/>
                    </w:rPr>
                    <w:t>dronabinol</w:t>
                  </w:r>
                  <w:proofErr w:type="spellEnd"/>
                  <w:r>
                    <w:rPr>
                      <w:sz w:val="20"/>
                      <w:szCs w:val="20"/>
                      <w:lang w:val="en-US"/>
                    </w:rPr>
                    <w:t xml:space="preserve"> (</w:t>
                  </w:r>
                  <w:r w:rsidRPr="00161EAF">
                    <w:rPr>
                      <w:sz w:val="20"/>
                      <w:szCs w:val="20"/>
                      <w:lang w:val="en-US"/>
                    </w:rPr>
                    <w:t>C</w:t>
                  </w:r>
                  <w:r w:rsidRPr="00161EAF">
                    <w:rPr>
                      <w:vertAlign w:val="subscript"/>
                      <w:lang w:val="en-US"/>
                    </w:rPr>
                    <w:t>21</w:t>
                  </w:r>
                  <w:r w:rsidRPr="00161EAF">
                    <w:rPr>
                      <w:sz w:val="20"/>
                      <w:szCs w:val="20"/>
                      <w:lang w:val="en-US"/>
                    </w:rPr>
                    <w:t>H</w:t>
                  </w:r>
                  <w:r w:rsidRPr="00161EAF">
                    <w:rPr>
                      <w:vertAlign w:val="subscript"/>
                      <w:lang w:val="en-US"/>
                    </w:rPr>
                    <w:t>30</w:t>
                  </w:r>
                  <w:r w:rsidRPr="00161EAF">
                    <w:rPr>
                      <w:sz w:val="20"/>
                      <w:szCs w:val="20"/>
                      <w:lang w:val="en-US"/>
                    </w:rPr>
                    <w:t>O</w:t>
                  </w:r>
                  <w:r w:rsidRPr="00161EAF">
                    <w:rPr>
                      <w:vertAlign w:val="subscript"/>
                      <w:lang w:val="en-US"/>
                    </w:rPr>
                    <w:t>2</w:t>
                  </w:r>
                  <w:r>
                    <w:rPr>
                      <w:sz w:val="20"/>
                      <w:szCs w:val="20"/>
                      <w:lang w:val="en-US"/>
                    </w:rPr>
                    <w:t>).</w:t>
                  </w:r>
                </w:p>
              </w:tc>
              <w:tc>
                <w:tcPr>
                  <w:tcW w:w="3177" w:type="dxa"/>
                  <w:vAlign w:val="center"/>
                </w:tcPr>
                <w:p w14:paraId="4DB0C1BC"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683DF602" w14:textId="77777777" w:rsidTr="00EF29CC">
              <w:tc>
                <w:tcPr>
                  <w:tcW w:w="2005" w:type="dxa"/>
                  <w:vAlign w:val="center"/>
                </w:tcPr>
                <w:p w14:paraId="0C10B3AD"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tcPr>
                <w:p w14:paraId="77C9AEBD" w14:textId="77777777" w:rsidR="00320FF5" w:rsidRPr="00161EAF" w:rsidRDefault="00320FF5" w:rsidP="00EF29CC">
                  <w:pPr>
                    <w:ind w:right="-29"/>
                    <w:jc w:val="both"/>
                    <w:rPr>
                      <w:sz w:val="20"/>
                      <w:szCs w:val="20"/>
                      <w:lang w:val="en-US"/>
                    </w:rPr>
                  </w:pPr>
                  <w:r w:rsidRPr="006B7498">
                    <w:rPr>
                      <w:sz w:val="20"/>
                      <w:szCs w:val="20"/>
                      <w:lang w:val="en-US"/>
                    </w:rPr>
                    <w:t xml:space="preserve">The requirements are met if all of the </w:t>
                  </w:r>
                  <w:r>
                    <w:rPr>
                      <w:sz w:val="20"/>
                      <w:szCs w:val="20"/>
                      <w:lang w:val="en-US"/>
                    </w:rPr>
                    <w:t>c</w:t>
                  </w:r>
                  <w:r w:rsidRPr="006B7498">
                    <w:rPr>
                      <w:sz w:val="20"/>
                      <w:szCs w:val="20"/>
                      <w:lang w:val="en-US"/>
                    </w:rPr>
                    <w:t xml:space="preserve">apsules tested rupture in NMT 15 min. If 1 or 2 of the </w:t>
                  </w:r>
                  <w:r>
                    <w:rPr>
                      <w:sz w:val="20"/>
                      <w:szCs w:val="20"/>
                      <w:lang w:val="en-US"/>
                    </w:rPr>
                    <w:t>c</w:t>
                  </w:r>
                  <w:r w:rsidRPr="006B7498">
                    <w:rPr>
                      <w:sz w:val="20"/>
                      <w:szCs w:val="20"/>
                      <w:lang w:val="en-US"/>
                    </w:rPr>
                    <w:t xml:space="preserve">apsules rupture in NLT 15 but NMT 30 min, repeat the test on 12 additional Capsules. NMT 2 of the total of 18 </w:t>
                  </w:r>
                  <w:r>
                    <w:rPr>
                      <w:sz w:val="20"/>
                      <w:szCs w:val="20"/>
                      <w:lang w:val="en-US"/>
                    </w:rPr>
                    <w:t>c</w:t>
                  </w:r>
                  <w:r w:rsidRPr="006B7498">
                    <w:rPr>
                      <w:sz w:val="20"/>
                      <w:szCs w:val="20"/>
                      <w:lang w:val="en-US"/>
                    </w:rPr>
                    <w:t>apsules tested rupture in NLT 15 min but NMT 30 min.</w:t>
                  </w:r>
                </w:p>
              </w:tc>
              <w:tc>
                <w:tcPr>
                  <w:tcW w:w="3177" w:type="dxa"/>
                  <w:vAlign w:val="center"/>
                </w:tcPr>
                <w:p w14:paraId="0F418006" w14:textId="77777777" w:rsidR="00320FF5" w:rsidRDefault="00320FF5" w:rsidP="00EF29CC">
                  <w:pPr>
                    <w:ind w:right="-29"/>
                    <w:rPr>
                      <w:sz w:val="20"/>
                      <w:szCs w:val="20"/>
                      <w:lang w:val="en-US"/>
                    </w:rPr>
                  </w:pPr>
                  <w:r>
                    <w:rPr>
                      <w:sz w:val="20"/>
                      <w:szCs w:val="20"/>
                      <w:lang w:val="en-US"/>
                    </w:rPr>
                    <w:t>Medium: Water</w:t>
                  </w:r>
                </w:p>
                <w:p w14:paraId="5ED9274A" w14:textId="77777777" w:rsidR="00320FF5" w:rsidRDefault="00320FF5" w:rsidP="00EF29CC">
                  <w:pPr>
                    <w:ind w:right="-29"/>
                    <w:rPr>
                      <w:sz w:val="20"/>
                      <w:szCs w:val="20"/>
                      <w:lang w:val="en-US"/>
                    </w:rPr>
                  </w:pPr>
                  <w:r>
                    <w:rPr>
                      <w:sz w:val="20"/>
                      <w:szCs w:val="20"/>
                      <w:lang w:val="en-US"/>
                    </w:rPr>
                    <w:t>Volume: 500 mL</w:t>
                  </w:r>
                </w:p>
                <w:p w14:paraId="4BC53C2A" w14:textId="77777777" w:rsidR="00320FF5" w:rsidRDefault="00320FF5" w:rsidP="00EF29CC">
                  <w:pPr>
                    <w:ind w:right="-29"/>
                    <w:rPr>
                      <w:sz w:val="20"/>
                      <w:szCs w:val="20"/>
                      <w:lang w:val="en-US"/>
                    </w:rPr>
                  </w:pPr>
                  <w:r>
                    <w:rPr>
                      <w:sz w:val="20"/>
                      <w:szCs w:val="20"/>
                      <w:lang w:val="en-US"/>
                    </w:rPr>
                    <w:t>Apparatus: 2</w:t>
                  </w:r>
                </w:p>
                <w:p w14:paraId="68A201E1" w14:textId="77777777" w:rsidR="00320FF5" w:rsidRDefault="00320FF5" w:rsidP="00EF29CC">
                  <w:pPr>
                    <w:ind w:right="-29"/>
                    <w:rPr>
                      <w:sz w:val="20"/>
                      <w:szCs w:val="20"/>
                      <w:lang w:val="en-US"/>
                    </w:rPr>
                  </w:pPr>
                  <w:r>
                    <w:rPr>
                      <w:sz w:val="20"/>
                      <w:szCs w:val="20"/>
                      <w:lang w:val="en-US"/>
                    </w:rPr>
                    <w:t>Speed: 50 rpm</w:t>
                  </w:r>
                </w:p>
                <w:p w14:paraId="2A2F00C9" w14:textId="77777777" w:rsidR="00320FF5" w:rsidRPr="00161EAF" w:rsidRDefault="00320FF5" w:rsidP="00EF29CC">
                  <w:pPr>
                    <w:ind w:right="-29"/>
                    <w:rPr>
                      <w:sz w:val="20"/>
                      <w:szCs w:val="20"/>
                      <w:lang w:val="en-US"/>
                    </w:rPr>
                  </w:pPr>
                  <w:r>
                    <w:rPr>
                      <w:sz w:val="20"/>
                      <w:szCs w:val="20"/>
                      <w:lang w:val="en-US"/>
                    </w:rPr>
                    <w:t>Time: 15 minutes</w:t>
                  </w:r>
                </w:p>
              </w:tc>
            </w:tr>
            <w:tr w:rsidR="00320FF5" w:rsidRPr="00161EAF" w14:paraId="57AD0649" w14:textId="77777777" w:rsidTr="00EF29CC">
              <w:tc>
                <w:tcPr>
                  <w:tcW w:w="2005" w:type="dxa"/>
                  <w:vAlign w:val="center"/>
                </w:tcPr>
                <w:p w14:paraId="2C13A682" w14:textId="77777777" w:rsidR="00320FF5" w:rsidRPr="00161EAF"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08E7A5C4" w14:textId="77777777" w:rsidR="00320FF5" w:rsidRPr="00161EAF" w:rsidRDefault="00320FF5" w:rsidP="00EF29CC">
                  <w:pPr>
                    <w:ind w:right="-29"/>
                    <w:jc w:val="both"/>
                    <w:rPr>
                      <w:sz w:val="20"/>
                      <w:szCs w:val="20"/>
                      <w:lang w:val="en-US"/>
                    </w:rPr>
                  </w:pPr>
                  <w:r w:rsidRPr="00642FF8">
                    <w:rPr>
                      <w:sz w:val="20"/>
                      <w:szCs w:val="20"/>
                      <w:lang w:val="en-US"/>
                    </w:rPr>
                    <w:t>Meet the requirements</w:t>
                  </w:r>
                  <w:r>
                    <w:rPr>
                      <w:sz w:val="20"/>
                      <w:szCs w:val="20"/>
                      <w:lang w:val="en-US"/>
                    </w:rPr>
                    <w:t>.</w:t>
                  </w:r>
                </w:p>
              </w:tc>
              <w:tc>
                <w:tcPr>
                  <w:tcW w:w="3177" w:type="dxa"/>
                  <w:vAlign w:val="center"/>
                </w:tcPr>
                <w:p w14:paraId="39CF1031" w14:textId="77777777" w:rsidR="00320FF5" w:rsidRPr="00161EAF" w:rsidRDefault="00320FF5" w:rsidP="00EF29CC">
                  <w:pPr>
                    <w:ind w:right="-29"/>
                    <w:rPr>
                      <w:sz w:val="20"/>
                      <w:szCs w:val="20"/>
                      <w:lang w:val="en-US"/>
                    </w:rPr>
                  </w:pPr>
                  <w:r>
                    <w:rPr>
                      <w:sz w:val="20"/>
                      <w:szCs w:val="20"/>
                      <w:lang w:val="en-US"/>
                    </w:rPr>
                    <w:t>None</w:t>
                  </w:r>
                </w:p>
              </w:tc>
            </w:tr>
          </w:tbl>
          <w:p w14:paraId="23D6FA3C" w14:textId="77777777" w:rsidR="00320FF5" w:rsidRDefault="00320FF5" w:rsidP="00EF29CC">
            <w:pPr>
              <w:ind w:right="-29"/>
              <w:rPr>
                <w:b/>
                <w:bCs/>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0C7DD061" w14:textId="77777777" w:rsidTr="00EF29CC">
              <w:tc>
                <w:tcPr>
                  <w:tcW w:w="10426" w:type="dxa"/>
                  <w:gridSpan w:val="3"/>
                  <w:shd w:val="clear" w:color="auto" w:fill="D9D9D9" w:themeFill="background1" w:themeFillShade="D9"/>
                </w:tcPr>
                <w:p w14:paraId="094A8FDD" w14:textId="77777777" w:rsidR="00320FF5" w:rsidRPr="00161EAF" w:rsidRDefault="00320FF5" w:rsidP="00EF29CC">
                  <w:pPr>
                    <w:ind w:right="-29"/>
                    <w:jc w:val="center"/>
                    <w:rPr>
                      <w:b/>
                      <w:bCs/>
                      <w:sz w:val="20"/>
                      <w:szCs w:val="20"/>
                      <w:lang w:val="en-US"/>
                    </w:rPr>
                  </w:pPr>
                  <w:r>
                    <w:rPr>
                      <w:b/>
                      <w:bCs/>
                      <w:sz w:val="20"/>
                      <w:szCs w:val="20"/>
                      <w:lang w:val="en-US"/>
                    </w:rPr>
                    <w:t xml:space="preserve">Acetazolamide tablets, </w:t>
                  </w:r>
                  <w:r w:rsidRPr="00161EAF">
                    <w:rPr>
                      <w:b/>
                      <w:bCs/>
                      <w:sz w:val="20"/>
                      <w:szCs w:val="20"/>
                      <w:lang w:val="en-US"/>
                    </w:rPr>
                    <w:t>USP monograph</w:t>
                  </w:r>
                  <w:r>
                    <w:rPr>
                      <w:b/>
                      <w:bCs/>
                      <w:sz w:val="20"/>
                      <w:szCs w:val="20"/>
                      <w:lang w:val="en-US"/>
                    </w:rPr>
                    <w:t xml:space="preserve"> [31]</w:t>
                  </w:r>
                </w:p>
              </w:tc>
            </w:tr>
            <w:tr w:rsidR="00320FF5" w:rsidRPr="00161EAF" w14:paraId="326ECD18" w14:textId="77777777" w:rsidTr="00EF29CC">
              <w:tc>
                <w:tcPr>
                  <w:tcW w:w="2005" w:type="dxa"/>
                  <w:shd w:val="clear" w:color="auto" w:fill="D9D9D9" w:themeFill="background1" w:themeFillShade="D9"/>
                </w:tcPr>
                <w:p w14:paraId="51AFCA77"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5FF71E08"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647FAD7"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2C322DBA" w14:textId="77777777" w:rsidTr="00EF29CC">
              <w:tc>
                <w:tcPr>
                  <w:tcW w:w="2005" w:type="dxa"/>
                  <w:vAlign w:val="center"/>
                </w:tcPr>
                <w:p w14:paraId="5FBED407" w14:textId="77777777" w:rsidR="00320FF5" w:rsidRPr="00161EAF" w:rsidRDefault="00320FF5" w:rsidP="00EF29CC">
                  <w:pPr>
                    <w:ind w:right="-29"/>
                    <w:rPr>
                      <w:sz w:val="20"/>
                      <w:szCs w:val="20"/>
                      <w:lang w:val="en-US"/>
                    </w:rPr>
                  </w:pPr>
                  <w:r w:rsidRPr="00161EAF">
                    <w:rPr>
                      <w:sz w:val="20"/>
                      <w:szCs w:val="20"/>
                      <w:lang w:val="en-US"/>
                    </w:rPr>
                    <w:t>Identification A</w:t>
                  </w:r>
                </w:p>
              </w:tc>
              <w:tc>
                <w:tcPr>
                  <w:tcW w:w="5244" w:type="dxa"/>
                  <w:vAlign w:val="center"/>
                </w:tcPr>
                <w:p w14:paraId="36D9073B" w14:textId="77777777" w:rsidR="00320FF5" w:rsidRPr="00161EAF" w:rsidRDefault="00320FF5" w:rsidP="00EF29CC">
                  <w:pPr>
                    <w:ind w:right="-29"/>
                    <w:jc w:val="both"/>
                    <w:rPr>
                      <w:sz w:val="20"/>
                      <w:szCs w:val="20"/>
                      <w:lang w:val="en-US"/>
                    </w:rPr>
                  </w:pPr>
                  <w:r>
                    <w:rPr>
                      <w:sz w:val="20"/>
                      <w:szCs w:val="20"/>
                      <w:lang w:val="en-US"/>
                    </w:rPr>
                    <w:t>T</w:t>
                  </w:r>
                  <w:r w:rsidRPr="00F5659F">
                    <w:rPr>
                      <w:sz w:val="20"/>
                      <w:szCs w:val="20"/>
                      <w:lang w:val="en-US"/>
                    </w:rPr>
                    <w:t xml:space="preserve">he IR spectrum of the preparation of the </w:t>
                  </w:r>
                  <w:r w:rsidRPr="000E1144">
                    <w:rPr>
                      <w:i/>
                      <w:iCs/>
                      <w:sz w:val="20"/>
                      <w:szCs w:val="20"/>
                      <w:lang w:val="en-US"/>
                    </w:rPr>
                    <w:t>Sample</w:t>
                  </w:r>
                  <w:r w:rsidRPr="00F5659F">
                    <w:rPr>
                      <w:sz w:val="20"/>
                      <w:szCs w:val="20"/>
                      <w:lang w:val="en-US"/>
                    </w:rPr>
                    <w:t xml:space="preserve"> exhibits maxima only at the same wavenumbers as that of the </w:t>
                  </w:r>
                  <w:r w:rsidRPr="000E1144">
                    <w:rPr>
                      <w:i/>
                      <w:iCs/>
                      <w:sz w:val="20"/>
                      <w:szCs w:val="20"/>
                      <w:lang w:val="en-US"/>
                    </w:rPr>
                    <w:t>Reference Standard</w:t>
                  </w:r>
                  <w:r>
                    <w:rPr>
                      <w:sz w:val="20"/>
                      <w:szCs w:val="20"/>
                      <w:lang w:val="en-US"/>
                    </w:rPr>
                    <w:t>.</w:t>
                  </w:r>
                </w:p>
              </w:tc>
              <w:tc>
                <w:tcPr>
                  <w:tcW w:w="3177" w:type="dxa"/>
                  <w:vAlign w:val="center"/>
                </w:tcPr>
                <w:p w14:paraId="3EF7317C" w14:textId="77777777" w:rsidR="00320FF5" w:rsidRPr="00161EAF" w:rsidRDefault="00320FF5" w:rsidP="00EF29CC">
                  <w:pPr>
                    <w:ind w:right="-29"/>
                    <w:rPr>
                      <w:sz w:val="20"/>
                      <w:szCs w:val="20"/>
                      <w:lang w:val="en-US"/>
                    </w:rPr>
                  </w:pPr>
                  <w:r w:rsidRPr="00161EAF">
                    <w:rPr>
                      <w:sz w:val="20"/>
                      <w:szCs w:val="20"/>
                      <w:lang w:val="en-US"/>
                    </w:rPr>
                    <w:t xml:space="preserve">Spectroscopic Identification Tests </w:t>
                  </w:r>
                  <w:r w:rsidRPr="00161EAF">
                    <w:rPr>
                      <w:rFonts w:ascii="Cambria Math" w:hAnsi="Cambria Math" w:cs="Cambria Math"/>
                      <w:sz w:val="20"/>
                      <w:szCs w:val="20"/>
                      <w:lang w:val="en-US"/>
                    </w:rPr>
                    <w:t>〈</w:t>
                  </w:r>
                  <w:r w:rsidRPr="00161EAF">
                    <w:rPr>
                      <w:sz w:val="20"/>
                      <w:szCs w:val="20"/>
                      <w:lang w:val="en-US"/>
                    </w:rPr>
                    <w:t>197</w:t>
                  </w:r>
                  <w:r w:rsidRPr="00161EAF">
                    <w:rPr>
                      <w:rFonts w:ascii="Cambria Math" w:hAnsi="Cambria Math" w:cs="Cambria Math"/>
                      <w:sz w:val="20"/>
                      <w:szCs w:val="20"/>
                      <w:lang w:val="en-US"/>
                    </w:rPr>
                    <w:t>〉</w:t>
                  </w:r>
                  <w:r w:rsidRPr="00161EAF">
                    <w:rPr>
                      <w:sz w:val="20"/>
                      <w:szCs w:val="20"/>
                      <w:lang w:val="en-US"/>
                    </w:rPr>
                    <w:t>, </w:t>
                  </w:r>
                  <w:r w:rsidRPr="00161EAF">
                    <w:rPr>
                      <w:i/>
                      <w:iCs/>
                      <w:sz w:val="20"/>
                      <w:szCs w:val="20"/>
                      <w:lang w:val="en-US"/>
                    </w:rPr>
                    <w:t>Infrared Spectroscopy</w:t>
                  </w:r>
                  <w:r w:rsidRPr="00161EAF">
                    <w:rPr>
                      <w:sz w:val="20"/>
                      <w:szCs w:val="20"/>
                      <w:lang w:val="en-US"/>
                    </w:rPr>
                    <w:t>: 197K</w:t>
                  </w:r>
                </w:p>
              </w:tc>
            </w:tr>
            <w:tr w:rsidR="00320FF5" w:rsidRPr="00161EAF" w14:paraId="3C908748" w14:textId="77777777" w:rsidTr="00EF29CC">
              <w:tc>
                <w:tcPr>
                  <w:tcW w:w="2005" w:type="dxa"/>
                  <w:vAlign w:val="center"/>
                </w:tcPr>
                <w:p w14:paraId="1C10FD95"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52DCFBC5" w14:textId="77777777" w:rsidR="00320FF5" w:rsidRPr="00161EAF" w:rsidRDefault="00320FF5" w:rsidP="00EF29CC">
                  <w:pPr>
                    <w:ind w:right="-29"/>
                    <w:jc w:val="both"/>
                    <w:rPr>
                      <w:sz w:val="20"/>
                      <w:szCs w:val="20"/>
                      <w:lang w:val="en-US"/>
                    </w:rPr>
                  </w:pPr>
                  <w:r w:rsidRPr="00161EAF">
                    <w:rPr>
                      <w:sz w:val="20"/>
                      <w:szCs w:val="20"/>
                      <w:lang w:val="en-US"/>
                    </w:rPr>
                    <w:t>The retention time of the major peak of the </w:t>
                  </w:r>
                  <w:r w:rsidRPr="00161EAF">
                    <w:rPr>
                      <w:i/>
                      <w:iCs/>
                      <w:sz w:val="20"/>
                      <w:szCs w:val="20"/>
                      <w:lang w:val="en-US"/>
                    </w:rPr>
                    <w:t>Sample solution</w:t>
                  </w:r>
                  <w:r w:rsidRPr="00161EAF">
                    <w:rPr>
                      <w:sz w:val="20"/>
                      <w:szCs w:val="20"/>
                      <w:lang w:val="en-US"/>
                    </w:rPr>
                    <w:t> corresponds to that of the </w:t>
                  </w:r>
                  <w:r w:rsidRPr="00161EAF">
                    <w:rPr>
                      <w:i/>
                      <w:iCs/>
                      <w:sz w:val="20"/>
                      <w:szCs w:val="20"/>
                      <w:lang w:val="en-US"/>
                    </w:rPr>
                    <w:t>Standard solution</w:t>
                  </w:r>
                  <w:r w:rsidRPr="00161EAF">
                    <w:rPr>
                      <w:sz w:val="20"/>
                      <w:szCs w:val="20"/>
                      <w:lang w:val="en-US"/>
                    </w:rPr>
                    <w:t>, as obtained in the </w:t>
                  </w:r>
                  <w:r w:rsidRPr="00161EAF">
                    <w:rPr>
                      <w:i/>
                      <w:iCs/>
                      <w:sz w:val="20"/>
                      <w:szCs w:val="20"/>
                      <w:lang w:val="en-US"/>
                    </w:rPr>
                    <w:t>Assay</w:t>
                  </w:r>
                  <w:r w:rsidRPr="00161EAF">
                    <w:rPr>
                      <w:sz w:val="20"/>
                      <w:szCs w:val="20"/>
                      <w:lang w:val="en-US"/>
                    </w:rPr>
                    <w:t>.</w:t>
                  </w:r>
                </w:p>
              </w:tc>
              <w:tc>
                <w:tcPr>
                  <w:tcW w:w="3177" w:type="dxa"/>
                  <w:vAlign w:val="center"/>
                </w:tcPr>
                <w:p w14:paraId="02B388B7"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2CF04AFB" w14:textId="77777777" w:rsidTr="00EF29CC">
              <w:tc>
                <w:tcPr>
                  <w:tcW w:w="2005" w:type="dxa"/>
                  <w:vAlign w:val="center"/>
                </w:tcPr>
                <w:p w14:paraId="0FA2B4D8" w14:textId="77777777" w:rsidR="00320FF5" w:rsidRPr="00161EAF" w:rsidRDefault="00320FF5" w:rsidP="00EF29CC">
                  <w:pPr>
                    <w:ind w:right="-29"/>
                    <w:rPr>
                      <w:sz w:val="20"/>
                      <w:szCs w:val="20"/>
                      <w:lang w:val="en-US"/>
                    </w:rPr>
                  </w:pPr>
                  <w:r w:rsidRPr="00161EAF">
                    <w:rPr>
                      <w:sz w:val="20"/>
                      <w:szCs w:val="20"/>
                      <w:lang w:val="en-US"/>
                    </w:rPr>
                    <w:t>Assay</w:t>
                  </w:r>
                </w:p>
              </w:tc>
              <w:tc>
                <w:tcPr>
                  <w:tcW w:w="5244" w:type="dxa"/>
                  <w:vAlign w:val="center"/>
                </w:tcPr>
                <w:p w14:paraId="70008B39" w14:textId="77777777" w:rsidR="00320FF5" w:rsidRPr="006F2DD4" w:rsidRDefault="00320FF5" w:rsidP="00EF29CC">
                  <w:pPr>
                    <w:ind w:right="-29"/>
                    <w:jc w:val="both"/>
                    <w:rPr>
                      <w:sz w:val="20"/>
                      <w:szCs w:val="20"/>
                      <w:lang w:val="en-US"/>
                    </w:rPr>
                  </w:pPr>
                  <w:r>
                    <w:rPr>
                      <w:color w:val="000000"/>
                      <w:sz w:val="20"/>
                      <w:szCs w:val="20"/>
                      <w:shd w:val="clear" w:color="auto" w:fill="FFFFFF"/>
                    </w:rPr>
                    <w:t>95.0 % - 105.0 %</w:t>
                  </w:r>
                </w:p>
              </w:tc>
              <w:tc>
                <w:tcPr>
                  <w:tcW w:w="3177" w:type="dxa"/>
                  <w:vAlign w:val="center"/>
                </w:tcPr>
                <w:p w14:paraId="5FE9F1DB" w14:textId="77777777" w:rsidR="00320FF5" w:rsidRPr="00161EAF" w:rsidRDefault="00320FF5" w:rsidP="00EF29CC">
                  <w:pPr>
                    <w:ind w:right="-29"/>
                    <w:rPr>
                      <w:sz w:val="20"/>
                      <w:szCs w:val="20"/>
                      <w:lang w:val="en-US"/>
                    </w:rPr>
                  </w:pPr>
                  <w:r w:rsidRPr="00161EAF">
                    <w:rPr>
                      <w:sz w:val="20"/>
                      <w:szCs w:val="20"/>
                      <w:lang w:val="en-US"/>
                    </w:rPr>
                    <w:t>Chromatography </w:t>
                  </w:r>
                  <w:r w:rsidRPr="00161EAF">
                    <w:rPr>
                      <w:rFonts w:ascii="Cambria Math" w:hAnsi="Cambria Math" w:cs="Cambria Math"/>
                      <w:sz w:val="20"/>
                      <w:szCs w:val="20"/>
                      <w:lang w:val="en-US"/>
                    </w:rPr>
                    <w:t>〈</w:t>
                  </w:r>
                  <w:r w:rsidRPr="00161EAF">
                    <w:rPr>
                      <w:sz w:val="20"/>
                      <w:szCs w:val="20"/>
                      <w:lang w:val="en-US"/>
                    </w:rPr>
                    <w:t>621</w:t>
                  </w:r>
                  <w:r w:rsidRPr="00161EAF">
                    <w:rPr>
                      <w:rFonts w:ascii="Cambria Math" w:hAnsi="Cambria Math" w:cs="Cambria Math"/>
                      <w:sz w:val="20"/>
                      <w:szCs w:val="20"/>
                      <w:lang w:val="en-US"/>
                    </w:rPr>
                    <w:t>〉: Liquid Chromatography</w:t>
                  </w:r>
                </w:p>
              </w:tc>
            </w:tr>
            <w:tr w:rsidR="00320FF5" w:rsidRPr="00161EAF" w14:paraId="7028EA6E" w14:textId="77777777" w:rsidTr="00EF29CC">
              <w:tc>
                <w:tcPr>
                  <w:tcW w:w="2005" w:type="dxa"/>
                  <w:vAlign w:val="center"/>
                </w:tcPr>
                <w:p w14:paraId="197952A8" w14:textId="77777777" w:rsidR="00320FF5" w:rsidRPr="00161EAF" w:rsidRDefault="00320FF5" w:rsidP="00EF29CC">
                  <w:pPr>
                    <w:ind w:right="-29"/>
                    <w:rPr>
                      <w:sz w:val="20"/>
                      <w:szCs w:val="20"/>
                      <w:lang w:val="en-US"/>
                    </w:rPr>
                  </w:pPr>
                  <w:r>
                    <w:rPr>
                      <w:sz w:val="20"/>
                      <w:szCs w:val="20"/>
                      <w:lang w:val="en-US"/>
                    </w:rPr>
                    <w:t xml:space="preserve">Dissolution </w:t>
                  </w:r>
                  <w:r w:rsidRPr="00161EAF">
                    <w:rPr>
                      <w:rFonts w:ascii="Cambria Math" w:hAnsi="Cambria Math" w:cs="Cambria Math"/>
                      <w:sz w:val="20"/>
                      <w:szCs w:val="20"/>
                      <w:lang w:val="en-US"/>
                    </w:rPr>
                    <w:t>〈</w:t>
                  </w:r>
                  <w:r>
                    <w:rPr>
                      <w:rFonts w:ascii="Cambria Math" w:hAnsi="Cambria Math" w:cs="Cambria Math"/>
                      <w:sz w:val="20"/>
                      <w:szCs w:val="20"/>
                      <w:lang w:val="en-US"/>
                    </w:rPr>
                    <w:t>71</w:t>
                  </w:r>
                  <w:r w:rsidRPr="00161EAF">
                    <w:rPr>
                      <w:sz w:val="20"/>
                      <w:szCs w:val="20"/>
                      <w:lang w:val="en-US"/>
                    </w:rPr>
                    <w:t>1</w:t>
                  </w:r>
                  <w:r w:rsidRPr="00161EAF">
                    <w:rPr>
                      <w:rFonts w:ascii="Cambria Math" w:hAnsi="Cambria Math" w:cs="Cambria Math"/>
                      <w:sz w:val="20"/>
                      <w:szCs w:val="20"/>
                      <w:lang w:val="en-US"/>
                    </w:rPr>
                    <w:t>〉</w:t>
                  </w:r>
                </w:p>
              </w:tc>
              <w:tc>
                <w:tcPr>
                  <w:tcW w:w="5244" w:type="dxa"/>
                  <w:vAlign w:val="center"/>
                </w:tcPr>
                <w:p w14:paraId="5E64B7D8" w14:textId="77777777" w:rsidR="00320FF5" w:rsidRPr="003446AB" w:rsidRDefault="00320FF5" w:rsidP="00EF29CC">
                  <w:pPr>
                    <w:ind w:right="-29"/>
                    <w:jc w:val="both"/>
                    <w:rPr>
                      <w:sz w:val="20"/>
                      <w:szCs w:val="20"/>
                      <w:lang w:val="en-US"/>
                    </w:rPr>
                  </w:pPr>
                  <w:r w:rsidRPr="003446AB">
                    <w:rPr>
                      <w:color w:val="000000"/>
                      <w:sz w:val="20"/>
                      <w:szCs w:val="20"/>
                      <w:shd w:val="clear" w:color="auto" w:fill="FFFFFF"/>
                    </w:rPr>
                    <w:t>NLT 75% (</w:t>
                  </w:r>
                  <w:r w:rsidRPr="003446AB">
                    <w:rPr>
                      <w:rStyle w:val="nfasis"/>
                      <w:color w:val="000000"/>
                      <w:sz w:val="20"/>
                      <w:szCs w:val="20"/>
                      <w:shd w:val="clear" w:color="auto" w:fill="FFFFFF"/>
                    </w:rPr>
                    <w:t>Q</w:t>
                  </w:r>
                  <w:r w:rsidRPr="003446AB">
                    <w:rPr>
                      <w:color w:val="000000"/>
                      <w:sz w:val="20"/>
                      <w:szCs w:val="20"/>
                      <w:shd w:val="clear" w:color="auto" w:fill="FFFFFF"/>
                    </w:rPr>
                    <w:t xml:space="preserve">) of the </w:t>
                  </w:r>
                  <w:proofErr w:type="spellStart"/>
                  <w:r w:rsidRPr="003446AB">
                    <w:rPr>
                      <w:color w:val="000000"/>
                      <w:sz w:val="20"/>
                      <w:szCs w:val="20"/>
                      <w:shd w:val="clear" w:color="auto" w:fill="FFFFFF"/>
                    </w:rPr>
                    <w:t>labeled</w:t>
                  </w:r>
                  <w:proofErr w:type="spellEnd"/>
                  <w:r w:rsidRPr="003446AB">
                    <w:rPr>
                      <w:color w:val="000000"/>
                      <w:sz w:val="20"/>
                      <w:szCs w:val="20"/>
                      <w:shd w:val="clear" w:color="auto" w:fill="FFFFFF"/>
                    </w:rPr>
                    <w:t xml:space="preserve"> amount of acetazolamide (C</w:t>
                  </w:r>
                  <w:r w:rsidRPr="003446AB">
                    <w:rPr>
                      <w:rStyle w:val="sub"/>
                      <w:color w:val="000000"/>
                      <w:sz w:val="20"/>
                      <w:szCs w:val="20"/>
                      <w:shd w:val="clear" w:color="auto" w:fill="FFFFFF"/>
                      <w:vertAlign w:val="subscript"/>
                    </w:rPr>
                    <w:t>4</w:t>
                  </w:r>
                  <w:r w:rsidRPr="003446AB">
                    <w:rPr>
                      <w:color w:val="000000"/>
                      <w:sz w:val="20"/>
                      <w:szCs w:val="20"/>
                      <w:shd w:val="clear" w:color="auto" w:fill="FFFFFF"/>
                    </w:rPr>
                    <w:t>H</w:t>
                  </w:r>
                  <w:r w:rsidRPr="003446AB">
                    <w:rPr>
                      <w:rStyle w:val="sub"/>
                      <w:color w:val="000000"/>
                      <w:sz w:val="20"/>
                      <w:szCs w:val="20"/>
                      <w:shd w:val="clear" w:color="auto" w:fill="FFFFFF"/>
                      <w:vertAlign w:val="subscript"/>
                    </w:rPr>
                    <w:t>6</w:t>
                  </w:r>
                  <w:r w:rsidRPr="003446AB">
                    <w:rPr>
                      <w:color w:val="000000"/>
                      <w:sz w:val="20"/>
                      <w:szCs w:val="20"/>
                      <w:shd w:val="clear" w:color="auto" w:fill="FFFFFF"/>
                    </w:rPr>
                    <w:t>N</w:t>
                  </w:r>
                  <w:r w:rsidRPr="003446AB">
                    <w:rPr>
                      <w:rStyle w:val="sub"/>
                      <w:color w:val="000000"/>
                      <w:sz w:val="20"/>
                      <w:szCs w:val="20"/>
                      <w:shd w:val="clear" w:color="auto" w:fill="FFFFFF"/>
                      <w:vertAlign w:val="subscript"/>
                    </w:rPr>
                    <w:t>4</w:t>
                  </w:r>
                  <w:r w:rsidRPr="003446AB">
                    <w:rPr>
                      <w:color w:val="000000"/>
                      <w:sz w:val="20"/>
                      <w:szCs w:val="20"/>
                      <w:shd w:val="clear" w:color="auto" w:fill="FFFFFF"/>
                    </w:rPr>
                    <w:t>O</w:t>
                  </w:r>
                  <w:r w:rsidRPr="003446AB">
                    <w:rPr>
                      <w:rStyle w:val="sub"/>
                      <w:color w:val="000000"/>
                      <w:sz w:val="20"/>
                      <w:szCs w:val="20"/>
                      <w:shd w:val="clear" w:color="auto" w:fill="FFFFFF"/>
                      <w:vertAlign w:val="subscript"/>
                    </w:rPr>
                    <w:t>3</w:t>
                  </w:r>
                  <w:r w:rsidRPr="003446AB">
                    <w:rPr>
                      <w:color w:val="000000"/>
                      <w:sz w:val="20"/>
                      <w:szCs w:val="20"/>
                      <w:shd w:val="clear" w:color="auto" w:fill="FFFFFF"/>
                    </w:rPr>
                    <w:t>S</w:t>
                  </w:r>
                  <w:r w:rsidRPr="003446AB">
                    <w:rPr>
                      <w:rStyle w:val="sub"/>
                      <w:color w:val="000000"/>
                      <w:sz w:val="20"/>
                      <w:szCs w:val="20"/>
                      <w:shd w:val="clear" w:color="auto" w:fill="FFFFFF"/>
                      <w:vertAlign w:val="subscript"/>
                    </w:rPr>
                    <w:t>2</w:t>
                  </w:r>
                  <w:r w:rsidRPr="003446AB">
                    <w:rPr>
                      <w:color w:val="000000"/>
                      <w:sz w:val="20"/>
                      <w:szCs w:val="20"/>
                      <w:shd w:val="clear" w:color="auto" w:fill="FFFFFF"/>
                    </w:rPr>
                    <w:t>) is dissolved.</w:t>
                  </w:r>
                </w:p>
              </w:tc>
              <w:tc>
                <w:tcPr>
                  <w:tcW w:w="3177" w:type="dxa"/>
                  <w:vAlign w:val="center"/>
                </w:tcPr>
                <w:p w14:paraId="58EDB7E1" w14:textId="77777777" w:rsidR="00320FF5" w:rsidRDefault="00320FF5" w:rsidP="00EF29CC">
                  <w:pPr>
                    <w:ind w:right="-29"/>
                    <w:rPr>
                      <w:sz w:val="20"/>
                      <w:szCs w:val="20"/>
                      <w:lang w:val="en-US"/>
                    </w:rPr>
                  </w:pPr>
                  <w:r>
                    <w:rPr>
                      <w:sz w:val="20"/>
                      <w:szCs w:val="20"/>
                      <w:lang w:val="en-US"/>
                    </w:rPr>
                    <w:t>Medium: 0.01 N HCl</w:t>
                  </w:r>
                </w:p>
                <w:p w14:paraId="32B4077C" w14:textId="77777777" w:rsidR="00320FF5" w:rsidRDefault="00320FF5" w:rsidP="00EF29CC">
                  <w:pPr>
                    <w:ind w:right="-29"/>
                    <w:rPr>
                      <w:sz w:val="20"/>
                      <w:szCs w:val="20"/>
                      <w:lang w:val="en-US"/>
                    </w:rPr>
                  </w:pPr>
                  <w:r>
                    <w:rPr>
                      <w:sz w:val="20"/>
                      <w:szCs w:val="20"/>
                      <w:lang w:val="en-US"/>
                    </w:rPr>
                    <w:t>Volume: 900 mL</w:t>
                  </w:r>
                </w:p>
                <w:p w14:paraId="3F8FE43B" w14:textId="77777777" w:rsidR="00320FF5" w:rsidRDefault="00320FF5" w:rsidP="00EF29CC">
                  <w:pPr>
                    <w:ind w:right="-29"/>
                    <w:rPr>
                      <w:sz w:val="20"/>
                      <w:szCs w:val="20"/>
                      <w:lang w:val="en-US"/>
                    </w:rPr>
                  </w:pPr>
                  <w:r>
                    <w:rPr>
                      <w:sz w:val="20"/>
                      <w:szCs w:val="20"/>
                      <w:lang w:val="en-US"/>
                    </w:rPr>
                    <w:t>Apparatus: 1</w:t>
                  </w:r>
                </w:p>
                <w:p w14:paraId="0E339084" w14:textId="77777777" w:rsidR="00320FF5" w:rsidRDefault="00320FF5" w:rsidP="00EF29CC">
                  <w:pPr>
                    <w:ind w:right="-29"/>
                    <w:rPr>
                      <w:sz w:val="20"/>
                      <w:szCs w:val="20"/>
                      <w:lang w:val="en-US"/>
                    </w:rPr>
                  </w:pPr>
                  <w:r>
                    <w:rPr>
                      <w:sz w:val="20"/>
                      <w:szCs w:val="20"/>
                      <w:lang w:val="en-US"/>
                    </w:rPr>
                    <w:t>Speed: 100 rpm</w:t>
                  </w:r>
                </w:p>
                <w:p w14:paraId="6B3BCCB3" w14:textId="77777777" w:rsidR="00320FF5" w:rsidRPr="00161EAF" w:rsidRDefault="00320FF5" w:rsidP="00EF29CC">
                  <w:pPr>
                    <w:ind w:right="-29"/>
                    <w:rPr>
                      <w:sz w:val="20"/>
                      <w:szCs w:val="20"/>
                      <w:lang w:val="en-US"/>
                    </w:rPr>
                  </w:pPr>
                  <w:r>
                    <w:rPr>
                      <w:sz w:val="20"/>
                      <w:szCs w:val="20"/>
                      <w:lang w:val="en-US"/>
                    </w:rPr>
                    <w:t>Time: 60 minutes</w:t>
                  </w:r>
                </w:p>
              </w:tc>
            </w:tr>
            <w:tr w:rsidR="00320FF5" w:rsidRPr="00161EAF" w14:paraId="00401D38" w14:textId="77777777" w:rsidTr="00EF29CC">
              <w:tc>
                <w:tcPr>
                  <w:tcW w:w="2005" w:type="dxa"/>
                  <w:vAlign w:val="center"/>
                </w:tcPr>
                <w:p w14:paraId="6CB68474" w14:textId="77777777" w:rsidR="00320FF5" w:rsidRDefault="00320FF5" w:rsidP="00EF29CC">
                  <w:pPr>
                    <w:ind w:right="-29"/>
                    <w:rPr>
                      <w:sz w:val="20"/>
                      <w:szCs w:val="20"/>
                      <w:lang w:val="en-US"/>
                    </w:rPr>
                  </w:pPr>
                  <w:r>
                    <w:rPr>
                      <w:sz w:val="20"/>
                      <w:szCs w:val="20"/>
                      <w:lang w:val="en-US"/>
                    </w:rPr>
                    <w:t xml:space="preserve">Uniformity of Dosage Units </w:t>
                  </w:r>
                  <w:r w:rsidRPr="00161EAF">
                    <w:rPr>
                      <w:rFonts w:ascii="Cambria Math" w:hAnsi="Cambria Math" w:cs="Cambria Math"/>
                      <w:sz w:val="20"/>
                      <w:szCs w:val="20"/>
                      <w:lang w:val="en-US"/>
                    </w:rPr>
                    <w:t>〈</w:t>
                  </w:r>
                  <w:r>
                    <w:rPr>
                      <w:rFonts w:ascii="Cambria Math" w:hAnsi="Cambria Math" w:cs="Cambria Math"/>
                      <w:sz w:val="20"/>
                      <w:szCs w:val="20"/>
                      <w:lang w:val="en-US"/>
                    </w:rPr>
                    <w:t>905</w:t>
                  </w:r>
                  <w:r w:rsidRPr="00161EAF">
                    <w:rPr>
                      <w:rFonts w:ascii="Cambria Math" w:hAnsi="Cambria Math" w:cs="Cambria Math"/>
                      <w:sz w:val="20"/>
                      <w:szCs w:val="20"/>
                      <w:lang w:val="en-US"/>
                    </w:rPr>
                    <w:t>〉</w:t>
                  </w:r>
                </w:p>
              </w:tc>
              <w:tc>
                <w:tcPr>
                  <w:tcW w:w="5244" w:type="dxa"/>
                  <w:vAlign w:val="center"/>
                </w:tcPr>
                <w:p w14:paraId="31045824" w14:textId="77777777" w:rsidR="00320FF5" w:rsidRPr="003446AB" w:rsidRDefault="00320FF5" w:rsidP="00EF29CC">
                  <w:pPr>
                    <w:ind w:right="-29"/>
                    <w:jc w:val="both"/>
                    <w:rPr>
                      <w:color w:val="000000"/>
                      <w:sz w:val="20"/>
                      <w:szCs w:val="20"/>
                      <w:shd w:val="clear" w:color="auto" w:fill="FFFFFF"/>
                    </w:rPr>
                  </w:pPr>
                  <w:r w:rsidRPr="00642FF8">
                    <w:rPr>
                      <w:sz w:val="20"/>
                      <w:szCs w:val="20"/>
                      <w:lang w:val="en-US"/>
                    </w:rPr>
                    <w:t>Meet the requirements</w:t>
                  </w:r>
                  <w:r>
                    <w:rPr>
                      <w:sz w:val="20"/>
                      <w:szCs w:val="20"/>
                      <w:lang w:val="en-US"/>
                    </w:rPr>
                    <w:t>.</w:t>
                  </w:r>
                </w:p>
              </w:tc>
              <w:tc>
                <w:tcPr>
                  <w:tcW w:w="3177" w:type="dxa"/>
                  <w:vAlign w:val="center"/>
                </w:tcPr>
                <w:p w14:paraId="0EB63C9D" w14:textId="77777777" w:rsidR="00320FF5" w:rsidRDefault="00320FF5" w:rsidP="00EF29CC">
                  <w:pPr>
                    <w:ind w:right="-29"/>
                    <w:rPr>
                      <w:sz w:val="20"/>
                      <w:szCs w:val="20"/>
                      <w:lang w:val="en-US"/>
                    </w:rPr>
                  </w:pPr>
                  <w:r>
                    <w:rPr>
                      <w:sz w:val="20"/>
                      <w:szCs w:val="20"/>
                      <w:lang w:val="en-US"/>
                    </w:rPr>
                    <w:t>None</w:t>
                  </w:r>
                </w:p>
              </w:tc>
            </w:tr>
          </w:tbl>
          <w:p w14:paraId="36AD9A14" w14:textId="77777777" w:rsidR="00320FF5" w:rsidRDefault="00320FF5" w:rsidP="00EF29CC">
            <w:pPr>
              <w:ind w:right="-29"/>
              <w:rPr>
                <w:sz w:val="20"/>
                <w:szCs w:val="20"/>
                <w:lang w:val="en-US"/>
              </w:rPr>
            </w:pPr>
          </w:p>
          <w:tbl>
            <w:tblPr>
              <w:tblStyle w:val="Tablaconcuadrcula"/>
              <w:tblW w:w="0" w:type="auto"/>
              <w:tblLook w:val="04A0" w:firstRow="1" w:lastRow="0" w:firstColumn="1" w:lastColumn="0" w:noHBand="0" w:noVBand="1"/>
            </w:tblPr>
            <w:tblGrid>
              <w:gridCol w:w="2005"/>
              <w:gridCol w:w="5244"/>
              <w:gridCol w:w="3177"/>
            </w:tblGrid>
            <w:tr w:rsidR="00320FF5" w:rsidRPr="00161EAF" w14:paraId="45CFAFFC" w14:textId="77777777" w:rsidTr="00EF29CC">
              <w:tc>
                <w:tcPr>
                  <w:tcW w:w="10426" w:type="dxa"/>
                  <w:gridSpan w:val="3"/>
                  <w:shd w:val="clear" w:color="auto" w:fill="D9D9D9" w:themeFill="background1" w:themeFillShade="D9"/>
                </w:tcPr>
                <w:p w14:paraId="3CFCB59A" w14:textId="77777777" w:rsidR="00320FF5" w:rsidRPr="00161EAF" w:rsidRDefault="00320FF5" w:rsidP="00EF29CC">
                  <w:pPr>
                    <w:ind w:right="-29"/>
                    <w:jc w:val="center"/>
                    <w:rPr>
                      <w:b/>
                      <w:bCs/>
                      <w:sz w:val="20"/>
                      <w:szCs w:val="20"/>
                      <w:lang w:val="en-US"/>
                    </w:rPr>
                  </w:pPr>
                  <w:r>
                    <w:rPr>
                      <w:b/>
                      <w:bCs/>
                      <w:sz w:val="20"/>
                      <w:szCs w:val="20"/>
                      <w:lang w:val="en-US"/>
                    </w:rPr>
                    <w:t>Acetazolamide tablets, B</w:t>
                  </w:r>
                  <w:r w:rsidRPr="00161EAF">
                    <w:rPr>
                      <w:b/>
                      <w:bCs/>
                      <w:sz w:val="20"/>
                      <w:szCs w:val="20"/>
                      <w:lang w:val="en-US"/>
                    </w:rPr>
                    <w:t>P monograph</w:t>
                  </w:r>
                  <w:r>
                    <w:rPr>
                      <w:b/>
                      <w:bCs/>
                      <w:sz w:val="20"/>
                      <w:szCs w:val="20"/>
                      <w:lang w:val="en-US"/>
                    </w:rPr>
                    <w:t xml:space="preserve"> [36]</w:t>
                  </w:r>
                </w:p>
              </w:tc>
            </w:tr>
            <w:tr w:rsidR="00320FF5" w:rsidRPr="00161EAF" w14:paraId="2DE255B3" w14:textId="77777777" w:rsidTr="00EF29CC">
              <w:tc>
                <w:tcPr>
                  <w:tcW w:w="2005" w:type="dxa"/>
                  <w:shd w:val="clear" w:color="auto" w:fill="D9D9D9" w:themeFill="background1" w:themeFillShade="D9"/>
                </w:tcPr>
                <w:p w14:paraId="4B9F249F" w14:textId="77777777" w:rsidR="00320FF5" w:rsidRPr="00161EAF" w:rsidRDefault="00320FF5" w:rsidP="00EF29CC">
                  <w:pPr>
                    <w:ind w:right="-29"/>
                    <w:jc w:val="center"/>
                    <w:rPr>
                      <w:b/>
                      <w:bCs/>
                      <w:sz w:val="20"/>
                      <w:szCs w:val="20"/>
                      <w:lang w:val="en-US"/>
                    </w:rPr>
                  </w:pPr>
                  <w:r w:rsidRPr="00161EAF">
                    <w:rPr>
                      <w:b/>
                      <w:bCs/>
                      <w:sz w:val="20"/>
                      <w:szCs w:val="20"/>
                      <w:lang w:val="en-US"/>
                    </w:rPr>
                    <w:t>Test</w:t>
                  </w:r>
                </w:p>
              </w:tc>
              <w:tc>
                <w:tcPr>
                  <w:tcW w:w="5244" w:type="dxa"/>
                  <w:shd w:val="clear" w:color="auto" w:fill="D9D9D9" w:themeFill="background1" w:themeFillShade="D9"/>
                </w:tcPr>
                <w:p w14:paraId="334CCBF1" w14:textId="77777777" w:rsidR="00320FF5" w:rsidRPr="00161EAF" w:rsidRDefault="00320FF5" w:rsidP="00EF29CC">
                  <w:pPr>
                    <w:ind w:right="-29"/>
                    <w:jc w:val="center"/>
                    <w:rPr>
                      <w:b/>
                      <w:bCs/>
                      <w:sz w:val="20"/>
                      <w:szCs w:val="20"/>
                      <w:lang w:val="en-US"/>
                    </w:rPr>
                  </w:pPr>
                  <w:r w:rsidRPr="00161EAF">
                    <w:rPr>
                      <w:b/>
                      <w:bCs/>
                      <w:sz w:val="20"/>
                      <w:szCs w:val="20"/>
                      <w:lang w:val="en-US"/>
                    </w:rPr>
                    <w:t>Acceptance criteria</w:t>
                  </w:r>
                </w:p>
              </w:tc>
              <w:tc>
                <w:tcPr>
                  <w:tcW w:w="3177" w:type="dxa"/>
                  <w:shd w:val="clear" w:color="auto" w:fill="D9D9D9" w:themeFill="background1" w:themeFillShade="D9"/>
                </w:tcPr>
                <w:p w14:paraId="2438B0C6" w14:textId="77777777" w:rsidR="00320FF5" w:rsidRPr="00161EAF" w:rsidRDefault="00320FF5" w:rsidP="00EF29CC">
                  <w:pPr>
                    <w:ind w:right="-29"/>
                    <w:jc w:val="center"/>
                    <w:rPr>
                      <w:b/>
                      <w:bCs/>
                      <w:sz w:val="20"/>
                      <w:szCs w:val="20"/>
                      <w:lang w:val="en-US"/>
                    </w:rPr>
                  </w:pPr>
                  <w:r w:rsidRPr="00161EAF">
                    <w:rPr>
                      <w:b/>
                      <w:bCs/>
                      <w:sz w:val="20"/>
                      <w:szCs w:val="20"/>
                      <w:lang w:val="en-US"/>
                    </w:rPr>
                    <w:t>Observations</w:t>
                  </w:r>
                </w:p>
              </w:tc>
            </w:tr>
            <w:tr w:rsidR="00320FF5" w:rsidRPr="00161EAF" w14:paraId="31D0A59A" w14:textId="77777777" w:rsidTr="00EF29CC">
              <w:tc>
                <w:tcPr>
                  <w:tcW w:w="2005" w:type="dxa"/>
                  <w:vAlign w:val="center"/>
                </w:tcPr>
                <w:p w14:paraId="5EFE8F97" w14:textId="77777777" w:rsidR="00320FF5" w:rsidRPr="00161EAF" w:rsidRDefault="00320FF5" w:rsidP="00EF29CC">
                  <w:pPr>
                    <w:ind w:right="-29"/>
                    <w:rPr>
                      <w:sz w:val="20"/>
                      <w:szCs w:val="20"/>
                      <w:lang w:val="en-US"/>
                    </w:rPr>
                  </w:pPr>
                  <w:r w:rsidRPr="00161EAF">
                    <w:rPr>
                      <w:sz w:val="20"/>
                      <w:szCs w:val="20"/>
                      <w:lang w:val="en-US"/>
                    </w:rPr>
                    <w:lastRenderedPageBreak/>
                    <w:t>Identification A</w:t>
                  </w:r>
                </w:p>
              </w:tc>
              <w:tc>
                <w:tcPr>
                  <w:tcW w:w="5244" w:type="dxa"/>
                  <w:vAlign w:val="center"/>
                </w:tcPr>
                <w:p w14:paraId="66D76C58" w14:textId="77777777" w:rsidR="00320FF5" w:rsidRPr="00161EAF" w:rsidRDefault="00320FF5" w:rsidP="00EF29CC">
                  <w:pPr>
                    <w:ind w:right="-29"/>
                    <w:jc w:val="both"/>
                    <w:rPr>
                      <w:sz w:val="20"/>
                      <w:szCs w:val="20"/>
                      <w:lang w:val="en-US"/>
                    </w:rPr>
                  </w:pPr>
                  <w:r>
                    <w:rPr>
                      <w:sz w:val="20"/>
                      <w:szCs w:val="20"/>
                      <w:lang w:val="en-US"/>
                    </w:rPr>
                    <w:t xml:space="preserve">The infrared spectrum of the residue is concordant with the reference spectrum of acetazolamide. </w:t>
                  </w:r>
                </w:p>
              </w:tc>
              <w:tc>
                <w:tcPr>
                  <w:tcW w:w="3177" w:type="dxa"/>
                  <w:vAlign w:val="center"/>
                </w:tcPr>
                <w:p w14:paraId="716459A9" w14:textId="77777777" w:rsidR="00320FF5" w:rsidRPr="00161EAF" w:rsidRDefault="00320FF5" w:rsidP="00EF29CC">
                  <w:pPr>
                    <w:ind w:right="-29"/>
                    <w:rPr>
                      <w:sz w:val="20"/>
                      <w:szCs w:val="20"/>
                      <w:lang w:val="en-US"/>
                    </w:rPr>
                  </w:pPr>
                  <w:r>
                    <w:rPr>
                      <w:sz w:val="20"/>
                      <w:szCs w:val="20"/>
                      <w:lang w:val="en-US"/>
                    </w:rPr>
                    <w:t>Infrared spectrometry</w:t>
                  </w:r>
                </w:p>
              </w:tc>
            </w:tr>
            <w:tr w:rsidR="00320FF5" w:rsidRPr="00161EAF" w14:paraId="714E2C0C" w14:textId="77777777" w:rsidTr="00EF29CC">
              <w:tc>
                <w:tcPr>
                  <w:tcW w:w="2005" w:type="dxa"/>
                  <w:shd w:val="clear" w:color="auto" w:fill="BFBFBF" w:themeFill="background1" w:themeFillShade="BF"/>
                </w:tcPr>
                <w:p w14:paraId="2C6DCC81" w14:textId="77777777" w:rsidR="00320FF5" w:rsidRPr="00161EAF" w:rsidRDefault="00320FF5" w:rsidP="00EF29CC">
                  <w:pPr>
                    <w:ind w:right="-29"/>
                    <w:jc w:val="center"/>
                    <w:rPr>
                      <w:sz w:val="20"/>
                      <w:szCs w:val="20"/>
                      <w:lang w:val="en-US"/>
                    </w:rPr>
                  </w:pPr>
                  <w:r w:rsidRPr="00161EAF">
                    <w:rPr>
                      <w:b/>
                      <w:bCs/>
                      <w:sz w:val="20"/>
                      <w:szCs w:val="20"/>
                      <w:lang w:val="en-US"/>
                    </w:rPr>
                    <w:t>Test</w:t>
                  </w:r>
                </w:p>
              </w:tc>
              <w:tc>
                <w:tcPr>
                  <w:tcW w:w="5244" w:type="dxa"/>
                  <w:shd w:val="clear" w:color="auto" w:fill="BFBFBF" w:themeFill="background1" w:themeFillShade="BF"/>
                </w:tcPr>
                <w:p w14:paraId="0B4B3640" w14:textId="77777777" w:rsidR="00320FF5" w:rsidRDefault="00320FF5" w:rsidP="00EF29CC">
                  <w:pPr>
                    <w:ind w:right="-29"/>
                    <w:jc w:val="center"/>
                    <w:rPr>
                      <w:sz w:val="20"/>
                      <w:szCs w:val="20"/>
                      <w:lang w:val="en-US"/>
                    </w:rPr>
                  </w:pPr>
                  <w:r w:rsidRPr="00161EAF">
                    <w:rPr>
                      <w:b/>
                      <w:bCs/>
                      <w:sz w:val="20"/>
                      <w:szCs w:val="20"/>
                      <w:lang w:val="en-US"/>
                    </w:rPr>
                    <w:t>Acceptance criteria</w:t>
                  </w:r>
                </w:p>
              </w:tc>
              <w:tc>
                <w:tcPr>
                  <w:tcW w:w="3177" w:type="dxa"/>
                  <w:shd w:val="clear" w:color="auto" w:fill="BFBFBF" w:themeFill="background1" w:themeFillShade="BF"/>
                </w:tcPr>
                <w:p w14:paraId="5F6CF05E" w14:textId="77777777" w:rsidR="00320FF5" w:rsidRDefault="00320FF5" w:rsidP="00EF29CC">
                  <w:pPr>
                    <w:ind w:right="-29"/>
                    <w:jc w:val="center"/>
                    <w:rPr>
                      <w:sz w:val="20"/>
                      <w:szCs w:val="20"/>
                      <w:lang w:val="en-US"/>
                    </w:rPr>
                  </w:pPr>
                  <w:r w:rsidRPr="00161EAF">
                    <w:rPr>
                      <w:b/>
                      <w:bCs/>
                      <w:sz w:val="20"/>
                      <w:szCs w:val="20"/>
                      <w:lang w:val="en-US"/>
                    </w:rPr>
                    <w:t>Observations</w:t>
                  </w:r>
                </w:p>
              </w:tc>
            </w:tr>
            <w:tr w:rsidR="00320FF5" w:rsidRPr="00161EAF" w14:paraId="5F89138C" w14:textId="77777777" w:rsidTr="00EF29CC">
              <w:tc>
                <w:tcPr>
                  <w:tcW w:w="2005" w:type="dxa"/>
                  <w:vAlign w:val="center"/>
                </w:tcPr>
                <w:p w14:paraId="5EFCC9C2"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tcPr>
                <w:p w14:paraId="22D50BFE" w14:textId="77777777" w:rsidR="00320FF5" w:rsidRPr="00161EAF" w:rsidRDefault="00320FF5" w:rsidP="00EF29CC">
                  <w:pPr>
                    <w:ind w:right="-29"/>
                    <w:jc w:val="both"/>
                    <w:rPr>
                      <w:sz w:val="20"/>
                      <w:szCs w:val="20"/>
                      <w:lang w:val="en-US"/>
                    </w:rPr>
                  </w:pPr>
                  <w:r>
                    <w:rPr>
                      <w:sz w:val="20"/>
                      <w:szCs w:val="20"/>
                      <w:lang w:val="en-US"/>
                    </w:rPr>
                    <w:t>The paper exhibits a brownish black color.</w:t>
                  </w:r>
                </w:p>
              </w:tc>
              <w:tc>
                <w:tcPr>
                  <w:tcW w:w="3177" w:type="dxa"/>
                  <w:vAlign w:val="center"/>
                </w:tcPr>
                <w:p w14:paraId="6239D40E"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2AA0A025" w14:textId="77777777" w:rsidTr="00EF29CC">
              <w:tc>
                <w:tcPr>
                  <w:tcW w:w="2005" w:type="dxa"/>
                  <w:vAlign w:val="center"/>
                </w:tcPr>
                <w:p w14:paraId="28BFC25E" w14:textId="77777777" w:rsidR="00320FF5" w:rsidRPr="00161EAF" w:rsidRDefault="00320FF5" w:rsidP="00EF29CC">
                  <w:pPr>
                    <w:ind w:right="-29"/>
                    <w:rPr>
                      <w:sz w:val="20"/>
                      <w:szCs w:val="20"/>
                      <w:lang w:val="en-US"/>
                    </w:rPr>
                  </w:pPr>
                  <w:r w:rsidRPr="00161EAF">
                    <w:rPr>
                      <w:sz w:val="20"/>
                      <w:szCs w:val="20"/>
                      <w:lang w:val="en-US"/>
                    </w:rPr>
                    <w:t>Identification b</w:t>
                  </w:r>
                </w:p>
              </w:tc>
              <w:tc>
                <w:tcPr>
                  <w:tcW w:w="5244" w:type="dxa"/>
                  <w:vAlign w:val="center"/>
                </w:tcPr>
                <w:p w14:paraId="5F906830" w14:textId="77777777" w:rsidR="00320FF5" w:rsidRPr="006F2DD4" w:rsidRDefault="00320FF5" w:rsidP="00EF29CC">
                  <w:pPr>
                    <w:ind w:right="-29"/>
                    <w:jc w:val="both"/>
                    <w:rPr>
                      <w:sz w:val="20"/>
                      <w:szCs w:val="20"/>
                      <w:lang w:val="en-US"/>
                    </w:rPr>
                  </w:pPr>
                  <w:r>
                    <w:rPr>
                      <w:color w:val="000000"/>
                      <w:sz w:val="20"/>
                      <w:szCs w:val="20"/>
                      <w:shd w:val="clear" w:color="auto" w:fill="FFFFFF"/>
                    </w:rPr>
                    <w:t xml:space="preserve">A greenish blue </w:t>
                  </w:r>
                  <w:proofErr w:type="spellStart"/>
                  <w:r>
                    <w:rPr>
                      <w:color w:val="000000"/>
                      <w:sz w:val="20"/>
                      <w:szCs w:val="20"/>
                      <w:shd w:val="clear" w:color="auto" w:fill="FFFFFF"/>
                    </w:rPr>
                    <w:t>color</w:t>
                  </w:r>
                  <w:proofErr w:type="spellEnd"/>
                  <w:r>
                    <w:rPr>
                      <w:color w:val="000000"/>
                      <w:sz w:val="20"/>
                      <w:szCs w:val="20"/>
                      <w:shd w:val="clear" w:color="auto" w:fill="FFFFFF"/>
                    </w:rPr>
                    <w:t xml:space="preserve"> or precipitate is produced.</w:t>
                  </w:r>
                </w:p>
              </w:tc>
              <w:tc>
                <w:tcPr>
                  <w:tcW w:w="3177" w:type="dxa"/>
                  <w:vAlign w:val="center"/>
                </w:tcPr>
                <w:p w14:paraId="41F9E3B0" w14:textId="77777777" w:rsidR="00320FF5" w:rsidRPr="00161EAF" w:rsidRDefault="00320FF5" w:rsidP="00EF29CC">
                  <w:pPr>
                    <w:ind w:right="-29"/>
                    <w:rPr>
                      <w:sz w:val="20"/>
                      <w:szCs w:val="20"/>
                      <w:lang w:val="en-US"/>
                    </w:rPr>
                  </w:pPr>
                  <w:r>
                    <w:rPr>
                      <w:sz w:val="20"/>
                      <w:szCs w:val="20"/>
                      <w:lang w:val="en-US"/>
                    </w:rPr>
                    <w:t>None</w:t>
                  </w:r>
                </w:p>
              </w:tc>
            </w:tr>
            <w:tr w:rsidR="00320FF5" w:rsidRPr="00161EAF" w14:paraId="798CCE1D" w14:textId="77777777" w:rsidTr="00EF29CC">
              <w:tc>
                <w:tcPr>
                  <w:tcW w:w="2005" w:type="dxa"/>
                  <w:vAlign w:val="center"/>
                </w:tcPr>
                <w:p w14:paraId="6F2C70AC" w14:textId="77777777" w:rsidR="00320FF5" w:rsidRPr="00161EAF" w:rsidRDefault="00320FF5" w:rsidP="00EF29CC">
                  <w:pPr>
                    <w:ind w:right="-29"/>
                    <w:rPr>
                      <w:sz w:val="20"/>
                      <w:szCs w:val="20"/>
                      <w:lang w:val="en-US"/>
                    </w:rPr>
                  </w:pPr>
                  <w:r>
                    <w:rPr>
                      <w:sz w:val="20"/>
                      <w:szCs w:val="20"/>
                      <w:lang w:val="en-US"/>
                    </w:rPr>
                    <w:t>Related substances</w:t>
                  </w:r>
                </w:p>
              </w:tc>
              <w:tc>
                <w:tcPr>
                  <w:tcW w:w="5244" w:type="dxa"/>
                  <w:vAlign w:val="center"/>
                </w:tcPr>
                <w:p w14:paraId="16EB7065" w14:textId="77777777" w:rsidR="00320FF5" w:rsidRPr="003446AB" w:rsidRDefault="00320FF5" w:rsidP="00EF29CC">
                  <w:pPr>
                    <w:ind w:right="-29"/>
                    <w:jc w:val="both"/>
                    <w:rPr>
                      <w:sz w:val="20"/>
                      <w:szCs w:val="20"/>
                      <w:lang w:val="en-US"/>
                    </w:rPr>
                  </w:pPr>
                  <w:r>
                    <w:rPr>
                      <w:color w:val="000000"/>
                      <w:sz w:val="20"/>
                      <w:szCs w:val="20"/>
                      <w:shd w:val="clear" w:color="auto" w:fill="FFFFFF"/>
                    </w:rPr>
                    <w:t>Any secondary spot in the chromatogram obtained with solution (1) is not more intense than the spot in the chromatogram obtained with solution (2) (1 %).</w:t>
                  </w:r>
                </w:p>
              </w:tc>
              <w:tc>
                <w:tcPr>
                  <w:tcW w:w="3177" w:type="dxa"/>
                  <w:vAlign w:val="center"/>
                </w:tcPr>
                <w:p w14:paraId="61439A8C" w14:textId="77777777" w:rsidR="00320FF5" w:rsidRPr="00161EAF" w:rsidRDefault="00320FF5" w:rsidP="00EF29CC">
                  <w:pPr>
                    <w:ind w:right="-29"/>
                    <w:rPr>
                      <w:sz w:val="20"/>
                      <w:szCs w:val="20"/>
                      <w:lang w:val="en-US"/>
                    </w:rPr>
                  </w:pPr>
                  <w:r>
                    <w:rPr>
                      <w:sz w:val="20"/>
                      <w:szCs w:val="20"/>
                      <w:lang w:val="en-US"/>
                    </w:rPr>
                    <w:t>Thin-layer chromatography</w:t>
                  </w:r>
                </w:p>
              </w:tc>
            </w:tr>
            <w:tr w:rsidR="00320FF5" w:rsidRPr="00161EAF" w14:paraId="768E3F41" w14:textId="77777777" w:rsidTr="00EF29CC">
              <w:tc>
                <w:tcPr>
                  <w:tcW w:w="2005" w:type="dxa"/>
                  <w:vAlign w:val="center"/>
                </w:tcPr>
                <w:p w14:paraId="29CC25E6" w14:textId="77777777" w:rsidR="00320FF5" w:rsidRDefault="00320FF5" w:rsidP="00EF29CC">
                  <w:pPr>
                    <w:ind w:right="-29"/>
                    <w:rPr>
                      <w:sz w:val="20"/>
                      <w:szCs w:val="20"/>
                      <w:lang w:val="en-US"/>
                    </w:rPr>
                  </w:pPr>
                  <w:r>
                    <w:rPr>
                      <w:sz w:val="20"/>
                      <w:szCs w:val="20"/>
                      <w:lang w:val="en-US"/>
                    </w:rPr>
                    <w:t>Assay</w:t>
                  </w:r>
                </w:p>
              </w:tc>
              <w:tc>
                <w:tcPr>
                  <w:tcW w:w="5244" w:type="dxa"/>
                  <w:vAlign w:val="center"/>
                </w:tcPr>
                <w:p w14:paraId="17D6A9AC" w14:textId="77777777" w:rsidR="00320FF5" w:rsidRPr="003446AB" w:rsidRDefault="00320FF5" w:rsidP="00EF29CC">
                  <w:pPr>
                    <w:ind w:right="-29"/>
                    <w:jc w:val="both"/>
                    <w:rPr>
                      <w:color w:val="000000"/>
                      <w:sz w:val="20"/>
                      <w:szCs w:val="20"/>
                      <w:shd w:val="clear" w:color="auto" w:fill="FFFFFF"/>
                    </w:rPr>
                  </w:pPr>
                  <w:r>
                    <w:rPr>
                      <w:sz w:val="20"/>
                      <w:szCs w:val="20"/>
                      <w:lang w:val="en-US"/>
                    </w:rPr>
                    <w:t>95.0 to 105.0 % of the stated amount of acetazolamide.</w:t>
                  </w:r>
                </w:p>
              </w:tc>
              <w:tc>
                <w:tcPr>
                  <w:tcW w:w="3177" w:type="dxa"/>
                  <w:vAlign w:val="center"/>
                </w:tcPr>
                <w:p w14:paraId="2137D90B" w14:textId="77777777" w:rsidR="00320FF5" w:rsidRDefault="00320FF5" w:rsidP="00EF29CC">
                  <w:pPr>
                    <w:ind w:right="-29"/>
                    <w:rPr>
                      <w:sz w:val="20"/>
                      <w:szCs w:val="20"/>
                      <w:lang w:val="en-US"/>
                    </w:rPr>
                  </w:pPr>
                  <w:r>
                    <w:rPr>
                      <w:sz w:val="20"/>
                      <w:szCs w:val="20"/>
                      <w:lang w:val="en-US"/>
                    </w:rPr>
                    <w:t>Potentiometric titration</w:t>
                  </w:r>
                </w:p>
              </w:tc>
            </w:tr>
          </w:tbl>
          <w:p w14:paraId="4A1D8CA9" w14:textId="77777777" w:rsidR="00320FF5" w:rsidRPr="00161EAF" w:rsidRDefault="00320FF5" w:rsidP="00EF29CC">
            <w:pPr>
              <w:ind w:right="-29"/>
              <w:rPr>
                <w:sz w:val="20"/>
                <w:szCs w:val="20"/>
                <w:lang w:val="en-US"/>
              </w:rPr>
            </w:pPr>
          </w:p>
        </w:tc>
      </w:tr>
    </w:tbl>
    <w:p w14:paraId="3A11D368" w14:textId="254A4BE5" w:rsidR="00D14509" w:rsidRDefault="00D14509" w:rsidP="00990997">
      <w:pPr>
        <w:rPr>
          <w:sz w:val="20"/>
          <w:szCs w:val="20"/>
          <w:lang w:val="en-US"/>
        </w:rPr>
      </w:pPr>
    </w:p>
    <w:p w14:paraId="2E4E44CB" w14:textId="064979AE"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6EA0D5CB" w14:textId="77777777" w:rsidTr="00EF29CC">
        <w:trPr>
          <w:trHeight w:val="680"/>
          <w:jc w:val="center"/>
        </w:trPr>
        <w:tc>
          <w:tcPr>
            <w:tcW w:w="10705" w:type="dxa"/>
            <w:tcBorders>
              <w:bottom w:val="dotted" w:sz="4" w:space="0" w:color="auto"/>
            </w:tcBorders>
            <w:shd w:val="clear" w:color="auto" w:fill="DBE5F1"/>
            <w:vAlign w:val="center"/>
          </w:tcPr>
          <w:p w14:paraId="1370EF81" w14:textId="77777777" w:rsidR="00320FF5" w:rsidRPr="00161EAF" w:rsidRDefault="00320FF5" w:rsidP="00320FF5">
            <w:pPr>
              <w:pStyle w:val="Prrafodelista"/>
              <w:numPr>
                <w:ilvl w:val="0"/>
                <w:numId w:val="19"/>
              </w:numPr>
              <w:ind w:right="-29"/>
              <w:rPr>
                <w:b/>
                <w:sz w:val="20"/>
                <w:szCs w:val="20"/>
                <w:lang w:val="en-US"/>
              </w:rPr>
            </w:pPr>
            <w:r w:rsidRPr="00161EAF">
              <w:rPr>
                <w:b/>
                <w:sz w:val="20"/>
                <w:szCs w:val="20"/>
                <w:lang w:val="en-US"/>
              </w:rPr>
              <w:lastRenderedPageBreak/>
              <w:t>REVISION OF PATENTS (BACKGROUND AND RESTRICTIONS)</w:t>
            </w:r>
          </w:p>
        </w:tc>
      </w:tr>
      <w:tr w:rsidR="00320FF5" w:rsidRPr="00161EAF" w14:paraId="6C9E6345" w14:textId="77777777" w:rsidTr="00EF29CC">
        <w:trPr>
          <w:trHeight w:val="680"/>
          <w:jc w:val="center"/>
        </w:trPr>
        <w:tc>
          <w:tcPr>
            <w:tcW w:w="10705" w:type="dxa"/>
            <w:tcBorders>
              <w:top w:val="dotted" w:sz="4" w:space="0" w:color="auto"/>
            </w:tcBorders>
            <w:shd w:val="clear" w:color="auto" w:fill="auto"/>
            <w:vAlign w:val="center"/>
          </w:tcPr>
          <w:p w14:paraId="2B36B3D9" w14:textId="77777777" w:rsidR="00320FF5" w:rsidRPr="00161EAF" w:rsidRDefault="00320FF5" w:rsidP="00EF29CC">
            <w:pPr>
              <w:ind w:right="-29"/>
              <w:rPr>
                <w:bCs/>
                <w:sz w:val="20"/>
                <w:szCs w:val="20"/>
                <w:lang w:val="en-US"/>
              </w:rPr>
            </w:pPr>
            <w:r w:rsidRPr="00161EAF">
              <w:rPr>
                <w:bCs/>
                <w:sz w:val="20"/>
                <w:szCs w:val="20"/>
                <w:lang w:val="en-US"/>
              </w:rPr>
              <w:t>See patent revision report.</w:t>
            </w:r>
          </w:p>
        </w:tc>
      </w:tr>
    </w:tbl>
    <w:p w14:paraId="4BCDC6A0" w14:textId="1E7F2A8C" w:rsidR="00D14509" w:rsidRDefault="00D14509" w:rsidP="00990997">
      <w:pPr>
        <w:rPr>
          <w:sz w:val="20"/>
          <w:szCs w:val="20"/>
          <w:lang w:val="en-US"/>
        </w:rPr>
      </w:pPr>
    </w:p>
    <w:p w14:paraId="60C93531" w14:textId="1BA9081B" w:rsidR="00320FF5" w:rsidRDefault="00320FF5">
      <w:pPr>
        <w:rPr>
          <w:sz w:val="20"/>
          <w:szCs w:val="20"/>
          <w:lang w:val="en-US"/>
        </w:rPr>
      </w:pPr>
      <w:r>
        <w:rPr>
          <w:sz w:val="20"/>
          <w:szCs w:val="20"/>
          <w:lang w:val="en-US"/>
        </w:rPr>
        <w:br w:type="page"/>
      </w: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320FF5" w:rsidRPr="00161EAF" w14:paraId="28F240A9" w14:textId="77777777" w:rsidTr="00EF29CC">
        <w:trPr>
          <w:trHeight w:val="680"/>
          <w:jc w:val="center"/>
        </w:trPr>
        <w:tc>
          <w:tcPr>
            <w:tcW w:w="10705" w:type="dxa"/>
            <w:tcBorders>
              <w:bottom w:val="dotted" w:sz="4" w:space="0" w:color="auto"/>
            </w:tcBorders>
            <w:shd w:val="clear" w:color="auto" w:fill="DBE5F1"/>
            <w:vAlign w:val="center"/>
          </w:tcPr>
          <w:p w14:paraId="1B3DB26A" w14:textId="77777777" w:rsidR="00320FF5" w:rsidRPr="00161EAF" w:rsidRDefault="00320FF5" w:rsidP="00320FF5">
            <w:pPr>
              <w:pStyle w:val="Prrafodelista"/>
              <w:numPr>
                <w:ilvl w:val="0"/>
                <w:numId w:val="20"/>
              </w:numPr>
              <w:ind w:right="-29"/>
              <w:rPr>
                <w:b/>
                <w:sz w:val="20"/>
                <w:szCs w:val="20"/>
                <w:lang w:val="en-US"/>
              </w:rPr>
            </w:pPr>
            <w:r w:rsidRPr="00161EAF">
              <w:rPr>
                <w:b/>
                <w:sz w:val="20"/>
                <w:szCs w:val="20"/>
                <w:lang w:val="en-US"/>
              </w:rPr>
              <w:lastRenderedPageBreak/>
              <w:t>REFERENCES</w:t>
            </w:r>
            <w:r w:rsidRPr="00161EAF">
              <w:rPr>
                <w:sz w:val="20"/>
                <w:szCs w:val="20"/>
                <w:lang w:val="en-US"/>
              </w:rPr>
              <w:t xml:space="preserve"> (Specify the references throughout the document with numbers between brackets i.e. [1])</w:t>
            </w:r>
          </w:p>
        </w:tc>
      </w:tr>
      <w:tr w:rsidR="00320FF5" w:rsidRPr="00161EAF" w14:paraId="7F166B8D" w14:textId="77777777" w:rsidTr="00EF29CC">
        <w:trPr>
          <w:trHeight w:val="844"/>
          <w:jc w:val="center"/>
        </w:trPr>
        <w:tc>
          <w:tcPr>
            <w:tcW w:w="10705" w:type="dxa"/>
            <w:tcBorders>
              <w:top w:val="dotted" w:sz="4" w:space="0" w:color="auto"/>
            </w:tcBorders>
            <w:shd w:val="clear" w:color="auto" w:fill="auto"/>
            <w:vAlign w:val="center"/>
          </w:tcPr>
          <w:p w14:paraId="70A7570D" w14:textId="77777777" w:rsidR="00320FF5" w:rsidRPr="00161EAF" w:rsidRDefault="00320FF5" w:rsidP="00EF29CC">
            <w:pPr>
              <w:ind w:right="-29"/>
              <w:jc w:val="both"/>
              <w:rPr>
                <w:rStyle w:val="Hipervnculo"/>
                <w:u w:val="none"/>
                <w:lang w:val="en-US"/>
              </w:rPr>
            </w:pPr>
            <w:r w:rsidRPr="00161EAF">
              <w:rPr>
                <w:b/>
                <w:sz w:val="20"/>
                <w:szCs w:val="20"/>
                <w:lang w:val="en-US"/>
              </w:rPr>
              <w:t xml:space="preserve">[1] </w:t>
            </w:r>
            <w:r w:rsidRPr="00161EAF">
              <w:rPr>
                <w:bCs/>
                <w:sz w:val="20"/>
                <w:szCs w:val="20"/>
                <w:lang w:val="en-US"/>
              </w:rPr>
              <w:t xml:space="preserve">National Center for Biotechnology Information (2022). PubChem Compound Summary for CID 16078, </w:t>
            </w:r>
            <w:proofErr w:type="spellStart"/>
            <w:r w:rsidRPr="00161EAF">
              <w:rPr>
                <w:bCs/>
                <w:sz w:val="20"/>
                <w:szCs w:val="20"/>
                <w:lang w:val="en-US"/>
              </w:rPr>
              <w:t>Dronabinol</w:t>
            </w:r>
            <w:proofErr w:type="spellEnd"/>
            <w:r w:rsidRPr="00161EAF">
              <w:rPr>
                <w:bCs/>
                <w:sz w:val="20"/>
                <w:szCs w:val="20"/>
                <w:lang w:val="en-US"/>
              </w:rPr>
              <w:t>. Retrieved January 4, 2022, from </w:t>
            </w:r>
            <w:hyperlink r:id="rId12" w:history="1">
              <w:r w:rsidRPr="00161EAF">
                <w:rPr>
                  <w:rStyle w:val="Hipervnculo"/>
                  <w:sz w:val="20"/>
                  <w:szCs w:val="20"/>
                  <w:lang w:val="en-US"/>
                </w:rPr>
                <w:t>https://pubchem.ncbi.nlm.nih.gov/compound/Dronabinol</w:t>
              </w:r>
            </w:hyperlink>
            <w:r w:rsidRPr="00161EAF">
              <w:rPr>
                <w:rStyle w:val="Hipervnculo"/>
                <w:sz w:val="20"/>
                <w:szCs w:val="20"/>
                <w:u w:val="none"/>
                <w:lang w:val="en-US"/>
              </w:rPr>
              <w:t>.</w:t>
            </w:r>
          </w:p>
          <w:p w14:paraId="5EC38EBF" w14:textId="77777777" w:rsidR="00320FF5" w:rsidRPr="00161EAF" w:rsidRDefault="00320FF5" w:rsidP="00EF29CC">
            <w:pPr>
              <w:ind w:right="-29"/>
              <w:jc w:val="both"/>
              <w:rPr>
                <w:bCs/>
                <w:sz w:val="20"/>
                <w:szCs w:val="20"/>
                <w:lang w:val="en-US"/>
              </w:rPr>
            </w:pPr>
            <w:r w:rsidRPr="00161EAF">
              <w:rPr>
                <w:b/>
                <w:sz w:val="20"/>
                <w:szCs w:val="20"/>
                <w:lang w:val="en-US"/>
              </w:rPr>
              <w:t xml:space="preserve">[2] </w:t>
            </w:r>
            <w:proofErr w:type="spellStart"/>
            <w:r w:rsidRPr="00161EAF">
              <w:rPr>
                <w:bCs/>
                <w:sz w:val="20"/>
                <w:szCs w:val="20"/>
                <w:lang w:val="en-US"/>
              </w:rPr>
              <w:t>Dronabinol</w:t>
            </w:r>
            <w:proofErr w:type="spellEnd"/>
            <w:r w:rsidRPr="00161EAF">
              <w:rPr>
                <w:bCs/>
                <w:sz w:val="20"/>
                <w:szCs w:val="20"/>
                <w:lang w:val="en-US"/>
              </w:rPr>
              <w:t xml:space="preserve"> in Sesame Oil, Product Technical Package, US DMF # 20682, </w:t>
            </w:r>
            <w:proofErr w:type="spellStart"/>
            <w:r w:rsidRPr="00161EAF">
              <w:rPr>
                <w:bCs/>
                <w:sz w:val="20"/>
                <w:szCs w:val="20"/>
                <w:lang w:val="en-US"/>
              </w:rPr>
              <w:t>Purisys</w:t>
            </w:r>
            <w:r w:rsidRPr="00161EAF">
              <w:rPr>
                <w:bCs/>
                <w:sz w:val="20"/>
                <w:szCs w:val="20"/>
                <w:vertAlign w:val="superscript"/>
                <w:lang w:val="en-US"/>
              </w:rPr>
              <w:t>TM</w:t>
            </w:r>
            <w:proofErr w:type="spellEnd"/>
            <w:r w:rsidRPr="00161EAF">
              <w:rPr>
                <w:bCs/>
                <w:sz w:val="20"/>
                <w:szCs w:val="20"/>
                <w:lang w:val="en-US"/>
              </w:rPr>
              <w:t>.</w:t>
            </w:r>
          </w:p>
          <w:p w14:paraId="0F482D80" w14:textId="77777777" w:rsidR="00320FF5" w:rsidRPr="00161EAF" w:rsidRDefault="00320FF5" w:rsidP="00EF29CC">
            <w:pPr>
              <w:ind w:right="-29"/>
              <w:jc w:val="both"/>
              <w:rPr>
                <w:bCs/>
                <w:sz w:val="20"/>
                <w:szCs w:val="20"/>
                <w:lang w:val="en-US"/>
              </w:rPr>
            </w:pPr>
            <w:r w:rsidRPr="00161EAF">
              <w:rPr>
                <w:b/>
                <w:sz w:val="20"/>
                <w:szCs w:val="20"/>
                <w:lang w:val="en-US"/>
              </w:rPr>
              <w:t xml:space="preserve">[3] </w:t>
            </w:r>
            <w:proofErr w:type="spellStart"/>
            <w:r w:rsidRPr="00161EAF">
              <w:rPr>
                <w:bCs/>
                <w:sz w:val="20"/>
                <w:szCs w:val="20"/>
                <w:lang w:val="en-US"/>
              </w:rPr>
              <w:t>Ronak</w:t>
            </w:r>
            <w:proofErr w:type="spellEnd"/>
            <w:r w:rsidRPr="00161EAF">
              <w:rPr>
                <w:bCs/>
                <w:sz w:val="20"/>
                <w:szCs w:val="20"/>
                <w:lang w:val="en-US"/>
              </w:rPr>
              <w:t xml:space="preserve"> </w:t>
            </w:r>
            <w:proofErr w:type="spellStart"/>
            <w:r w:rsidRPr="00161EAF">
              <w:rPr>
                <w:bCs/>
                <w:sz w:val="20"/>
                <w:szCs w:val="20"/>
                <w:lang w:val="en-US"/>
              </w:rPr>
              <w:t>Savla</w:t>
            </w:r>
            <w:proofErr w:type="spellEnd"/>
            <w:r w:rsidRPr="00161EAF">
              <w:rPr>
                <w:bCs/>
                <w:sz w:val="20"/>
                <w:szCs w:val="20"/>
                <w:lang w:val="en-US"/>
              </w:rPr>
              <w:t xml:space="preserve">, Jeff Browne, Vincent </w:t>
            </w:r>
            <w:proofErr w:type="spellStart"/>
            <w:r w:rsidRPr="00161EAF">
              <w:rPr>
                <w:bCs/>
                <w:sz w:val="20"/>
                <w:szCs w:val="20"/>
                <w:lang w:val="en-US"/>
              </w:rPr>
              <w:t>Plassat</w:t>
            </w:r>
            <w:proofErr w:type="spellEnd"/>
            <w:r w:rsidRPr="00161EAF">
              <w:rPr>
                <w:bCs/>
                <w:sz w:val="20"/>
                <w:szCs w:val="20"/>
                <w:lang w:val="en-US"/>
              </w:rPr>
              <w:t xml:space="preserve">, </w:t>
            </w:r>
            <w:proofErr w:type="spellStart"/>
            <w:r w:rsidRPr="00161EAF">
              <w:rPr>
                <w:bCs/>
                <w:sz w:val="20"/>
                <w:szCs w:val="20"/>
                <w:lang w:val="en-US"/>
              </w:rPr>
              <w:t>Kishor</w:t>
            </w:r>
            <w:proofErr w:type="spellEnd"/>
            <w:r w:rsidRPr="00161EAF">
              <w:rPr>
                <w:bCs/>
                <w:sz w:val="20"/>
                <w:szCs w:val="20"/>
                <w:lang w:val="en-US"/>
              </w:rPr>
              <w:t xml:space="preserve"> M. </w:t>
            </w:r>
            <w:proofErr w:type="spellStart"/>
            <w:r w:rsidRPr="00161EAF">
              <w:rPr>
                <w:bCs/>
                <w:sz w:val="20"/>
                <w:szCs w:val="20"/>
                <w:lang w:val="en-US"/>
              </w:rPr>
              <w:t>Wasan</w:t>
            </w:r>
            <w:proofErr w:type="spellEnd"/>
            <w:r w:rsidRPr="00161EAF">
              <w:rPr>
                <w:bCs/>
                <w:sz w:val="20"/>
                <w:szCs w:val="20"/>
                <w:lang w:val="en-US"/>
              </w:rPr>
              <w:t xml:space="preserve"> &amp; Ellen K. </w:t>
            </w:r>
            <w:proofErr w:type="spellStart"/>
            <w:r w:rsidRPr="00161EAF">
              <w:rPr>
                <w:bCs/>
                <w:sz w:val="20"/>
                <w:szCs w:val="20"/>
                <w:lang w:val="en-US"/>
              </w:rPr>
              <w:t>Wasan</w:t>
            </w:r>
            <w:proofErr w:type="spellEnd"/>
            <w:r w:rsidRPr="00161EAF">
              <w:rPr>
                <w:bCs/>
                <w:sz w:val="20"/>
                <w:szCs w:val="20"/>
                <w:lang w:val="en-US"/>
              </w:rPr>
              <w:t xml:space="preserve"> (2017) Review and analysis of FDA approved drugs using lipid-based formulations, Drug Development and Industrial Pharmacy, 43:11, 1743-1758.</w:t>
            </w:r>
          </w:p>
          <w:p w14:paraId="5F06417E" w14:textId="77777777" w:rsidR="00320FF5" w:rsidRPr="00161EAF" w:rsidRDefault="00320FF5" w:rsidP="00EF29CC">
            <w:pPr>
              <w:ind w:right="-29"/>
              <w:jc w:val="both"/>
              <w:rPr>
                <w:b/>
                <w:sz w:val="20"/>
                <w:szCs w:val="20"/>
                <w:lang w:val="en-US"/>
              </w:rPr>
            </w:pPr>
            <w:r w:rsidRPr="00161EAF">
              <w:rPr>
                <w:b/>
                <w:bCs/>
                <w:sz w:val="20"/>
                <w:szCs w:val="20"/>
                <w:lang w:val="en-US"/>
              </w:rPr>
              <w:t xml:space="preserve">[4] </w:t>
            </w:r>
            <w:r w:rsidRPr="00161EAF">
              <w:rPr>
                <w:bCs/>
                <w:sz w:val="20"/>
                <w:szCs w:val="20"/>
                <w:lang w:val="en-US"/>
              </w:rPr>
              <w:t>National Center for Biotechnology Information (2022). PubChem Compound Summary for CID 1986, Acetazolamide. Retrieved January 5, 2022, from </w:t>
            </w:r>
            <w:hyperlink r:id="rId13" w:history="1">
              <w:r w:rsidRPr="00161EAF">
                <w:rPr>
                  <w:bCs/>
                  <w:sz w:val="20"/>
                  <w:szCs w:val="20"/>
                  <w:lang w:val="en-US"/>
                </w:rPr>
                <w:t>https://pubchem.ncbi.nlm.nih.gov/compound/Acetazolamide</w:t>
              </w:r>
            </w:hyperlink>
            <w:r w:rsidRPr="00161EAF">
              <w:rPr>
                <w:bCs/>
                <w:sz w:val="20"/>
                <w:szCs w:val="20"/>
                <w:lang w:val="en-US"/>
              </w:rPr>
              <w:t>.</w:t>
            </w:r>
          </w:p>
          <w:p w14:paraId="0E0B6F3F" w14:textId="77777777" w:rsidR="00320FF5" w:rsidRPr="00161EAF" w:rsidRDefault="00320FF5" w:rsidP="00EF29CC">
            <w:pPr>
              <w:ind w:right="-29"/>
              <w:jc w:val="both"/>
              <w:rPr>
                <w:bCs/>
                <w:sz w:val="20"/>
                <w:szCs w:val="20"/>
                <w:u w:val="single"/>
                <w:lang w:val="en-US"/>
              </w:rPr>
            </w:pPr>
            <w:r w:rsidRPr="00161EAF">
              <w:rPr>
                <w:b/>
                <w:sz w:val="20"/>
                <w:szCs w:val="20"/>
                <w:lang w:val="en-US"/>
              </w:rPr>
              <w:t xml:space="preserve">[5] </w:t>
            </w:r>
            <w:r w:rsidRPr="00161EAF">
              <w:rPr>
                <w:bCs/>
                <w:sz w:val="20"/>
                <w:szCs w:val="20"/>
                <w:lang w:val="en-US"/>
              </w:rPr>
              <w:t>Reference tables: USP. Description and Relative Solubility of USP and NF Articles. In USP-NF. Rockville, MD: USP; January 5, 2022.</w:t>
            </w:r>
          </w:p>
          <w:p w14:paraId="67B769A6" w14:textId="77777777" w:rsidR="00320FF5" w:rsidRPr="00161EAF" w:rsidRDefault="00320FF5" w:rsidP="00EF29CC">
            <w:pPr>
              <w:ind w:right="-29"/>
              <w:jc w:val="both"/>
              <w:rPr>
                <w:rStyle w:val="Hipervnculo"/>
                <w:bCs/>
                <w:color w:val="000000" w:themeColor="text1"/>
                <w:u w:val="none"/>
                <w:lang w:val="en-US"/>
              </w:rPr>
            </w:pPr>
            <w:r w:rsidRPr="00161EAF">
              <w:rPr>
                <w:b/>
                <w:sz w:val="20"/>
                <w:szCs w:val="20"/>
                <w:lang w:val="en-US"/>
              </w:rPr>
              <w:t xml:space="preserve">[6] </w:t>
            </w:r>
            <w:proofErr w:type="spellStart"/>
            <w:r w:rsidRPr="00161EAF">
              <w:rPr>
                <w:bCs/>
                <w:sz w:val="20"/>
                <w:szCs w:val="20"/>
                <w:lang w:val="en-US"/>
              </w:rPr>
              <w:t>ChemSpider</w:t>
            </w:r>
            <w:proofErr w:type="spellEnd"/>
            <w:r w:rsidRPr="00161EAF">
              <w:rPr>
                <w:bCs/>
                <w:sz w:val="20"/>
                <w:szCs w:val="20"/>
                <w:lang w:val="en-US"/>
              </w:rPr>
              <w:t xml:space="preserve"> (2022).</w:t>
            </w:r>
            <w:r w:rsidRPr="00161EAF">
              <w:rPr>
                <w:b/>
                <w:sz w:val="20"/>
                <w:szCs w:val="20"/>
                <w:lang w:val="en-US"/>
              </w:rPr>
              <w:t xml:space="preserve"> </w:t>
            </w:r>
            <w:r w:rsidRPr="00161EAF">
              <w:rPr>
                <w:bCs/>
                <w:sz w:val="20"/>
                <w:szCs w:val="20"/>
                <w:lang w:val="en-US"/>
              </w:rPr>
              <w:t xml:space="preserve">Chemical Structure Search, Acetazolamide. Retrieved January 5, 2022, from </w:t>
            </w:r>
            <w:r w:rsidRPr="00161EAF">
              <w:rPr>
                <w:rStyle w:val="Hipervnculo"/>
                <w:bCs/>
                <w:sz w:val="20"/>
                <w:szCs w:val="20"/>
                <w:lang w:val="en-US"/>
              </w:rPr>
              <w:t>http://www.chemspider.com/Chemical-Structure.1909.html</w:t>
            </w:r>
            <w:r w:rsidRPr="00161EAF">
              <w:rPr>
                <w:rStyle w:val="Hipervnculo"/>
                <w:bCs/>
                <w:color w:val="000000" w:themeColor="text1"/>
                <w:sz w:val="20"/>
                <w:szCs w:val="20"/>
                <w:u w:val="none"/>
                <w:lang w:val="en-US"/>
              </w:rPr>
              <w:t>.</w:t>
            </w:r>
          </w:p>
          <w:p w14:paraId="025CF421" w14:textId="77777777" w:rsidR="00320FF5" w:rsidRPr="00161EAF" w:rsidRDefault="00320FF5" w:rsidP="00EF29CC">
            <w:pPr>
              <w:ind w:right="-29"/>
              <w:jc w:val="both"/>
              <w:rPr>
                <w:bCs/>
                <w:sz w:val="20"/>
                <w:szCs w:val="20"/>
                <w:lang w:val="en-US"/>
              </w:rPr>
            </w:pPr>
            <w:r w:rsidRPr="00161EAF">
              <w:rPr>
                <w:b/>
                <w:sz w:val="20"/>
                <w:szCs w:val="20"/>
                <w:lang w:val="en-US"/>
              </w:rPr>
              <w:t xml:space="preserve">[7] </w:t>
            </w:r>
            <w:proofErr w:type="spellStart"/>
            <w:r w:rsidRPr="00161EAF">
              <w:rPr>
                <w:bCs/>
                <w:sz w:val="20"/>
                <w:szCs w:val="20"/>
                <w:lang w:val="en-US"/>
              </w:rPr>
              <w:t>Griesser</w:t>
            </w:r>
            <w:proofErr w:type="spellEnd"/>
            <w:r w:rsidRPr="00161EAF">
              <w:rPr>
                <w:bCs/>
                <w:sz w:val="20"/>
                <w:szCs w:val="20"/>
                <w:lang w:val="en-US"/>
              </w:rPr>
              <w:t xml:space="preserve">, U. J., Burger, A., &amp; </w:t>
            </w:r>
            <w:proofErr w:type="spellStart"/>
            <w:r w:rsidRPr="00161EAF">
              <w:rPr>
                <w:bCs/>
                <w:sz w:val="20"/>
                <w:szCs w:val="20"/>
                <w:lang w:val="en-US"/>
              </w:rPr>
              <w:t>Mereiter</w:t>
            </w:r>
            <w:proofErr w:type="spellEnd"/>
            <w:r w:rsidRPr="00161EAF">
              <w:rPr>
                <w:bCs/>
                <w:sz w:val="20"/>
                <w:szCs w:val="20"/>
                <w:lang w:val="en-US"/>
              </w:rPr>
              <w:t>, K. (1997). The Polymorphic Drug Substances of the European Pharmacopoeia. Part 9. Physicochemical Properties and Crystal Structure of Acetazolamide Crystal Forms. Journal of Pharmaceutical Sciences, 86(3), 352–358.</w:t>
            </w:r>
          </w:p>
          <w:p w14:paraId="430E3BE7" w14:textId="77777777" w:rsidR="00320FF5" w:rsidRPr="00161EAF" w:rsidRDefault="00320FF5" w:rsidP="00EF29CC">
            <w:pPr>
              <w:ind w:right="-29"/>
              <w:jc w:val="both"/>
              <w:rPr>
                <w:b/>
                <w:sz w:val="20"/>
                <w:szCs w:val="20"/>
                <w:lang w:val="en-US"/>
              </w:rPr>
            </w:pPr>
            <w:r w:rsidRPr="00161EAF">
              <w:rPr>
                <w:b/>
                <w:sz w:val="20"/>
                <w:szCs w:val="20"/>
                <w:lang w:val="en-US"/>
              </w:rPr>
              <w:t xml:space="preserve">[8] </w:t>
            </w:r>
            <w:proofErr w:type="spellStart"/>
            <w:r w:rsidRPr="00161EAF">
              <w:rPr>
                <w:bCs/>
                <w:sz w:val="20"/>
                <w:szCs w:val="20"/>
                <w:lang w:val="en-US"/>
              </w:rPr>
              <w:t>Umeda</w:t>
            </w:r>
            <w:proofErr w:type="spellEnd"/>
            <w:r w:rsidRPr="00161EAF">
              <w:rPr>
                <w:bCs/>
                <w:sz w:val="20"/>
                <w:szCs w:val="20"/>
                <w:lang w:val="en-US"/>
              </w:rPr>
              <w:t xml:space="preserve">, T., Ohnishi, N., </w:t>
            </w:r>
            <w:proofErr w:type="spellStart"/>
            <w:r w:rsidRPr="00161EAF">
              <w:rPr>
                <w:bCs/>
                <w:sz w:val="20"/>
                <w:szCs w:val="20"/>
                <w:lang w:val="en-US"/>
              </w:rPr>
              <w:t>YokoyamA</w:t>
            </w:r>
            <w:proofErr w:type="spellEnd"/>
            <w:r w:rsidRPr="00161EAF">
              <w:rPr>
                <w:bCs/>
                <w:sz w:val="20"/>
                <w:szCs w:val="20"/>
                <w:lang w:val="en-US"/>
              </w:rPr>
              <w:t>, T., Kuroda, T., Kita, Y., Kuroda, K., Matsuda, Y. (1985). </w:t>
            </w:r>
            <w:proofErr w:type="spellStart"/>
            <w:r w:rsidRPr="00161EAF">
              <w:rPr>
                <w:bCs/>
                <w:sz w:val="20"/>
                <w:szCs w:val="20"/>
                <w:lang w:val="en-US"/>
              </w:rPr>
              <w:t>Physico</w:t>
            </w:r>
            <w:proofErr w:type="spellEnd"/>
            <w:r w:rsidRPr="00161EAF">
              <w:rPr>
                <w:bCs/>
                <w:sz w:val="20"/>
                <w:szCs w:val="20"/>
                <w:lang w:val="en-US"/>
              </w:rPr>
              <w:t>-chemical properties and isothermal transition of acetazolamide polymorphs. Chemical &amp; Pharmaceutical Bulletin, 33(8), 3422–3428. </w:t>
            </w:r>
          </w:p>
          <w:p w14:paraId="141CE351" w14:textId="77777777" w:rsidR="00320FF5" w:rsidRDefault="00320FF5" w:rsidP="00EF29CC">
            <w:pPr>
              <w:ind w:right="-29"/>
              <w:jc w:val="both"/>
              <w:rPr>
                <w:bCs/>
                <w:sz w:val="20"/>
                <w:szCs w:val="20"/>
                <w:lang w:val="en-US"/>
              </w:rPr>
            </w:pPr>
            <w:r w:rsidRPr="00161EAF">
              <w:rPr>
                <w:b/>
                <w:sz w:val="20"/>
                <w:szCs w:val="20"/>
                <w:lang w:val="en-US"/>
              </w:rPr>
              <w:t xml:space="preserve">[9] </w:t>
            </w:r>
            <w:proofErr w:type="spellStart"/>
            <w:r w:rsidRPr="00161EAF">
              <w:rPr>
                <w:bCs/>
                <w:sz w:val="20"/>
                <w:szCs w:val="20"/>
                <w:lang w:val="en-US"/>
              </w:rPr>
              <w:t>Baraldi</w:t>
            </w:r>
            <w:proofErr w:type="spellEnd"/>
            <w:r w:rsidRPr="00161EAF">
              <w:rPr>
                <w:bCs/>
                <w:sz w:val="20"/>
                <w:szCs w:val="20"/>
                <w:lang w:val="en-US"/>
              </w:rPr>
              <w:t xml:space="preserve">, C., </w:t>
            </w:r>
            <w:proofErr w:type="spellStart"/>
            <w:r w:rsidRPr="00161EAF">
              <w:rPr>
                <w:bCs/>
                <w:sz w:val="20"/>
                <w:szCs w:val="20"/>
                <w:lang w:val="en-US"/>
              </w:rPr>
              <w:t>Gamberini</w:t>
            </w:r>
            <w:proofErr w:type="spellEnd"/>
            <w:r w:rsidRPr="00161EAF">
              <w:rPr>
                <w:bCs/>
                <w:sz w:val="20"/>
                <w:szCs w:val="20"/>
                <w:lang w:val="en-US"/>
              </w:rPr>
              <w:t xml:space="preserve">, M. C., </w:t>
            </w:r>
            <w:proofErr w:type="spellStart"/>
            <w:r w:rsidRPr="00161EAF">
              <w:rPr>
                <w:bCs/>
                <w:sz w:val="20"/>
                <w:szCs w:val="20"/>
                <w:lang w:val="en-US"/>
              </w:rPr>
              <w:t>Tinti</w:t>
            </w:r>
            <w:proofErr w:type="spellEnd"/>
            <w:r w:rsidRPr="00161EAF">
              <w:rPr>
                <w:bCs/>
                <w:sz w:val="20"/>
                <w:szCs w:val="20"/>
                <w:lang w:val="en-US"/>
              </w:rPr>
              <w:t xml:space="preserve">, A., </w:t>
            </w:r>
            <w:proofErr w:type="spellStart"/>
            <w:r w:rsidRPr="00161EAF">
              <w:rPr>
                <w:bCs/>
                <w:sz w:val="20"/>
                <w:szCs w:val="20"/>
                <w:lang w:val="en-US"/>
              </w:rPr>
              <w:t>Palazzoli</w:t>
            </w:r>
            <w:proofErr w:type="spellEnd"/>
            <w:r w:rsidRPr="00161EAF">
              <w:rPr>
                <w:bCs/>
                <w:sz w:val="20"/>
                <w:szCs w:val="20"/>
                <w:lang w:val="en-US"/>
              </w:rPr>
              <w:t xml:space="preserve">, F., &amp; </w:t>
            </w:r>
            <w:proofErr w:type="spellStart"/>
            <w:r w:rsidRPr="00161EAF">
              <w:rPr>
                <w:bCs/>
                <w:sz w:val="20"/>
                <w:szCs w:val="20"/>
                <w:lang w:val="en-US"/>
              </w:rPr>
              <w:t>Ferioli</w:t>
            </w:r>
            <w:proofErr w:type="spellEnd"/>
            <w:r w:rsidRPr="00161EAF">
              <w:rPr>
                <w:bCs/>
                <w:sz w:val="20"/>
                <w:szCs w:val="20"/>
                <w:lang w:val="en-US"/>
              </w:rPr>
              <w:t>, V. (2009). Vibrational study of acetazolamide polymorphism. Journal of Molecular Structure, 918(1-3), 88–96.</w:t>
            </w:r>
          </w:p>
          <w:p w14:paraId="33494F1A" w14:textId="77777777" w:rsidR="00320FF5" w:rsidRPr="0014605D" w:rsidRDefault="00320FF5" w:rsidP="00EF29CC">
            <w:pPr>
              <w:ind w:right="-29"/>
              <w:jc w:val="both"/>
              <w:rPr>
                <w:bCs/>
                <w:sz w:val="20"/>
                <w:szCs w:val="20"/>
                <w:lang w:val="en-US"/>
              </w:rPr>
            </w:pPr>
            <w:r w:rsidRPr="00935DD6">
              <w:rPr>
                <w:b/>
                <w:sz w:val="20"/>
                <w:szCs w:val="20"/>
                <w:lang w:val="en-US"/>
              </w:rPr>
              <w:t xml:space="preserve">[10] </w:t>
            </w:r>
            <w:proofErr w:type="spellStart"/>
            <w:r w:rsidRPr="00935DD6">
              <w:rPr>
                <w:bCs/>
                <w:sz w:val="20"/>
                <w:szCs w:val="20"/>
                <w:lang w:val="en-US"/>
              </w:rPr>
              <w:t>Zaheer</w:t>
            </w:r>
            <w:proofErr w:type="spellEnd"/>
            <w:r w:rsidRPr="00935DD6">
              <w:rPr>
                <w:bCs/>
                <w:sz w:val="20"/>
                <w:szCs w:val="20"/>
                <w:lang w:val="en-US"/>
              </w:rPr>
              <w:t xml:space="preserve">, M. </w:t>
            </w:r>
            <w:r w:rsidRPr="00935DD6">
              <w:rPr>
                <w:bCs/>
                <w:i/>
                <w:iCs/>
                <w:sz w:val="20"/>
                <w:szCs w:val="20"/>
                <w:lang w:val="en-US"/>
              </w:rPr>
              <w:t>et al</w:t>
            </w:r>
            <w:r w:rsidRPr="00935DD6">
              <w:rPr>
                <w:bCs/>
                <w:sz w:val="20"/>
                <w:szCs w:val="20"/>
                <w:lang w:val="en-US"/>
              </w:rPr>
              <w:t xml:space="preserve">. </w:t>
            </w:r>
            <w:r w:rsidRPr="0014605D">
              <w:rPr>
                <w:bCs/>
                <w:sz w:val="20"/>
                <w:szCs w:val="20"/>
                <w:lang w:val="en-US"/>
              </w:rPr>
              <w:t>Molecular Mechanisms of Drug P</w:t>
            </w:r>
            <w:r>
              <w:rPr>
                <w:bCs/>
                <w:sz w:val="20"/>
                <w:szCs w:val="20"/>
                <w:lang w:val="en-US"/>
              </w:rPr>
              <w:t xml:space="preserve">roducts </w:t>
            </w:r>
            <w:proofErr w:type="spellStart"/>
            <w:r>
              <w:rPr>
                <w:bCs/>
                <w:sz w:val="20"/>
                <w:szCs w:val="20"/>
                <w:lang w:val="en-US"/>
              </w:rPr>
              <w:t>Photodegradation</w:t>
            </w:r>
            <w:proofErr w:type="spellEnd"/>
            <w:r>
              <w:rPr>
                <w:bCs/>
                <w:sz w:val="20"/>
                <w:szCs w:val="20"/>
                <w:lang w:val="en-US"/>
              </w:rPr>
              <w:t xml:space="preserve"> and Photosensitization. Current Pharmaceutical Design, 2016, 22, 768-782.</w:t>
            </w:r>
          </w:p>
          <w:p w14:paraId="1E6C6686" w14:textId="77777777" w:rsidR="00320FF5" w:rsidRDefault="00320FF5" w:rsidP="00EF29CC">
            <w:pPr>
              <w:ind w:right="-29"/>
              <w:jc w:val="both"/>
              <w:rPr>
                <w:bCs/>
                <w:sz w:val="20"/>
                <w:szCs w:val="20"/>
                <w:lang w:val="en-US"/>
              </w:rPr>
            </w:pPr>
            <w:r w:rsidRPr="0014605D">
              <w:rPr>
                <w:b/>
                <w:sz w:val="20"/>
                <w:szCs w:val="20"/>
                <w:lang w:val="en-US"/>
              </w:rPr>
              <w:t>[11]</w:t>
            </w:r>
            <w:r>
              <w:rPr>
                <w:b/>
                <w:sz w:val="20"/>
                <w:szCs w:val="20"/>
                <w:lang w:val="en-US"/>
              </w:rPr>
              <w:t xml:space="preserve"> </w:t>
            </w:r>
            <w:r w:rsidRPr="0014605D">
              <w:rPr>
                <w:bCs/>
                <w:sz w:val="20"/>
                <w:szCs w:val="20"/>
                <w:lang w:val="en-US"/>
              </w:rPr>
              <w:t xml:space="preserve">Vargas, F., </w:t>
            </w:r>
            <w:proofErr w:type="spellStart"/>
            <w:r w:rsidRPr="0014605D">
              <w:rPr>
                <w:bCs/>
                <w:sz w:val="20"/>
                <w:szCs w:val="20"/>
                <w:lang w:val="en-US"/>
              </w:rPr>
              <w:t>Hisbeth</w:t>
            </w:r>
            <w:proofErr w:type="spellEnd"/>
            <w:r w:rsidRPr="0014605D">
              <w:rPr>
                <w:bCs/>
                <w:sz w:val="20"/>
                <w:szCs w:val="20"/>
                <w:lang w:val="en-US"/>
              </w:rPr>
              <w:t xml:space="preserve">, M. V., &amp; Rojas, J. K. (1998). Photolysis and photosensitized degradation of the diuretic drug acetazolamide. Journal of Photochemistry and Photobiology A: Chemistry, 118(1), 19–23. </w:t>
            </w:r>
          </w:p>
          <w:p w14:paraId="3FA5E07F" w14:textId="77777777" w:rsidR="00320FF5" w:rsidRPr="00161EAF" w:rsidRDefault="00320FF5" w:rsidP="00EF29CC">
            <w:pPr>
              <w:ind w:right="-29"/>
              <w:jc w:val="both"/>
              <w:rPr>
                <w:bCs/>
                <w:sz w:val="20"/>
                <w:szCs w:val="20"/>
                <w:lang w:val="en-US"/>
              </w:rPr>
            </w:pPr>
            <w:r w:rsidRPr="0014605D">
              <w:rPr>
                <w:b/>
                <w:sz w:val="20"/>
                <w:szCs w:val="20"/>
                <w:lang w:val="en-US"/>
              </w:rPr>
              <w:t>[1</w:t>
            </w:r>
            <w:r>
              <w:rPr>
                <w:b/>
                <w:sz w:val="20"/>
                <w:szCs w:val="20"/>
                <w:lang w:val="en-US"/>
              </w:rPr>
              <w:t>2</w:t>
            </w:r>
            <w:r w:rsidRPr="0014605D">
              <w:rPr>
                <w:b/>
                <w:sz w:val="20"/>
                <w:szCs w:val="20"/>
                <w:lang w:val="en-US"/>
              </w:rPr>
              <w:t>]</w:t>
            </w:r>
            <w:r>
              <w:rPr>
                <w:bCs/>
                <w:sz w:val="20"/>
                <w:szCs w:val="20"/>
                <w:lang w:val="en-US"/>
              </w:rPr>
              <w:t xml:space="preserve"> </w:t>
            </w:r>
            <w:proofErr w:type="spellStart"/>
            <w:r w:rsidRPr="00161EAF">
              <w:rPr>
                <w:bCs/>
                <w:sz w:val="20"/>
                <w:szCs w:val="20"/>
                <w:lang w:val="en-US"/>
              </w:rPr>
              <w:t>Friciu</w:t>
            </w:r>
            <w:proofErr w:type="spellEnd"/>
            <w:r w:rsidRPr="00161EAF">
              <w:rPr>
                <w:bCs/>
                <w:sz w:val="20"/>
                <w:szCs w:val="20"/>
                <w:lang w:val="en-US"/>
              </w:rPr>
              <w:t xml:space="preserve">, M., </w:t>
            </w:r>
            <w:proofErr w:type="spellStart"/>
            <w:r w:rsidRPr="00161EAF">
              <w:rPr>
                <w:bCs/>
                <w:sz w:val="20"/>
                <w:szCs w:val="20"/>
                <w:lang w:val="en-US"/>
              </w:rPr>
              <w:t>Abatzoglou</w:t>
            </w:r>
            <w:proofErr w:type="spellEnd"/>
            <w:r w:rsidRPr="00161EAF">
              <w:rPr>
                <w:bCs/>
                <w:sz w:val="20"/>
                <w:szCs w:val="20"/>
                <w:lang w:val="en-US"/>
              </w:rPr>
              <w:t xml:space="preserve">, N., &amp; </w:t>
            </w:r>
            <w:proofErr w:type="spellStart"/>
            <w:r w:rsidRPr="00161EAF">
              <w:rPr>
                <w:bCs/>
                <w:sz w:val="20"/>
                <w:szCs w:val="20"/>
                <w:lang w:val="en-US"/>
              </w:rPr>
              <w:t>Leclair</w:t>
            </w:r>
            <w:proofErr w:type="spellEnd"/>
            <w:r w:rsidRPr="00161EAF">
              <w:rPr>
                <w:bCs/>
                <w:sz w:val="20"/>
                <w:szCs w:val="20"/>
                <w:lang w:val="en-US"/>
              </w:rPr>
              <w:t xml:space="preserve">, G. (2020). Validation of a stability-indicating HPLC-UV method for the quantification of acetazolamide in Oral-Mix and Oral-Mix SF. </w:t>
            </w:r>
            <w:proofErr w:type="spellStart"/>
            <w:r w:rsidRPr="00161EAF">
              <w:rPr>
                <w:bCs/>
                <w:sz w:val="20"/>
                <w:szCs w:val="20"/>
                <w:lang w:val="en-US"/>
              </w:rPr>
              <w:t>MethodsX</w:t>
            </w:r>
            <w:proofErr w:type="spellEnd"/>
            <w:r w:rsidRPr="00161EAF">
              <w:rPr>
                <w:bCs/>
                <w:sz w:val="20"/>
                <w:szCs w:val="20"/>
                <w:lang w:val="en-US"/>
              </w:rPr>
              <w:t xml:space="preserve">, 7, 100844. </w:t>
            </w:r>
          </w:p>
          <w:p w14:paraId="59A23C5B"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3</w:t>
            </w:r>
            <w:r w:rsidRPr="00161EAF">
              <w:rPr>
                <w:b/>
                <w:sz w:val="20"/>
                <w:szCs w:val="20"/>
                <w:lang w:val="en-US"/>
              </w:rPr>
              <w:t>]</w:t>
            </w:r>
            <w:r w:rsidRPr="00161EAF">
              <w:rPr>
                <w:bCs/>
                <w:sz w:val="20"/>
                <w:szCs w:val="20"/>
                <w:lang w:val="en-US"/>
              </w:rPr>
              <w:t xml:space="preserve"> Suresh, P., </w:t>
            </w:r>
            <w:proofErr w:type="spellStart"/>
            <w:r w:rsidRPr="00161EAF">
              <w:rPr>
                <w:bCs/>
                <w:sz w:val="20"/>
                <w:szCs w:val="20"/>
                <w:lang w:val="en-US"/>
              </w:rPr>
              <w:t>Lavakesh</w:t>
            </w:r>
            <w:proofErr w:type="spellEnd"/>
            <w:r w:rsidRPr="00161EAF">
              <w:rPr>
                <w:bCs/>
                <w:sz w:val="20"/>
                <w:szCs w:val="20"/>
                <w:lang w:val="en-US"/>
              </w:rPr>
              <w:t xml:space="preserve">, O., </w:t>
            </w:r>
            <w:proofErr w:type="spellStart"/>
            <w:r w:rsidRPr="00161EAF">
              <w:rPr>
                <w:bCs/>
                <w:sz w:val="20"/>
                <w:szCs w:val="20"/>
                <w:lang w:val="en-US"/>
              </w:rPr>
              <w:t>Pushpendra</w:t>
            </w:r>
            <w:proofErr w:type="spellEnd"/>
            <w:r w:rsidRPr="00161EAF">
              <w:rPr>
                <w:bCs/>
                <w:sz w:val="20"/>
                <w:szCs w:val="20"/>
                <w:lang w:val="en-US"/>
              </w:rPr>
              <w:t xml:space="preserve"> S. (2020). Development and Validation of Stability Indicating Related Substance Method for Acetazolamide Tablets. Journal of Medical Pharmaceutical and Allied Sciences. 9(I3), 951, 2518-2526.</w:t>
            </w:r>
          </w:p>
          <w:p w14:paraId="3FF24F31" w14:textId="77777777" w:rsidR="00320FF5" w:rsidRPr="00161EAF" w:rsidRDefault="00320FF5" w:rsidP="00EF29CC">
            <w:pPr>
              <w:ind w:right="-29"/>
              <w:jc w:val="both"/>
              <w:rPr>
                <w:bCs/>
                <w:sz w:val="20"/>
                <w:szCs w:val="20"/>
                <w:lang w:val="en-US"/>
              </w:rPr>
            </w:pPr>
            <w:r w:rsidRPr="00935DD6">
              <w:rPr>
                <w:b/>
                <w:sz w:val="20"/>
                <w:szCs w:val="20"/>
                <w:lang w:val="en-US"/>
              </w:rPr>
              <w:t>[14]</w:t>
            </w:r>
            <w:r w:rsidRPr="00935DD6">
              <w:rPr>
                <w:bCs/>
                <w:sz w:val="20"/>
                <w:szCs w:val="20"/>
                <w:lang w:val="en-US"/>
              </w:rPr>
              <w:t xml:space="preserve"> </w:t>
            </w:r>
            <w:proofErr w:type="spellStart"/>
            <w:r w:rsidRPr="00935DD6">
              <w:rPr>
                <w:bCs/>
                <w:sz w:val="20"/>
                <w:szCs w:val="20"/>
                <w:lang w:val="en-US"/>
              </w:rPr>
              <w:t>Srinivasu</w:t>
            </w:r>
            <w:proofErr w:type="spellEnd"/>
            <w:r w:rsidRPr="00935DD6">
              <w:rPr>
                <w:bCs/>
                <w:sz w:val="20"/>
                <w:szCs w:val="20"/>
                <w:lang w:val="en-US"/>
              </w:rPr>
              <w:t xml:space="preserve">, P., </w:t>
            </w:r>
            <w:proofErr w:type="spellStart"/>
            <w:r w:rsidRPr="00935DD6">
              <w:rPr>
                <w:bCs/>
                <w:sz w:val="20"/>
                <w:szCs w:val="20"/>
                <w:lang w:val="en-US"/>
              </w:rPr>
              <w:t>SubbaRao</w:t>
            </w:r>
            <w:proofErr w:type="spellEnd"/>
            <w:r w:rsidRPr="00935DD6">
              <w:rPr>
                <w:bCs/>
                <w:sz w:val="20"/>
                <w:szCs w:val="20"/>
                <w:lang w:val="en-US"/>
              </w:rPr>
              <w:t xml:space="preserve">, D. V., </w:t>
            </w:r>
            <w:proofErr w:type="spellStart"/>
            <w:r w:rsidRPr="00935DD6">
              <w:rPr>
                <w:bCs/>
                <w:sz w:val="20"/>
                <w:szCs w:val="20"/>
                <w:lang w:val="en-US"/>
              </w:rPr>
              <w:t>Vegesna</w:t>
            </w:r>
            <w:proofErr w:type="spellEnd"/>
            <w:r w:rsidRPr="00935DD6">
              <w:rPr>
                <w:bCs/>
                <w:sz w:val="20"/>
                <w:szCs w:val="20"/>
                <w:lang w:val="en-US"/>
              </w:rPr>
              <w:t xml:space="preserve">, R. V. K., &amp; </w:t>
            </w:r>
            <w:proofErr w:type="spellStart"/>
            <w:r w:rsidRPr="00935DD6">
              <w:rPr>
                <w:bCs/>
                <w:sz w:val="20"/>
                <w:szCs w:val="20"/>
                <w:lang w:val="en-US"/>
              </w:rPr>
              <w:t>Sudhakar</w:t>
            </w:r>
            <w:proofErr w:type="spellEnd"/>
            <w:r w:rsidRPr="00935DD6">
              <w:rPr>
                <w:bCs/>
                <w:sz w:val="20"/>
                <w:szCs w:val="20"/>
                <w:lang w:val="en-US"/>
              </w:rPr>
              <w:t xml:space="preserve"> </w:t>
            </w:r>
            <w:proofErr w:type="spellStart"/>
            <w:r w:rsidRPr="00935DD6">
              <w:rPr>
                <w:bCs/>
                <w:sz w:val="20"/>
                <w:szCs w:val="20"/>
                <w:lang w:val="en-US"/>
              </w:rPr>
              <w:t>Babu</w:t>
            </w:r>
            <w:proofErr w:type="spellEnd"/>
            <w:r w:rsidRPr="00935DD6">
              <w:rPr>
                <w:bCs/>
                <w:sz w:val="20"/>
                <w:szCs w:val="20"/>
                <w:lang w:val="en-US"/>
              </w:rPr>
              <w:t>, K. (2010). </w:t>
            </w:r>
            <w:r w:rsidRPr="00161EAF">
              <w:rPr>
                <w:bCs/>
                <w:sz w:val="20"/>
                <w:szCs w:val="20"/>
                <w:lang w:val="en-US"/>
              </w:rPr>
              <w:t>A validated stability-indicating LC method for acetazolamide in the presence of degradation products and its process-related impurities. Journal of Pharmaceutical and Biomedical Analysis, 52(1), 142–148.</w:t>
            </w:r>
          </w:p>
          <w:p w14:paraId="4DD4E65D" w14:textId="77777777" w:rsidR="00320FF5" w:rsidRPr="00161EAF" w:rsidRDefault="00320FF5" w:rsidP="00EF29CC">
            <w:pPr>
              <w:ind w:right="-29"/>
              <w:jc w:val="both"/>
              <w:rPr>
                <w:bCs/>
                <w:sz w:val="20"/>
                <w:szCs w:val="20"/>
                <w:lang w:val="en-US"/>
              </w:rPr>
            </w:pPr>
            <w:r w:rsidRPr="00935DD6">
              <w:rPr>
                <w:b/>
                <w:sz w:val="20"/>
                <w:szCs w:val="20"/>
                <w:lang w:val="en-US"/>
              </w:rPr>
              <w:t xml:space="preserve">[15] </w:t>
            </w:r>
            <w:proofErr w:type="spellStart"/>
            <w:r w:rsidRPr="00935DD6">
              <w:rPr>
                <w:bCs/>
                <w:sz w:val="20"/>
                <w:szCs w:val="20"/>
                <w:lang w:val="en-US"/>
              </w:rPr>
              <w:t>Manchanda</w:t>
            </w:r>
            <w:proofErr w:type="spellEnd"/>
            <w:r w:rsidRPr="00935DD6">
              <w:rPr>
                <w:bCs/>
                <w:sz w:val="20"/>
                <w:szCs w:val="20"/>
                <w:lang w:val="en-US"/>
              </w:rPr>
              <w:t xml:space="preserve">, S., </w:t>
            </w:r>
            <w:proofErr w:type="spellStart"/>
            <w:r w:rsidRPr="00935DD6">
              <w:rPr>
                <w:bCs/>
                <w:sz w:val="20"/>
                <w:szCs w:val="20"/>
                <w:lang w:val="en-US"/>
              </w:rPr>
              <w:t>Sahoo</w:t>
            </w:r>
            <w:proofErr w:type="spellEnd"/>
            <w:r w:rsidRPr="00935DD6">
              <w:rPr>
                <w:bCs/>
                <w:sz w:val="20"/>
                <w:szCs w:val="20"/>
                <w:lang w:val="en-US"/>
              </w:rPr>
              <w:t xml:space="preserve">, P., </w:t>
            </w:r>
            <w:proofErr w:type="spellStart"/>
            <w:r w:rsidRPr="00935DD6">
              <w:rPr>
                <w:bCs/>
                <w:sz w:val="20"/>
                <w:szCs w:val="20"/>
                <w:lang w:val="en-US"/>
              </w:rPr>
              <w:t>Majumdar</w:t>
            </w:r>
            <w:proofErr w:type="spellEnd"/>
            <w:r w:rsidRPr="00935DD6">
              <w:rPr>
                <w:bCs/>
                <w:sz w:val="20"/>
                <w:szCs w:val="20"/>
                <w:lang w:val="en-US"/>
              </w:rPr>
              <w:t xml:space="preserve">, D. (2016). </w:t>
            </w:r>
            <w:r w:rsidRPr="00161EAF">
              <w:rPr>
                <w:bCs/>
                <w:sz w:val="20"/>
                <w:szCs w:val="20"/>
                <w:lang w:val="en-US"/>
              </w:rPr>
              <w:t xml:space="preserve">RP-HPLC method development and validation for the estimation of Acetazolamide in bulk drug and formulations with forced degradation studies. Der Pharmacia </w:t>
            </w:r>
            <w:proofErr w:type="spellStart"/>
            <w:r w:rsidRPr="00161EAF">
              <w:rPr>
                <w:bCs/>
                <w:sz w:val="20"/>
                <w:szCs w:val="20"/>
                <w:lang w:val="en-US"/>
              </w:rPr>
              <w:t>Lettre</w:t>
            </w:r>
            <w:proofErr w:type="spellEnd"/>
            <w:r w:rsidRPr="00161EAF">
              <w:rPr>
                <w:bCs/>
                <w:sz w:val="20"/>
                <w:szCs w:val="20"/>
                <w:lang w:val="en-US"/>
              </w:rPr>
              <w:t>, 8(1), 338-347.</w:t>
            </w:r>
          </w:p>
          <w:p w14:paraId="7B965646" w14:textId="77777777" w:rsidR="00320FF5" w:rsidRPr="00161EAF" w:rsidRDefault="00320FF5" w:rsidP="00EF29CC">
            <w:pPr>
              <w:ind w:right="-29"/>
              <w:jc w:val="both"/>
              <w:rPr>
                <w:bCs/>
                <w:sz w:val="20"/>
                <w:szCs w:val="20"/>
                <w:lang w:val="en-US"/>
              </w:rPr>
            </w:pPr>
            <w:r w:rsidRPr="00161EAF">
              <w:rPr>
                <w:b/>
                <w:sz w:val="20"/>
                <w:szCs w:val="20"/>
                <w:lang w:val="en-US"/>
              </w:rPr>
              <w:t>[1</w:t>
            </w:r>
            <w:r>
              <w:rPr>
                <w:b/>
                <w:sz w:val="20"/>
                <w:szCs w:val="20"/>
                <w:lang w:val="en-US"/>
              </w:rPr>
              <w:t>6</w:t>
            </w:r>
            <w:r w:rsidRPr="00161EAF">
              <w:rPr>
                <w:b/>
                <w:sz w:val="20"/>
                <w:szCs w:val="20"/>
                <w:lang w:val="en-US"/>
              </w:rPr>
              <w:t xml:space="preserve">] </w:t>
            </w:r>
            <w:r w:rsidRPr="00161EAF">
              <w:rPr>
                <w:bCs/>
                <w:sz w:val="20"/>
                <w:szCs w:val="20"/>
                <w:lang w:val="en-US"/>
              </w:rPr>
              <w:t>Monograph: USP. Acetazolamide. In USP-NF. Rockville, MD: USP; 2022.</w:t>
            </w:r>
          </w:p>
          <w:p w14:paraId="5178A920" w14:textId="77777777" w:rsidR="00320FF5" w:rsidRPr="00161EAF" w:rsidRDefault="00320FF5" w:rsidP="00EF29CC">
            <w:pPr>
              <w:jc w:val="both"/>
              <w:rPr>
                <w:rFonts w:ascii="Segoe UI" w:hAnsi="Segoe UI" w:cs="Segoe UI"/>
                <w:color w:val="000000" w:themeColor="text1"/>
                <w:lang w:val="en-US"/>
              </w:rPr>
            </w:pPr>
            <w:r w:rsidRPr="00161EAF">
              <w:rPr>
                <w:b/>
                <w:sz w:val="20"/>
                <w:szCs w:val="20"/>
                <w:lang w:val="en-US"/>
              </w:rPr>
              <w:t>[1</w:t>
            </w:r>
            <w:r>
              <w:rPr>
                <w:b/>
                <w:sz w:val="20"/>
                <w:szCs w:val="20"/>
                <w:lang w:val="en-US"/>
              </w:rPr>
              <w:t>7</w:t>
            </w:r>
            <w:r w:rsidRPr="00161EAF">
              <w:rPr>
                <w:b/>
                <w:sz w:val="20"/>
                <w:szCs w:val="20"/>
                <w:lang w:val="en-US"/>
              </w:rPr>
              <w:t xml:space="preserve">] </w:t>
            </w:r>
            <w:r w:rsidRPr="00161EAF">
              <w:rPr>
                <w:bCs/>
                <w:sz w:val="20"/>
                <w:szCs w:val="20"/>
                <w:lang w:val="en-US"/>
              </w:rPr>
              <w:t>National Center for Biotechnology Information (2022). PubChem Compound Summary for CID 84724, 5-Amino-1,3,4-thiadiazole-2-sulfonamide. Retrieved January 5, 2022, from </w:t>
            </w:r>
            <w:hyperlink r:id="rId14" w:history="1">
              <w:r w:rsidRPr="00161EAF">
                <w:rPr>
                  <w:rStyle w:val="Hipervnculo"/>
                  <w:sz w:val="20"/>
                  <w:szCs w:val="20"/>
                  <w:lang w:val="en-US"/>
                </w:rPr>
                <w:t>https://pubchem.ncbi.nlm.nih.gov/compound/5-Amino-1_3_4-thiadiazole-2-sulfonamide</w:t>
              </w:r>
            </w:hyperlink>
            <w:r w:rsidRPr="00161EAF">
              <w:rPr>
                <w:rStyle w:val="Hipervnculo"/>
                <w:color w:val="000000" w:themeColor="text1"/>
                <w:sz w:val="20"/>
                <w:szCs w:val="20"/>
                <w:u w:val="none"/>
                <w:lang w:val="en-US"/>
              </w:rPr>
              <w:t>.</w:t>
            </w:r>
          </w:p>
          <w:p w14:paraId="1CFD0778" w14:textId="77777777" w:rsidR="00320FF5" w:rsidRPr="00161EAF" w:rsidRDefault="00320FF5" w:rsidP="00EF29CC">
            <w:pPr>
              <w:ind w:right="-29"/>
              <w:jc w:val="both"/>
              <w:rPr>
                <w:rStyle w:val="Hipervnculo"/>
                <w:color w:val="000000" w:themeColor="text1"/>
                <w:sz w:val="20"/>
                <w:szCs w:val="20"/>
                <w:u w:val="none"/>
                <w:lang w:val="en-US"/>
              </w:rPr>
            </w:pPr>
            <w:r w:rsidRPr="00161EAF">
              <w:rPr>
                <w:b/>
                <w:sz w:val="20"/>
                <w:szCs w:val="20"/>
                <w:lang w:val="en-US"/>
              </w:rPr>
              <w:t>[1</w:t>
            </w:r>
            <w:r>
              <w:rPr>
                <w:b/>
                <w:sz w:val="20"/>
                <w:szCs w:val="20"/>
                <w:lang w:val="en-US"/>
              </w:rPr>
              <w:t>8</w:t>
            </w:r>
            <w:r w:rsidRPr="00161EAF">
              <w:rPr>
                <w:b/>
                <w:sz w:val="20"/>
                <w:szCs w:val="20"/>
                <w:lang w:val="en-US"/>
              </w:rPr>
              <w:t xml:space="preserve">] </w:t>
            </w:r>
            <w:r w:rsidRPr="00161EAF">
              <w:rPr>
                <w:bCs/>
                <w:sz w:val="20"/>
                <w:szCs w:val="20"/>
                <w:lang w:val="en-US"/>
              </w:rPr>
              <w:t>National Center for Biotechnology Information (2022). PubChem Compound Summary for CID 56924023, 5-Acetamido-1,3,4-thiadiazole-2-sulfonic acid. Retrieved January 5, 2022, from </w:t>
            </w:r>
            <w:hyperlink r:id="rId15" w:history="1">
              <w:r w:rsidRPr="00161EAF">
                <w:rPr>
                  <w:rStyle w:val="Hipervnculo"/>
                  <w:sz w:val="20"/>
                  <w:szCs w:val="20"/>
                  <w:lang w:val="en-US"/>
                </w:rPr>
                <w:t>https://pubchem.ncbi.nlm.nih.gov/compound/5-Acetamido-1_3_4-thiadiazole-2-sulfonic-acid</w:t>
              </w:r>
            </w:hyperlink>
            <w:r w:rsidRPr="00161EAF">
              <w:rPr>
                <w:rStyle w:val="Hipervnculo"/>
                <w:color w:val="000000" w:themeColor="text1"/>
                <w:sz w:val="20"/>
                <w:szCs w:val="20"/>
                <w:u w:val="none"/>
                <w:lang w:val="en-US"/>
              </w:rPr>
              <w:t>.</w:t>
            </w:r>
          </w:p>
          <w:p w14:paraId="32144E14" w14:textId="77777777" w:rsidR="00320FF5" w:rsidRPr="00161EAF" w:rsidRDefault="00320FF5" w:rsidP="00EF29CC">
            <w:pPr>
              <w:ind w:right="-29"/>
              <w:jc w:val="both"/>
              <w:rPr>
                <w:bCs/>
                <w:color w:val="000000" w:themeColor="text1"/>
                <w:sz w:val="20"/>
                <w:szCs w:val="20"/>
                <w:lang w:val="en-US"/>
              </w:rPr>
            </w:pPr>
            <w:r w:rsidRPr="00161EAF">
              <w:rPr>
                <w:b/>
                <w:sz w:val="20"/>
                <w:szCs w:val="20"/>
                <w:lang w:val="en-US"/>
              </w:rPr>
              <w:t>[1</w:t>
            </w:r>
            <w:r>
              <w:rPr>
                <w:b/>
                <w:sz w:val="20"/>
                <w:szCs w:val="20"/>
                <w:lang w:val="en-US"/>
              </w:rPr>
              <w:t>9</w:t>
            </w:r>
            <w:r w:rsidRPr="00161EAF">
              <w:rPr>
                <w:b/>
                <w:sz w:val="20"/>
                <w:szCs w:val="20"/>
                <w:lang w:val="en-US"/>
              </w:rPr>
              <w:t xml:space="preserve">] </w:t>
            </w:r>
            <w:r w:rsidRPr="00161EAF">
              <w:rPr>
                <w:bCs/>
                <w:sz w:val="20"/>
                <w:szCs w:val="20"/>
                <w:lang w:val="en-US"/>
              </w:rPr>
              <w:t>National Center for Biotechnology Information (2022). PubChem Compound Summary for CID 94839, n-(1,3,4-Thiadiazol-2-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6" w:history="1">
              <w:r w:rsidRPr="00161EAF">
                <w:rPr>
                  <w:rStyle w:val="Hipervnculo"/>
                  <w:sz w:val="20"/>
                  <w:szCs w:val="20"/>
                  <w:lang w:val="en-US"/>
                </w:rPr>
                <w:t>https://pubchem.ncbi.nlm.nih.gov/compound/n-_1_3_4-Thiadiazol-2-yl_acetamide</w:t>
              </w:r>
            </w:hyperlink>
            <w:r w:rsidRPr="00161EAF">
              <w:rPr>
                <w:rStyle w:val="Hipervnculo"/>
                <w:sz w:val="20"/>
                <w:szCs w:val="20"/>
                <w:u w:val="none"/>
                <w:lang w:val="en-US"/>
              </w:rPr>
              <w:t>.</w:t>
            </w:r>
          </w:p>
          <w:p w14:paraId="500413AE" w14:textId="77777777" w:rsidR="00320FF5" w:rsidRPr="00161EAF" w:rsidRDefault="00320FF5" w:rsidP="00EF29CC">
            <w:pPr>
              <w:ind w:right="-29"/>
              <w:jc w:val="both"/>
              <w:rPr>
                <w:b/>
                <w:color w:val="000000" w:themeColor="text1"/>
                <w:sz w:val="20"/>
                <w:szCs w:val="20"/>
                <w:lang w:val="en-US"/>
              </w:rPr>
            </w:pPr>
            <w:r w:rsidRPr="00161EAF">
              <w:rPr>
                <w:b/>
                <w:sz w:val="20"/>
                <w:szCs w:val="20"/>
                <w:lang w:val="en-US"/>
              </w:rPr>
              <w:t>[</w:t>
            </w:r>
            <w:r>
              <w:rPr>
                <w:b/>
                <w:sz w:val="20"/>
                <w:szCs w:val="20"/>
                <w:lang w:val="en-US"/>
              </w:rPr>
              <w:t>20</w:t>
            </w:r>
            <w:r w:rsidRPr="00161EAF">
              <w:rPr>
                <w:b/>
                <w:sz w:val="20"/>
                <w:szCs w:val="20"/>
                <w:lang w:val="en-US"/>
              </w:rPr>
              <w:t xml:space="preserve">] </w:t>
            </w:r>
            <w:r w:rsidRPr="00161EAF">
              <w:rPr>
                <w:bCs/>
                <w:sz w:val="20"/>
                <w:szCs w:val="20"/>
                <w:lang w:val="en-US"/>
              </w:rPr>
              <w:t>National Center for Biotechnology Information (2022). PubChem Compound Summary for CID 2723687, 2-Acetylamino-5-mercapto-1,3,4-thiadiazole. Retrieved January 5, 2022, from </w:t>
            </w:r>
            <w:hyperlink r:id="rId17" w:history="1">
              <w:r w:rsidRPr="00161EAF">
                <w:rPr>
                  <w:rStyle w:val="Hipervnculo"/>
                  <w:sz w:val="20"/>
                  <w:szCs w:val="20"/>
                  <w:lang w:val="en-US"/>
                </w:rPr>
                <w:t>https://pubchem.ncbi.nlm.nih.gov/compound/2-Acetylamino-5-mercapto-1_3_4-thiadiazole</w:t>
              </w:r>
            </w:hyperlink>
            <w:r w:rsidRPr="00161EAF">
              <w:rPr>
                <w:rStyle w:val="Hipervnculo"/>
                <w:color w:val="000000" w:themeColor="text1"/>
                <w:sz w:val="20"/>
                <w:szCs w:val="20"/>
                <w:u w:val="none"/>
                <w:lang w:val="en-US"/>
              </w:rPr>
              <w:t>.</w:t>
            </w:r>
          </w:p>
          <w:p w14:paraId="4773DFD0" w14:textId="77777777" w:rsidR="00320FF5" w:rsidRPr="00161EAF" w:rsidRDefault="00320FF5" w:rsidP="00EF29CC">
            <w:pPr>
              <w:ind w:right="-29"/>
              <w:jc w:val="both"/>
              <w:rPr>
                <w:b/>
                <w:sz w:val="20"/>
                <w:szCs w:val="20"/>
                <w:lang w:val="en-US"/>
              </w:rPr>
            </w:pPr>
            <w:r w:rsidRPr="00161EAF">
              <w:rPr>
                <w:b/>
                <w:sz w:val="20"/>
                <w:szCs w:val="20"/>
                <w:lang w:val="en-US"/>
              </w:rPr>
              <w:t>[</w:t>
            </w:r>
            <w:r>
              <w:rPr>
                <w:b/>
                <w:sz w:val="20"/>
                <w:szCs w:val="20"/>
                <w:lang w:val="en-US"/>
              </w:rPr>
              <w:t>21</w:t>
            </w:r>
            <w:r w:rsidRPr="00161EAF">
              <w:rPr>
                <w:b/>
                <w:sz w:val="20"/>
                <w:szCs w:val="20"/>
                <w:lang w:val="en-US"/>
              </w:rPr>
              <w:t xml:space="preserve">] </w:t>
            </w:r>
            <w:r w:rsidRPr="00161EAF">
              <w:rPr>
                <w:bCs/>
                <w:sz w:val="20"/>
                <w:szCs w:val="20"/>
                <w:lang w:val="en-US"/>
              </w:rPr>
              <w:t>National Center for Biotechnology Information (2022). PubChem Compound Summary for CID 314332, N-(5-chloro-1,3,4-thiadiazol-2-</w:t>
            </w:r>
            <w:proofErr w:type="gramStart"/>
            <w:r w:rsidRPr="00161EAF">
              <w:rPr>
                <w:bCs/>
                <w:sz w:val="20"/>
                <w:szCs w:val="20"/>
                <w:lang w:val="en-US"/>
              </w:rPr>
              <w:t>yl)</w:t>
            </w:r>
            <w:proofErr w:type="spellStart"/>
            <w:r w:rsidRPr="00161EAF">
              <w:rPr>
                <w:bCs/>
                <w:sz w:val="20"/>
                <w:szCs w:val="20"/>
                <w:lang w:val="en-US"/>
              </w:rPr>
              <w:t>acetamide</w:t>
            </w:r>
            <w:proofErr w:type="spellEnd"/>
            <w:proofErr w:type="gramEnd"/>
            <w:r w:rsidRPr="00161EAF">
              <w:rPr>
                <w:bCs/>
                <w:sz w:val="20"/>
                <w:szCs w:val="20"/>
                <w:lang w:val="en-US"/>
              </w:rPr>
              <w:t>. Retrieved January 5, 2022, from </w:t>
            </w:r>
            <w:hyperlink r:id="rId18" w:history="1">
              <w:r w:rsidRPr="00161EAF">
                <w:rPr>
                  <w:rStyle w:val="Hipervnculo"/>
                  <w:sz w:val="20"/>
                  <w:szCs w:val="20"/>
                  <w:lang w:val="en-US"/>
                </w:rPr>
                <w:t>https://pubchem.ncbi.nlm.nih.gov/compound/N-_5-chloro-1_3_4-thiadiazol-2-yl_acetamide</w:t>
              </w:r>
            </w:hyperlink>
            <w:r w:rsidRPr="00161EAF">
              <w:rPr>
                <w:bCs/>
                <w:sz w:val="20"/>
                <w:szCs w:val="20"/>
                <w:lang w:val="en-US"/>
              </w:rPr>
              <w:t>.</w:t>
            </w:r>
          </w:p>
          <w:p w14:paraId="435E1417" w14:textId="77777777" w:rsidR="00320FF5" w:rsidRPr="00161EAF" w:rsidRDefault="00320FF5" w:rsidP="00EF29CC">
            <w:pPr>
              <w:ind w:right="-29"/>
              <w:jc w:val="both"/>
              <w:rPr>
                <w:bCs/>
                <w:sz w:val="20"/>
                <w:szCs w:val="20"/>
                <w:lang w:val="en-US"/>
              </w:rPr>
            </w:pPr>
            <w:r w:rsidRPr="00161EAF">
              <w:rPr>
                <w:b/>
                <w:sz w:val="20"/>
                <w:szCs w:val="20"/>
                <w:lang w:val="en-US"/>
              </w:rPr>
              <w:t>[2</w:t>
            </w:r>
            <w:r>
              <w:rPr>
                <w:b/>
                <w:sz w:val="20"/>
                <w:szCs w:val="20"/>
                <w:lang w:val="en-US"/>
              </w:rPr>
              <w:t>2</w:t>
            </w:r>
            <w:r w:rsidRPr="00161EAF">
              <w:rPr>
                <w:b/>
                <w:sz w:val="20"/>
                <w:szCs w:val="20"/>
                <w:lang w:val="en-US"/>
              </w:rPr>
              <w:t xml:space="preserve">] </w:t>
            </w:r>
            <w:r w:rsidRPr="00161EAF">
              <w:rPr>
                <w:bCs/>
                <w:sz w:val="20"/>
                <w:szCs w:val="20"/>
                <w:lang w:val="en-US"/>
              </w:rPr>
              <w:t>National Center for Biotechnology Information (2022). PubChem Compound Summary for CID 331896. Retrieved January 5, 2022, from </w:t>
            </w:r>
            <w:hyperlink r:id="rId19" w:history="1">
              <w:r w:rsidRPr="00161EAF">
                <w:rPr>
                  <w:rStyle w:val="Hipervnculo"/>
                  <w:sz w:val="20"/>
                  <w:szCs w:val="20"/>
                  <w:lang w:val="en-US"/>
                </w:rPr>
                <w:t>https://pubchem.ncbi.nlm.nih.gov/compound/331896</w:t>
              </w:r>
            </w:hyperlink>
            <w:r w:rsidRPr="00161EAF">
              <w:rPr>
                <w:bCs/>
                <w:sz w:val="20"/>
                <w:szCs w:val="20"/>
                <w:lang w:val="en-US"/>
              </w:rPr>
              <w:t>.</w:t>
            </w:r>
          </w:p>
          <w:p w14:paraId="0B3594EB" w14:textId="77777777" w:rsidR="00320FF5" w:rsidRPr="00161EAF" w:rsidRDefault="00320FF5" w:rsidP="00EF29CC">
            <w:pPr>
              <w:ind w:right="-29"/>
              <w:jc w:val="both"/>
              <w:rPr>
                <w:bCs/>
                <w:sz w:val="20"/>
                <w:szCs w:val="20"/>
                <w:lang w:val="en-US"/>
              </w:rPr>
            </w:pPr>
            <w:r w:rsidRPr="002B3C77">
              <w:rPr>
                <w:b/>
                <w:sz w:val="20"/>
                <w:szCs w:val="20"/>
                <w:lang w:val="es-CO"/>
              </w:rPr>
              <w:t>[2</w:t>
            </w:r>
            <w:r>
              <w:rPr>
                <w:b/>
                <w:sz w:val="20"/>
                <w:szCs w:val="20"/>
                <w:lang w:val="es-CO"/>
              </w:rPr>
              <w:t>3</w:t>
            </w:r>
            <w:r w:rsidRPr="002B3C77">
              <w:rPr>
                <w:b/>
                <w:sz w:val="20"/>
                <w:szCs w:val="20"/>
                <w:lang w:val="es-CO"/>
              </w:rPr>
              <w:t>]</w:t>
            </w:r>
            <w:r w:rsidRPr="002B3C77">
              <w:rPr>
                <w:bCs/>
                <w:sz w:val="20"/>
                <w:szCs w:val="20"/>
                <w:lang w:val="es-CO"/>
              </w:rPr>
              <w:t xml:space="preserve"> </w:t>
            </w:r>
            <w:proofErr w:type="spellStart"/>
            <w:r w:rsidRPr="002B3C77">
              <w:rPr>
                <w:bCs/>
                <w:sz w:val="20"/>
                <w:szCs w:val="20"/>
                <w:lang w:val="es-CO"/>
              </w:rPr>
              <w:t>Santoveña</w:t>
            </w:r>
            <w:proofErr w:type="spellEnd"/>
            <w:r w:rsidRPr="002B3C77">
              <w:rPr>
                <w:bCs/>
                <w:sz w:val="20"/>
                <w:szCs w:val="20"/>
                <w:lang w:val="es-CO"/>
              </w:rPr>
              <w:t xml:space="preserve">, A., Suárez-González, J., Martín-Rodríguez, C., &amp; Fariña, J. B. (2016). </w:t>
            </w:r>
            <w:r w:rsidRPr="00161EAF">
              <w:rPr>
                <w:bCs/>
                <w:sz w:val="20"/>
                <w:szCs w:val="20"/>
                <w:lang w:val="en-US"/>
              </w:rPr>
              <w:t xml:space="preserve">Formulation design of oral pediatric Acetazolamide suspension: dose uniformity and </w:t>
            </w:r>
            <w:proofErr w:type="spellStart"/>
            <w:r w:rsidRPr="00161EAF">
              <w:rPr>
                <w:bCs/>
                <w:sz w:val="20"/>
                <w:szCs w:val="20"/>
                <w:lang w:val="en-US"/>
              </w:rPr>
              <w:t>physico</w:t>
            </w:r>
            <w:proofErr w:type="spellEnd"/>
            <w:r w:rsidRPr="00161EAF">
              <w:rPr>
                <w:bCs/>
                <w:sz w:val="20"/>
                <w:szCs w:val="20"/>
                <w:lang w:val="en-US"/>
              </w:rPr>
              <w:t>-chemical stability study. Pharmaceutical Development and Technology, 22(2), 191–197.</w:t>
            </w:r>
          </w:p>
          <w:p w14:paraId="219EB7B1" w14:textId="77777777" w:rsidR="00320FF5" w:rsidRPr="00161EAF" w:rsidRDefault="00320FF5" w:rsidP="00EF29CC">
            <w:pPr>
              <w:ind w:right="-29"/>
              <w:jc w:val="both"/>
              <w:rPr>
                <w:rFonts w:ascii="Segoe UI" w:hAnsi="Segoe UI" w:cs="Segoe UI"/>
                <w:color w:val="212121"/>
                <w:shd w:val="clear" w:color="auto" w:fill="FFFFFF"/>
                <w:lang w:val="en-US"/>
              </w:rPr>
            </w:pPr>
            <w:r w:rsidRPr="00161EAF">
              <w:rPr>
                <w:b/>
                <w:sz w:val="20"/>
                <w:szCs w:val="20"/>
                <w:lang w:val="en-US"/>
              </w:rPr>
              <w:t>[2</w:t>
            </w:r>
            <w:r>
              <w:rPr>
                <w:b/>
                <w:sz w:val="20"/>
                <w:szCs w:val="20"/>
                <w:lang w:val="en-US"/>
              </w:rPr>
              <w:t>4</w:t>
            </w:r>
            <w:r w:rsidRPr="00161EAF">
              <w:rPr>
                <w:b/>
                <w:sz w:val="20"/>
                <w:szCs w:val="20"/>
                <w:lang w:val="en-US"/>
              </w:rPr>
              <w:t xml:space="preserve">] </w:t>
            </w:r>
            <w:proofErr w:type="spellStart"/>
            <w:r w:rsidRPr="00161EAF">
              <w:rPr>
                <w:bCs/>
                <w:sz w:val="20"/>
                <w:szCs w:val="20"/>
                <w:lang w:val="en-US"/>
              </w:rPr>
              <w:t>Granero</w:t>
            </w:r>
            <w:proofErr w:type="spellEnd"/>
            <w:r w:rsidRPr="00161EAF">
              <w:rPr>
                <w:bCs/>
                <w:sz w:val="20"/>
                <w:szCs w:val="20"/>
                <w:lang w:val="en-US"/>
              </w:rPr>
              <w:t xml:space="preserve"> GE, </w:t>
            </w:r>
            <w:proofErr w:type="spellStart"/>
            <w:r w:rsidRPr="00161EAF">
              <w:rPr>
                <w:bCs/>
                <w:sz w:val="20"/>
                <w:szCs w:val="20"/>
                <w:lang w:val="en-US"/>
              </w:rPr>
              <w:t>Longhi</w:t>
            </w:r>
            <w:proofErr w:type="spellEnd"/>
            <w:r w:rsidRPr="00161EAF">
              <w:rPr>
                <w:bCs/>
                <w:sz w:val="20"/>
                <w:szCs w:val="20"/>
                <w:lang w:val="en-US"/>
              </w:rPr>
              <w:t xml:space="preserve"> MR, Becker C, </w:t>
            </w:r>
            <w:proofErr w:type="spellStart"/>
            <w:r w:rsidRPr="00161EAF">
              <w:rPr>
                <w:bCs/>
                <w:sz w:val="20"/>
                <w:szCs w:val="20"/>
                <w:lang w:val="en-US"/>
              </w:rPr>
              <w:t>Junginger</w:t>
            </w:r>
            <w:proofErr w:type="spellEnd"/>
            <w:r w:rsidRPr="00161EAF">
              <w:rPr>
                <w:bCs/>
                <w:sz w:val="20"/>
                <w:szCs w:val="20"/>
                <w:lang w:val="en-US"/>
              </w:rPr>
              <w:t xml:space="preserve"> HE, Kopp S, </w:t>
            </w:r>
            <w:proofErr w:type="spellStart"/>
            <w:r w:rsidRPr="00161EAF">
              <w:rPr>
                <w:bCs/>
                <w:sz w:val="20"/>
                <w:szCs w:val="20"/>
                <w:lang w:val="en-US"/>
              </w:rPr>
              <w:t>Midha</w:t>
            </w:r>
            <w:proofErr w:type="spellEnd"/>
            <w:r w:rsidRPr="00161EAF">
              <w:rPr>
                <w:bCs/>
                <w:sz w:val="20"/>
                <w:szCs w:val="20"/>
                <w:lang w:val="en-US"/>
              </w:rPr>
              <w:t xml:space="preserve"> KK, Shah VP, </w:t>
            </w:r>
            <w:proofErr w:type="spellStart"/>
            <w:r w:rsidRPr="00161EAF">
              <w:rPr>
                <w:bCs/>
                <w:sz w:val="20"/>
                <w:szCs w:val="20"/>
                <w:lang w:val="en-US"/>
              </w:rPr>
              <w:t>Stavchansky</w:t>
            </w:r>
            <w:proofErr w:type="spellEnd"/>
            <w:r w:rsidRPr="00161EAF">
              <w:rPr>
                <w:bCs/>
                <w:sz w:val="20"/>
                <w:szCs w:val="20"/>
                <w:lang w:val="en-US"/>
              </w:rPr>
              <w:t xml:space="preserve"> S, </w:t>
            </w:r>
            <w:proofErr w:type="spellStart"/>
            <w:r w:rsidRPr="00161EAF">
              <w:rPr>
                <w:bCs/>
                <w:sz w:val="20"/>
                <w:szCs w:val="20"/>
                <w:lang w:val="en-US"/>
              </w:rPr>
              <w:t>Dressman</w:t>
            </w:r>
            <w:proofErr w:type="spellEnd"/>
            <w:r w:rsidRPr="00161EAF">
              <w:rPr>
                <w:bCs/>
                <w:sz w:val="20"/>
                <w:szCs w:val="20"/>
                <w:lang w:val="en-US"/>
              </w:rPr>
              <w:t xml:space="preserve"> JB, </w:t>
            </w:r>
            <w:proofErr w:type="spellStart"/>
            <w:r w:rsidRPr="00161EAF">
              <w:rPr>
                <w:bCs/>
                <w:sz w:val="20"/>
                <w:szCs w:val="20"/>
                <w:lang w:val="en-US"/>
              </w:rPr>
              <w:t>Barends</w:t>
            </w:r>
            <w:proofErr w:type="spellEnd"/>
            <w:r w:rsidRPr="00161EAF">
              <w:rPr>
                <w:bCs/>
                <w:sz w:val="20"/>
                <w:szCs w:val="20"/>
                <w:lang w:val="en-US"/>
              </w:rPr>
              <w:t xml:space="preserve"> DM. </w:t>
            </w:r>
            <w:proofErr w:type="spellStart"/>
            <w:r w:rsidRPr="00161EAF">
              <w:rPr>
                <w:bCs/>
                <w:sz w:val="20"/>
                <w:szCs w:val="20"/>
                <w:lang w:val="en-US"/>
              </w:rPr>
              <w:t>Biowaiver</w:t>
            </w:r>
            <w:proofErr w:type="spellEnd"/>
            <w:r w:rsidRPr="00161EAF">
              <w:rPr>
                <w:bCs/>
                <w:sz w:val="20"/>
                <w:szCs w:val="20"/>
                <w:lang w:val="en-US"/>
              </w:rPr>
              <w:t xml:space="preserve"> monographs for immediate release solid oral dosage forms: acetazolamide. J Pharm Sci. 2008 Sep;97(9):3691-9.</w:t>
            </w:r>
            <w:r w:rsidRPr="00161EAF">
              <w:rPr>
                <w:rFonts w:ascii="Segoe UI" w:hAnsi="Segoe UI" w:cs="Segoe UI"/>
                <w:color w:val="212121"/>
                <w:shd w:val="clear" w:color="auto" w:fill="FFFFFF"/>
                <w:lang w:val="en-US"/>
              </w:rPr>
              <w:t xml:space="preserve"> </w:t>
            </w:r>
          </w:p>
          <w:p w14:paraId="60F9BD3E" w14:textId="77777777" w:rsidR="00320FF5" w:rsidRDefault="00320FF5" w:rsidP="00EF29CC">
            <w:pPr>
              <w:ind w:right="-29"/>
              <w:jc w:val="both"/>
              <w:rPr>
                <w:rStyle w:val="Hipervnculo"/>
                <w:sz w:val="20"/>
                <w:szCs w:val="20"/>
                <w:u w:val="none"/>
                <w:lang w:val="en-US"/>
              </w:rPr>
            </w:pPr>
            <w:r w:rsidRPr="00161EAF">
              <w:rPr>
                <w:b/>
                <w:sz w:val="20"/>
                <w:szCs w:val="20"/>
                <w:lang w:val="en-US"/>
              </w:rPr>
              <w:lastRenderedPageBreak/>
              <w:t>[2</w:t>
            </w:r>
            <w:r>
              <w:rPr>
                <w:b/>
                <w:sz w:val="20"/>
                <w:szCs w:val="20"/>
                <w:lang w:val="en-US"/>
              </w:rPr>
              <w:t>5</w:t>
            </w:r>
            <w:r w:rsidRPr="00161EAF">
              <w:rPr>
                <w:b/>
                <w:sz w:val="20"/>
                <w:szCs w:val="20"/>
                <w:lang w:val="en-US"/>
              </w:rPr>
              <w:t xml:space="preserve">] </w:t>
            </w:r>
            <w:r w:rsidRPr="00161EAF">
              <w:rPr>
                <w:bCs/>
                <w:sz w:val="20"/>
                <w:szCs w:val="20"/>
                <w:lang w:val="en-US"/>
              </w:rPr>
              <w:t xml:space="preserve">The </w:t>
            </w:r>
            <w:proofErr w:type="spellStart"/>
            <w:r w:rsidRPr="00161EAF">
              <w:rPr>
                <w:bCs/>
                <w:sz w:val="20"/>
                <w:szCs w:val="20"/>
                <w:lang w:val="en-US"/>
              </w:rPr>
              <w:t>PharmaNetwork</w:t>
            </w:r>
            <w:proofErr w:type="spellEnd"/>
            <w:r w:rsidRPr="00161EAF">
              <w:rPr>
                <w:bCs/>
                <w:sz w:val="20"/>
                <w:szCs w:val="20"/>
                <w:lang w:val="en-US"/>
              </w:rPr>
              <w:t xml:space="preserve">, LLC. </w:t>
            </w:r>
            <w:proofErr w:type="spellStart"/>
            <w:r w:rsidRPr="00161EAF">
              <w:rPr>
                <w:bCs/>
                <w:sz w:val="20"/>
                <w:szCs w:val="20"/>
                <w:lang w:val="en-US"/>
              </w:rPr>
              <w:t>Marinol</w:t>
            </w:r>
            <w:proofErr w:type="spellEnd"/>
            <w:r w:rsidRPr="00161EAF">
              <w:rPr>
                <w:bCs/>
                <w:sz w:val="20"/>
                <w:szCs w:val="20"/>
                <w:lang w:val="en-US"/>
              </w:rPr>
              <w:t>® (</w:t>
            </w:r>
            <w:proofErr w:type="spellStart"/>
            <w:r w:rsidRPr="00161EAF">
              <w:rPr>
                <w:bCs/>
                <w:sz w:val="20"/>
                <w:szCs w:val="20"/>
                <w:lang w:val="en-US"/>
              </w:rPr>
              <w:t>dronabinol</w:t>
            </w:r>
            <w:proofErr w:type="spellEnd"/>
            <w:r w:rsidRPr="00161EAF">
              <w:rPr>
                <w:bCs/>
                <w:sz w:val="20"/>
                <w:szCs w:val="20"/>
                <w:lang w:val="en-US"/>
              </w:rPr>
              <w:t xml:space="preserve"> capsules, USP). 2021 [rev. 2021 March;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0" w:history="1">
              <w:r w:rsidRPr="00A040C6">
                <w:rPr>
                  <w:rStyle w:val="Hipervnculo"/>
                  <w:sz w:val="20"/>
                  <w:szCs w:val="20"/>
                  <w:lang w:val="en-US"/>
                </w:rPr>
                <w:t>https://dailymed.nlm.nih.gov/dailymed/drugInfo.cfm?setid=d0efeeec-640d-43c3-8f0a-d31324a11c68</w:t>
              </w:r>
            </w:hyperlink>
            <w:r w:rsidRPr="00161EAF">
              <w:rPr>
                <w:rStyle w:val="Hipervnculo"/>
                <w:sz w:val="20"/>
                <w:szCs w:val="20"/>
                <w:u w:val="none"/>
                <w:lang w:val="en-US"/>
              </w:rPr>
              <w:t>.</w:t>
            </w:r>
          </w:p>
          <w:p w14:paraId="67DDD959" w14:textId="77777777" w:rsidR="00320FF5" w:rsidRDefault="00320FF5" w:rsidP="00EF29CC">
            <w:pPr>
              <w:ind w:right="-29"/>
              <w:jc w:val="both"/>
              <w:rPr>
                <w:bCs/>
                <w:sz w:val="20"/>
                <w:szCs w:val="20"/>
                <w:lang w:val="en-US"/>
              </w:rPr>
            </w:pPr>
            <w:r>
              <w:rPr>
                <w:b/>
                <w:sz w:val="20"/>
                <w:szCs w:val="20"/>
                <w:lang w:val="en-US"/>
              </w:rPr>
              <w:t>[</w:t>
            </w:r>
            <w:r w:rsidRPr="00161EAF">
              <w:rPr>
                <w:b/>
                <w:sz w:val="20"/>
                <w:szCs w:val="20"/>
                <w:lang w:val="en-US"/>
              </w:rPr>
              <w:t>2</w:t>
            </w:r>
            <w:r>
              <w:rPr>
                <w:b/>
                <w:sz w:val="20"/>
                <w:szCs w:val="20"/>
                <w:lang w:val="en-US"/>
              </w:rPr>
              <w:t>6</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capsules. In USP-NF. Rockville, MD: USP; 2022.</w:t>
            </w:r>
          </w:p>
          <w:p w14:paraId="44E825C4" w14:textId="77777777" w:rsidR="00320FF5" w:rsidRDefault="00320FF5" w:rsidP="00EF29CC">
            <w:pPr>
              <w:ind w:right="-29"/>
              <w:jc w:val="both"/>
              <w:rPr>
                <w:rStyle w:val="Hipervnculo"/>
                <w:color w:val="000000" w:themeColor="text1"/>
              </w:rPr>
            </w:pPr>
            <w:r w:rsidRPr="00C02D0B">
              <w:rPr>
                <w:b/>
                <w:sz w:val="20"/>
                <w:szCs w:val="20"/>
                <w:lang w:val="en-US"/>
              </w:rPr>
              <w:t>[2</w:t>
            </w:r>
            <w:r>
              <w:rPr>
                <w:b/>
                <w:sz w:val="20"/>
                <w:szCs w:val="20"/>
                <w:lang w:val="en-US"/>
              </w:rPr>
              <w:t>7</w:t>
            </w:r>
            <w:r w:rsidRPr="00C02D0B">
              <w:rPr>
                <w:b/>
                <w:sz w:val="20"/>
                <w:szCs w:val="20"/>
                <w:lang w:val="en-US"/>
              </w:rPr>
              <w:t>]</w:t>
            </w:r>
            <w:r>
              <w:rPr>
                <w:b/>
                <w:sz w:val="20"/>
                <w:szCs w:val="20"/>
                <w:lang w:val="en-US"/>
              </w:rPr>
              <w:t xml:space="preserve"> </w:t>
            </w:r>
            <w:r w:rsidRPr="005C44A1">
              <w:rPr>
                <w:bCs/>
                <w:sz w:val="20"/>
                <w:szCs w:val="20"/>
                <w:lang w:val="en-US"/>
              </w:rPr>
              <w:t>FDA</w:t>
            </w:r>
            <w:r>
              <w:rPr>
                <w:bCs/>
                <w:sz w:val="20"/>
                <w:szCs w:val="20"/>
                <w:lang w:val="en-US"/>
              </w:rPr>
              <w:t xml:space="preserve">-Recommended </w:t>
            </w:r>
            <w:r w:rsidRPr="005C44A1">
              <w:rPr>
                <w:bCs/>
                <w:sz w:val="20"/>
                <w:szCs w:val="20"/>
                <w:lang w:val="en-US"/>
              </w:rPr>
              <w:t>Dissolution Methods Databas</w:t>
            </w:r>
            <w:r>
              <w:rPr>
                <w:bCs/>
                <w:sz w:val="20"/>
                <w:szCs w:val="20"/>
                <w:lang w:val="en-US"/>
              </w:rPr>
              <w:t xml:space="preserve">e. Retrieved January 6, 2022, from </w:t>
            </w:r>
            <w:hyperlink r:id="rId21" w:history="1">
              <w:r w:rsidRPr="00A040C6">
                <w:rPr>
                  <w:rStyle w:val="Hipervnculo"/>
                  <w:sz w:val="20"/>
                  <w:szCs w:val="20"/>
                  <w:lang w:val="en-US"/>
                </w:rPr>
                <w:t>https://www.accessdata.fda.gov/scripts/cder/dissolution/dsp_SearchResults.cfm</w:t>
              </w:r>
            </w:hyperlink>
            <w:r>
              <w:rPr>
                <w:rStyle w:val="Hipervnculo"/>
                <w:color w:val="000000" w:themeColor="text1"/>
                <w:sz w:val="20"/>
                <w:szCs w:val="20"/>
                <w:u w:val="none"/>
                <w:lang w:val="en-US"/>
              </w:rPr>
              <w:t>.</w:t>
            </w:r>
          </w:p>
          <w:p w14:paraId="18FDA267" w14:textId="77777777" w:rsidR="00320FF5" w:rsidRPr="00ED4C7F" w:rsidRDefault="00320FF5" w:rsidP="00EF29CC">
            <w:pPr>
              <w:ind w:right="-29"/>
              <w:jc w:val="both"/>
              <w:rPr>
                <w:rStyle w:val="Hipervnculo"/>
                <w:color w:val="000000" w:themeColor="text1"/>
                <w:sz w:val="20"/>
                <w:szCs w:val="20"/>
                <w:u w:val="none"/>
                <w:lang w:val="en-US"/>
              </w:rPr>
            </w:pPr>
            <w:r w:rsidRPr="00E67B9A">
              <w:rPr>
                <w:rStyle w:val="Hipervnculo"/>
                <w:b/>
                <w:bCs/>
                <w:color w:val="000000" w:themeColor="text1"/>
                <w:sz w:val="20"/>
                <w:szCs w:val="20"/>
                <w:u w:val="none"/>
              </w:rPr>
              <w:t>[2</w:t>
            </w:r>
            <w:r>
              <w:rPr>
                <w:rStyle w:val="Hipervnculo"/>
                <w:b/>
                <w:bCs/>
                <w:color w:val="000000" w:themeColor="text1"/>
                <w:sz w:val="20"/>
                <w:szCs w:val="20"/>
                <w:u w:val="none"/>
              </w:rPr>
              <w:t>8</w:t>
            </w:r>
            <w:r w:rsidRPr="00E67B9A">
              <w:rPr>
                <w:rStyle w:val="Hipervnculo"/>
                <w:b/>
                <w:bCs/>
                <w:color w:val="000000" w:themeColor="text1"/>
                <w:sz w:val="20"/>
                <w:szCs w:val="20"/>
                <w:u w:val="none"/>
              </w:rPr>
              <w:t>]</w:t>
            </w:r>
            <w:r>
              <w:rPr>
                <w:rStyle w:val="Hipervnculo"/>
                <w:b/>
                <w:bCs/>
                <w:color w:val="000000" w:themeColor="text1"/>
                <w:sz w:val="20"/>
                <w:szCs w:val="20"/>
                <w:u w:val="none"/>
              </w:rPr>
              <w:t xml:space="preserve"> </w:t>
            </w:r>
            <w:r>
              <w:rPr>
                <w:rStyle w:val="Hipervnculo"/>
                <w:color w:val="000000" w:themeColor="text1"/>
                <w:sz w:val="20"/>
                <w:szCs w:val="20"/>
                <w:u w:val="none"/>
              </w:rPr>
              <w:t xml:space="preserve">FDA-Inactive Ingredient Search for Approved Drug Products. Retrieved January 6, 2022, from </w:t>
            </w:r>
            <w:r w:rsidRPr="00ED4C7F">
              <w:rPr>
                <w:rStyle w:val="Hipervnculo"/>
                <w:sz w:val="20"/>
                <w:szCs w:val="20"/>
                <w:lang w:val="en-US"/>
              </w:rPr>
              <w:t>https://www.accessdata.fda.gov/scripts/cder/iig/index.cfm</w:t>
            </w:r>
            <w:r>
              <w:rPr>
                <w:rStyle w:val="Hipervnculo"/>
                <w:color w:val="000000" w:themeColor="text1"/>
                <w:sz w:val="20"/>
                <w:szCs w:val="20"/>
                <w:u w:val="none"/>
                <w:lang w:val="en-US"/>
              </w:rPr>
              <w:t>.</w:t>
            </w:r>
          </w:p>
          <w:p w14:paraId="554C06DC" w14:textId="77777777" w:rsidR="00320FF5" w:rsidRDefault="00320FF5" w:rsidP="00EF29CC">
            <w:pPr>
              <w:ind w:right="-29"/>
              <w:jc w:val="both"/>
              <w:rPr>
                <w:rStyle w:val="Hipervnculo"/>
                <w:sz w:val="20"/>
                <w:szCs w:val="20"/>
                <w:u w:val="none"/>
                <w:lang w:val="en-US"/>
              </w:rPr>
            </w:pPr>
            <w:r w:rsidRPr="00161EAF">
              <w:rPr>
                <w:b/>
                <w:sz w:val="20"/>
                <w:szCs w:val="20"/>
                <w:lang w:val="en-US"/>
              </w:rPr>
              <w:t>[2</w:t>
            </w:r>
            <w:r>
              <w:rPr>
                <w:b/>
                <w:sz w:val="20"/>
                <w:szCs w:val="20"/>
                <w:lang w:val="en-US"/>
              </w:rPr>
              <w:t>9</w:t>
            </w:r>
            <w:r w:rsidRPr="00161EAF">
              <w:rPr>
                <w:b/>
                <w:sz w:val="20"/>
                <w:szCs w:val="20"/>
                <w:lang w:val="en-US"/>
              </w:rPr>
              <w:t xml:space="preserve">] </w:t>
            </w:r>
            <w:r w:rsidRPr="00161EAF">
              <w:rPr>
                <w:bCs/>
                <w:sz w:val="20"/>
                <w:szCs w:val="20"/>
                <w:lang w:val="en-US"/>
              </w:rPr>
              <w:t xml:space="preserve">Taro Pharmaceuticals U.S.A., Inc. 2016 [rev. 2016 September; cited January 2022]. In: </w:t>
            </w:r>
            <w:proofErr w:type="spellStart"/>
            <w:r w:rsidRPr="00161EAF">
              <w:rPr>
                <w:bCs/>
                <w:sz w:val="20"/>
                <w:szCs w:val="20"/>
                <w:lang w:val="en-US"/>
              </w:rPr>
              <w:t>DailyMed</w:t>
            </w:r>
            <w:proofErr w:type="spellEnd"/>
            <w:r w:rsidRPr="00161EAF">
              <w:rPr>
                <w:bCs/>
                <w:sz w:val="20"/>
                <w:szCs w:val="20"/>
                <w:lang w:val="en-US"/>
              </w:rPr>
              <w:t xml:space="preserve"> [Internet]. [2005]. Bethesda (MD): National Library of Medicine (US). Available from: </w:t>
            </w:r>
            <w:hyperlink r:id="rId22" w:history="1">
              <w:r w:rsidRPr="00A040C6">
                <w:rPr>
                  <w:rStyle w:val="Hipervnculo"/>
                  <w:sz w:val="20"/>
                  <w:szCs w:val="20"/>
                  <w:lang w:val="en-US"/>
                </w:rPr>
                <w:t>https://dailymed.nlm.nih.gov/dailymed/drugInfo.cfm?setid=abeb13eb-66a5-4030-9bc2-5981acd196b9</w:t>
              </w:r>
            </w:hyperlink>
            <w:r w:rsidRPr="00161EAF">
              <w:rPr>
                <w:rStyle w:val="Hipervnculo"/>
                <w:sz w:val="20"/>
                <w:szCs w:val="20"/>
                <w:u w:val="none"/>
                <w:lang w:val="en-US"/>
              </w:rPr>
              <w:t>.</w:t>
            </w:r>
          </w:p>
          <w:p w14:paraId="60AFFDA9" w14:textId="77777777" w:rsidR="00320FF5" w:rsidRDefault="00320FF5" w:rsidP="00EF29CC">
            <w:pPr>
              <w:ind w:right="-29"/>
              <w:jc w:val="both"/>
              <w:rPr>
                <w:rStyle w:val="Hipervnculo"/>
                <w:sz w:val="20"/>
                <w:szCs w:val="20"/>
                <w:u w:val="none"/>
                <w:lang w:val="en-US"/>
              </w:rPr>
            </w:pPr>
            <w:r w:rsidRPr="00161EAF">
              <w:rPr>
                <w:b/>
                <w:sz w:val="20"/>
                <w:szCs w:val="20"/>
                <w:lang w:val="en-US"/>
              </w:rPr>
              <w:t>[</w:t>
            </w:r>
            <w:r>
              <w:rPr>
                <w:b/>
                <w:sz w:val="20"/>
                <w:szCs w:val="20"/>
                <w:lang w:val="en-US"/>
              </w:rPr>
              <w:t>30</w:t>
            </w:r>
            <w:r w:rsidRPr="00161EAF">
              <w:rPr>
                <w:b/>
                <w:sz w:val="20"/>
                <w:szCs w:val="20"/>
                <w:lang w:val="en-US"/>
              </w:rPr>
              <w:t>]</w:t>
            </w:r>
            <w:r w:rsidRPr="00161EAF">
              <w:rPr>
                <w:bCs/>
                <w:sz w:val="20"/>
                <w:szCs w:val="20"/>
                <w:lang w:val="en-US"/>
              </w:rPr>
              <w:t xml:space="preserve"> Rowe, R. C., </w:t>
            </w:r>
            <w:proofErr w:type="spellStart"/>
            <w:r w:rsidRPr="00161EAF">
              <w:rPr>
                <w:bCs/>
                <w:sz w:val="20"/>
                <w:szCs w:val="20"/>
                <w:lang w:val="en-US"/>
              </w:rPr>
              <w:t>Sheskey</w:t>
            </w:r>
            <w:proofErr w:type="spellEnd"/>
            <w:r w:rsidRPr="00161EAF">
              <w:rPr>
                <w:bCs/>
                <w:sz w:val="20"/>
                <w:szCs w:val="20"/>
                <w:lang w:val="en-US"/>
              </w:rPr>
              <w:t>, P. J., &amp; Weller, P. J. (2003). Handbook of pharmaceutical excipients. London: Pharmaceutical Press.</w:t>
            </w:r>
          </w:p>
          <w:p w14:paraId="5AA33122"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31</w:t>
            </w:r>
            <w:r w:rsidRPr="00161EAF">
              <w:rPr>
                <w:b/>
                <w:sz w:val="20"/>
                <w:szCs w:val="20"/>
                <w:lang w:val="en-US"/>
              </w:rPr>
              <w:t>]</w:t>
            </w:r>
            <w:r w:rsidRPr="00161EAF">
              <w:rPr>
                <w:bCs/>
                <w:sz w:val="20"/>
                <w:szCs w:val="20"/>
                <w:lang w:val="en-US"/>
              </w:rPr>
              <w:t xml:space="preserve"> Monograph: USP. Acetazolamide, tablets. In USP-NF. Rockville, MD: USP; 2022.</w:t>
            </w:r>
          </w:p>
          <w:p w14:paraId="41A0BF0A"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32</w:t>
            </w:r>
            <w:r w:rsidRPr="00161EAF">
              <w:rPr>
                <w:b/>
                <w:sz w:val="20"/>
                <w:szCs w:val="20"/>
                <w:lang w:val="en-US"/>
              </w:rPr>
              <w:t>]</w:t>
            </w:r>
            <w:r w:rsidRPr="00161EAF">
              <w:rPr>
                <w:bCs/>
                <w:sz w:val="20"/>
                <w:szCs w:val="20"/>
                <w:lang w:val="en-US"/>
              </w:rPr>
              <w:t xml:space="preserve"> Monograph: USP. </w:t>
            </w:r>
            <w:proofErr w:type="spellStart"/>
            <w:r w:rsidRPr="00161EAF">
              <w:rPr>
                <w:bCs/>
                <w:sz w:val="20"/>
                <w:szCs w:val="20"/>
                <w:lang w:val="en-US"/>
              </w:rPr>
              <w:t>Dronabinol</w:t>
            </w:r>
            <w:proofErr w:type="spellEnd"/>
            <w:r w:rsidRPr="00161EAF">
              <w:rPr>
                <w:bCs/>
                <w:sz w:val="20"/>
                <w:szCs w:val="20"/>
                <w:lang w:val="en-US"/>
              </w:rPr>
              <w:t>. In USP-NF. Rockville, MD: USP; 2022.</w:t>
            </w:r>
          </w:p>
          <w:p w14:paraId="4ECDCCBB"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33</w:t>
            </w:r>
            <w:r w:rsidRPr="00161EAF">
              <w:rPr>
                <w:b/>
                <w:sz w:val="20"/>
                <w:szCs w:val="20"/>
                <w:lang w:val="en-US"/>
              </w:rPr>
              <w:t xml:space="preserve">] </w:t>
            </w:r>
            <w:r w:rsidRPr="00161EAF">
              <w:rPr>
                <w:bCs/>
                <w:sz w:val="20"/>
                <w:szCs w:val="20"/>
                <w:lang w:val="en-US"/>
              </w:rPr>
              <w:t xml:space="preserve">Monograph: </w:t>
            </w:r>
            <w:r>
              <w:rPr>
                <w:bCs/>
                <w:sz w:val="20"/>
                <w:szCs w:val="20"/>
                <w:lang w:val="en-US"/>
              </w:rPr>
              <w:t>Ph. Eur</w:t>
            </w:r>
            <w:r w:rsidRPr="00161EAF">
              <w:rPr>
                <w:bCs/>
                <w:sz w:val="20"/>
                <w:szCs w:val="20"/>
                <w:lang w:val="en-US"/>
              </w:rPr>
              <w:t xml:space="preserve">. Acetazolamide. In </w:t>
            </w:r>
            <w:r w:rsidRPr="00161EAF">
              <w:rPr>
                <w:bCs/>
                <w:i/>
                <w:iCs/>
                <w:sz w:val="20"/>
                <w:szCs w:val="20"/>
                <w:lang w:val="en-US"/>
              </w:rPr>
              <w:t>European pharmacopoeia</w:t>
            </w:r>
            <w:r w:rsidRPr="00161EAF">
              <w:rPr>
                <w:bCs/>
                <w:sz w:val="20"/>
                <w:szCs w:val="20"/>
                <w:lang w:val="en-US"/>
              </w:rPr>
              <w:t>. Strasbourg</w:t>
            </w:r>
            <w:r>
              <w:rPr>
                <w:bCs/>
                <w:sz w:val="20"/>
                <w:szCs w:val="20"/>
                <w:lang w:val="en-US"/>
              </w:rPr>
              <w:t xml:space="preserve">: </w:t>
            </w:r>
            <w:r w:rsidRPr="00161EAF">
              <w:rPr>
                <w:bCs/>
                <w:sz w:val="20"/>
                <w:szCs w:val="20"/>
                <w:lang w:val="en-US"/>
              </w:rPr>
              <w:t>Council of Europe; 2022.</w:t>
            </w:r>
          </w:p>
          <w:p w14:paraId="48340391"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34</w:t>
            </w:r>
            <w:r w:rsidRPr="00161EAF">
              <w:rPr>
                <w:b/>
                <w:sz w:val="20"/>
                <w:szCs w:val="20"/>
                <w:lang w:val="en-US"/>
              </w:rPr>
              <w:t xml:space="preserve">] </w:t>
            </w:r>
            <w:r w:rsidRPr="00161EAF">
              <w:rPr>
                <w:bCs/>
                <w:sz w:val="20"/>
                <w:szCs w:val="20"/>
                <w:lang w:val="en-US"/>
              </w:rPr>
              <w:t xml:space="preserve">Monograph: </w:t>
            </w:r>
            <w:r>
              <w:rPr>
                <w:bCs/>
                <w:sz w:val="20"/>
                <w:szCs w:val="20"/>
                <w:lang w:val="en-US"/>
              </w:rPr>
              <w:t>BP</w:t>
            </w:r>
            <w:r w:rsidRPr="00161EAF">
              <w:rPr>
                <w:bCs/>
                <w:sz w:val="20"/>
                <w:szCs w:val="20"/>
                <w:lang w:val="en-US"/>
              </w:rPr>
              <w:t xml:space="preserve">. </w:t>
            </w:r>
            <w:r w:rsidRPr="00A40E27">
              <w:rPr>
                <w:bCs/>
                <w:sz w:val="20"/>
                <w:szCs w:val="20"/>
                <w:lang w:val="en-US"/>
              </w:rPr>
              <w:t xml:space="preserve">Acetazolamide.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p w14:paraId="0E799F28" w14:textId="77777777" w:rsidR="00320FF5" w:rsidRDefault="00320FF5" w:rsidP="00EF29CC">
            <w:pPr>
              <w:ind w:right="-29"/>
              <w:jc w:val="both"/>
              <w:rPr>
                <w:bCs/>
                <w:sz w:val="20"/>
                <w:szCs w:val="20"/>
                <w:lang w:val="en-US"/>
              </w:rPr>
            </w:pPr>
            <w:r w:rsidRPr="00161EAF">
              <w:rPr>
                <w:b/>
                <w:sz w:val="20"/>
                <w:szCs w:val="20"/>
                <w:lang w:val="en-US"/>
              </w:rPr>
              <w:t>[</w:t>
            </w:r>
            <w:r>
              <w:rPr>
                <w:b/>
                <w:sz w:val="20"/>
                <w:szCs w:val="20"/>
                <w:lang w:val="en-US"/>
              </w:rPr>
              <w:t>35</w:t>
            </w:r>
            <w:r w:rsidRPr="00161EAF">
              <w:rPr>
                <w:b/>
                <w:sz w:val="20"/>
                <w:szCs w:val="20"/>
                <w:lang w:val="en-US"/>
              </w:rPr>
              <w:t xml:space="preserve">] </w:t>
            </w:r>
            <w:r w:rsidRPr="00161EAF">
              <w:rPr>
                <w:bCs/>
                <w:sz w:val="20"/>
                <w:szCs w:val="20"/>
                <w:lang w:val="en-US"/>
              </w:rPr>
              <w:t xml:space="preserve">Monograph: JP. Acetazolamide. In </w:t>
            </w:r>
            <w:r w:rsidRPr="00161EAF">
              <w:rPr>
                <w:bCs/>
                <w:i/>
                <w:iCs/>
                <w:sz w:val="20"/>
                <w:szCs w:val="20"/>
                <w:lang w:val="en-US"/>
              </w:rPr>
              <w:t>The</w:t>
            </w:r>
            <w:r w:rsidRPr="00161EAF">
              <w:rPr>
                <w:bCs/>
                <w:sz w:val="20"/>
                <w:szCs w:val="20"/>
                <w:lang w:val="en-US"/>
              </w:rPr>
              <w:t xml:space="preserve"> </w:t>
            </w:r>
            <w:r w:rsidRPr="00161EAF">
              <w:rPr>
                <w:bCs/>
                <w:i/>
                <w:iCs/>
                <w:sz w:val="20"/>
                <w:szCs w:val="20"/>
                <w:lang w:val="en-US"/>
              </w:rPr>
              <w:t>Japanese pharmacopoeia</w:t>
            </w:r>
            <w:r w:rsidRPr="00161EAF">
              <w:rPr>
                <w:bCs/>
                <w:sz w:val="20"/>
                <w:szCs w:val="20"/>
                <w:lang w:val="en-US"/>
              </w:rPr>
              <w:t>. Tokyo</w:t>
            </w:r>
            <w:r>
              <w:rPr>
                <w:bCs/>
                <w:sz w:val="20"/>
                <w:szCs w:val="20"/>
                <w:lang w:val="en-US"/>
              </w:rPr>
              <w:t xml:space="preserve">: </w:t>
            </w:r>
            <w:r w:rsidRPr="00161EAF">
              <w:rPr>
                <w:bCs/>
                <w:sz w:val="20"/>
                <w:szCs w:val="20"/>
                <w:lang w:val="en-US"/>
              </w:rPr>
              <w:t>Society of Japanese Pharmacopoeia</w:t>
            </w:r>
            <w:r>
              <w:rPr>
                <w:bCs/>
                <w:sz w:val="20"/>
                <w:szCs w:val="20"/>
                <w:lang w:val="en-US"/>
              </w:rPr>
              <w:t>;</w:t>
            </w:r>
            <w:r w:rsidRPr="00161EAF">
              <w:rPr>
                <w:bCs/>
                <w:sz w:val="20"/>
                <w:szCs w:val="20"/>
                <w:lang w:val="en-US"/>
              </w:rPr>
              <w:t xml:space="preserve"> 2022.</w:t>
            </w:r>
          </w:p>
          <w:p w14:paraId="6ADB6DF6" w14:textId="77777777" w:rsidR="00320FF5" w:rsidRPr="00161EAF" w:rsidRDefault="00320FF5" w:rsidP="00EF29CC">
            <w:pPr>
              <w:ind w:right="-29"/>
              <w:jc w:val="both"/>
              <w:rPr>
                <w:bCs/>
                <w:sz w:val="20"/>
                <w:szCs w:val="20"/>
                <w:lang w:val="en-US"/>
              </w:rPr>
            </w:pPr>
            <w:r w:rsidRPr="00161EAF">
              <w:rPr>
                <w:b/>
                <w:sz w:val="20"/>
                <w:szCs w:val="20"/>
                <w:lang w:val="en-US"/>
              </w:rPr>
              <w:t>[</w:t>
            </w:r>
            <w:r>
              <w:rPr>
                <w:b/>
                <w:sz w:val="20"/>
                <w:szCs w:val="20"/>
                <w:lang w:val="en-US"/>
              </w:rPr>
              <w:t>36</w:t>
            </w:r>
            <w:r w:rsidRPr="00161EAF">
              <w:rPr>
                <w:b/>
                <w:sz w:val="20"/>
                <w:szCs w:val="20"/>
                <w:lang w:val="en-US"/>
              </w:rPr>
              <w:t>]</w:t>
            </w:r>
            <w:r w:rsidRPr="00161EAF">
              <w:rPr>
                <w:bCs/>
                <w:sz w:val="20"/>
                <w:szCs w:val="20"/>
                <w:lang w:val="en-US"/>
              </w:rPr>
              <w:t xml:space="preserve"> Monograph: </w:t>
            </w:r>
            <w:r>
              <w:rPr>
                <w:bCs/>
                <w:sz w:val="20"/>
                <w:szCs w:val="20"/>
                <w:lang w:val="en-US"/>
              </w:rPr>
              <w:t>BP</w:t>
            </w:r>
            <w:r w:rsidRPr="00161EAF">
              <w:rPr>
                <w:bCs/>
                <w:sz w:val="20"/>
                <w:szCs w:val="20"/>
                <w:lang w:val="en-US"/>
              </w:rPr>
              <w:t xml:space="preserve">. </w:t>
            </w:r>
            <w:r w:rsidRPr="00A40E27">
              <w:rPr>
                <w:bCs/>
                <w:sz w:val="20"/>
                <w:szCs w:val="20"/>
                <w:lang w:val="en-US"/>
              </w:rPr>
              <w:t>Acetazolamide</w:t>
            </w:r>
            <w:r>
              <w:rPr>
                <w:bCs/>
                <w:sz w:val="20"/>
                <w:szCs w:val="20"/>
                <w:lang w:val="en-US"/>
              </w:rPr>
              <w:t xml:space="preserve"> tablets</w:t>
            </w:r>
            <w:r w:rsidRPr="00A40E27">
              <w:rPr>
                <w:bCs/>
                <w:sz w:val="20"/>
                <w:szCs w:val="20"/>
                <w:lang w:val="en-US"/>
              </w:rPr>
              <w:t xml:space="preserve">. In </w:t>
            </w:r>
            <w:r w:rsidRPr="00A40E27">
              <w:rPr>
                <w:bCs/>
                <w:i/>
                <w:iCs/>
                <w:sz w:val="20"/>
                <w:szCs w:val="20"/>
                <w:lang w:val="en-US"/>
              </w:rPr>
              <w:t>British pharmacopoeia</w:t>
            </w:r>
            <w:r w:rsidRPr="00A40E27">
              <w:rPr>
                <w:bCs/>
                <w:sz w:val="20"/>
                <w:szCs w:val="20"/>
                <w:lang w:val="en-US"/>
              </w:rPr>
              <w:t>. London</w:t>
            </w:r>
            <w:r>
              <w:rPr>
                <w:bCs/>
                <w:sz w:val="20"/>
                <w:szCs w:val="20"/>
                <w:lang w:val="en-US"/>
              </w:rPr>
              <w:t>:</w:t>
            </w:r>
            <w:r w:rsidRPr="00A40E27">
              <w:rPr>
                <w:bCs/>
                <w:sz w:val="20"/>
                <w:szCs w:val="20"/>
                <w:lang w:val="en-US"/>
              </w:rPr>
              <w:t xml:space="preserve"> Medicines and Healthcare Products Regulatory Agency; 2022.</w:t>
            </w:r>
          </w:p>
        </w:tc>
      </w:tr>
    </w:tbl>
    <w:p w14:paraId="3EA8B55F" w14:textId="77777777" w:rsidR="00320FF5" w:rsidRDefault="00320FF5" w:rsidP="00990997">
      <w:pPr>
        <w:rPr>
          <w:sz w:val="20"/>
          <w:szCs w:val="20"/>
          <w:lang w:val="en-US"/>
        </w:rPr>
      </w:pPr>
    </w:p>
    <w:p w14:paraId="074494C2" w14:textId="77777777" w:rsidR="00320FF5" w:rsidRDefault="00320FF5" w:rsidP="00990997">
      <w:pPr>
        <w:rPr>
          <w:sz w:val="20"/>
          <w:szCs w:val="20"/>
          <w:lang w:val="en-US"/>
        </w:rPr>
      </w:pPr>
    </w:p>
    <w:p w14:paraId="1766655E" w14:textId="77777777" w:rsidR="00D14509" w:rsidRDefault="00D14509"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D14509">
            <w:pPr>
              <w:pStyle w:val="Prrafodelista"/>
              <w:numPr>
                <w:ilvl w:val="0"/>
                <w:numId w:val="16"/>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D14509">
            <w:pPr>
              <w:pStyle w:val="Prrafodelista"/>
              <w:numPr>
                <w:ilvl w:val="0"/>
                <w:numId w:val="16"/>
              </w:numPr>
              <w:ind w:right="-29"/>
              <w:rPr>
                <w:b/>
                <w:sz w:val="20"/>
                <w:szCs w:val="20"/>
                <w:lang w:val="en-US"/>
              </w:rPr>
            </w:pPr>
            <w:r w:rsidRPr="00161EAF">
              <w:rPr>
                <w:b/>
                <w:sz w:val="20"/>
                <w:szCs w:val="20"/>
                <w:lang w:val="en-US"/>
              </w:rPr>
              <w:t>RELATED DOCUMENTS</w:t>
            </w:r>
          </w:p>
        </w:tc>
      </w:tr>
      <w:tr w:rsidR="00CB2C8E" w:rsidRPr="00161EAF" w14:paraId="60D9306A" w14:textId="77777777" w:rsidTr="00EF29CC">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EF29CC">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EF29CC">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EF29CC">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D14509">
            <w:pPr>
              <w:pStyle w:val="Prrafodelista"/>
              <w:numPr>
                <w:ilvl w:val="0"/>
                <w:numId w:val="16"/>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23"/>
      <w:footerReference w:type="even" r:id="rId24"/>
      <w:footerReference w:type="default" r:id="rId25"/>
      <w:headerReference w:type="first" r:id="rId26"/>
      <w:footerReference w:type="first" r:id="rId27"/>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131EA" w14:textId="77777777" w:rsidR="005F4556" w:rsidRDefault="005F4556">
      <w:r>
        <w:separator/>
      </w:r>
    </w:p>
  </w:endnote>
  <w:endnote w:type="continuationSeparator" w:id="0">
    <w:p w14:paraId="62F03965" w14:textId="77777777" w:rsidR="005F4556" w:rsidRDefault="005F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Calibri"/>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EF29CC" w:rsidRDefault="00EF29CC" w:rsidP="00FB7DD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0523A8" w14:textId="77777777" w:rsidR="00EF29CC" w:rsidRDefault="00EF29CC"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EF29CC" w:rsidRDefault="00EF29CC" w:rsidP="008E0FB9">
    <w:pPr>
      <w:pStyle w:val="Piedepgina"/>
      <w:framePr w:wrap="around" w:vAnchor="text" w:hAnchor="margin" w:xAlign="right" w:y="1"/>
      <w:jc w:val="right"/>
      <w:rPr>
        <w:rStyle w:val="Nmerodepgina"/>
        <w:rFonts w:ascii="Arial" w:hAnsi="Arial" w:cs="Arial"/>
        <w:sz w:val="20"/>
        <w:szCs w:val="20"/>
      </w:rPr>
    </w:pPr>
  </w:p>
  <w:p w14:paraId="725DE9CD" w14:textId="58403DAB" w:rsidR="00EF29CC" w:rsidRPr="003E2996" w:rsidRDefault="00EF29CC"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EF29CC" w:rsidRPr="003E2996" w:rsidRDefault="00EF29CC" w:rsidP="008A0DDF">
    <w:pPr>
      <w:pStyle w:val="Piedepgina"/>
      <w:rPr>
        <w:rStyle w:val="Nmerodepgina"/>
        <w:rFonts w:ascii="Spranq eco sans" w:hAnsi="Spranq eco sans" w:cs="Arial"/>
        <w:sz w:val="16"/>
        <w:szCs w:val="16"/>
        <w:lang w:val="en-US"/>
      </w:rPr>
    </w:pPr>
  </w:p>
  <w:p w14:paraId="620D3B4E" w14:textId="77777777" w:rsidR="00EF29CC" w:rsidRPr="00333606" w:rsidRDefault="00EF29CC" w:rsidP="008A0DDF">
    <w:pPr>
      <w:pStyle w:val="Piedepgina"/>
      <w:jc w:val="right"/>
      <w:rPr>
        <w:rStyle w:val="Nmerodepgina"/>
        <w:sz w:val="16"/>
        <w:szCs w:val="16"/>
      </w:rPr>
    </w:pPr>
    <w:r w:rsidRPr="00333606">
      <w:rPr>
        <w:rStyle w:val="Nmerodepgina"/>
        <w:sz w:val="16"/>
        <w:szCs w:val="16"/>
      </w:rPr>
      <w:t>F-SOP-0872-2 V03</w:t>
    </w:r>
  </w:p>
  <w:p w14:paraId="300523AB" w14:textId="77777777" w:rsidR="00EF29CC" w:rsidRDefault="00EF29CC"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EF29CC" w:rsidRPr="003E2996" w:rsidRDefault="00EF29CC" w:rsidP="008A0DDF">
    <w:pPr>
      <w:pStyle w:val="Piedepgina"/>
      <w:ind w:right="360"/>
      <w:jc w:val="center"/>
      <w:rPr>
        <w:color w:val="000000" w:themeColor="text1"/>
        <w:sz w:val="12"/>
        <w:szCs w:val="12"/>
        <w:lang w:val="en-US"/>
      </w:rPr>
    </w:pPr>
    <w:r w:rsidRPr="003E2996">
      <w:rPr>
        <w:color w:val="000000" w:themeColor="text1"/>
        <w:sz w:val="12"/>
        <w:szCs w:val="12"/>
        <w:lang w:val="en-US"/>
      </w:rPr>
      <w:t>THIS DOCUMENT IS</w:t>
    </w:r>
    <w:r>
      <w:rPr>
        <w:color w:val="000000" w:themeColor="text1"/>
        <w:sz w:val="12"/>
        <w:szCs w:val="12"/>
        <w:lang w:val="en-US"/>
      </w:rPr>
      <w:t xml:space="preserve"> THE</w:t>
    </w:r>
    <w:r w:rsidRPr="003E2996">
      <w:rPr>
        <w:color w:val="000000" w:themeColor="text1"/>
        <w:sz w:val="12"/>
        <w:szCs w:val="12"/>
        <w:lang w:val="en-US"/>
      </w:rPr>
      <w:t xml:space="preserve"> PROPERTY OF PROCAPS S.A.  TOTAL OR PARTIALL REPRODUCTION I</w:t>
    </w:r>
    <w:r>
      <w:rPr>
        <w:color w:val="000000" w:themeColor="text1"/>
        <w:sz w:val="12"/>
        <w:szCs w:val="12"/>
        <w:lang w:val="en-US"/>
      </w:rPr>
      <w:t>S PROHIBITED-</w:t>
    </w:r>
  </w:p>
  <w:p w14:paraId="300523CA" w14:textId="77777777" w:rsidR="00EF29CC" w:rsidRPr="003E2996" w:rsidRDefault="00EF29CC" w:rsidP="000E17CA">
    <w:pPr>
      <w:pStyle w:val="Piedepgina"/>
      <w:rPr>
        <w:rStyle w:val="Nmerodepgina"/>
        <w:rFonts w:ascii="Spranq eco sans" w:hAnsi="Spranq eco sans" w:cs="Arial"/>
        <w:sz w:val="16"/>
        <w:szCs w:val="16"/>
        <w:lang w:val="en-US"/>
      </w:rPr>
    </w:pPr>
  </w:p>
  <w:p w14:paraId="300523CB" w14:textId="4928420B" w:rsidR="00EF29CC" w:rsidRPr="003E2996" w:rsidRDefault="00EF29CC" w:rsidP="005B1387">
    <w:pPr>
      <w:pStyle w:val="Piedepgina"/>
      <w:jc w:val="right"/>
      <w:rPr>
        <w:rStyle w:val="Nmerodepgina"/>
        <w:sz w:val="16"/>
        <w:szCs w:val="16"/>
        <w:lang w:val="es-CO"/>
      </w:rPr>
    </w:pPr>
    <w:r w:rsidRPr="003E2996">
      <w:rPr>
        <w:rStyle w:val="Nmerodepgina"/>
        <w:sz w:val="16"/>
        <w:szCs w:val="16"/>
        <w:lang w:val="es-CO"/>
      </w:rPr>
      <w:t>F-SOP-0872-2 V03</w:t>
    </w:r>
  </w:p>
  <w:p w14:paraId="300523CC" w14:textId="77777777" w:rsidR="00EF29CC" w:rsidRPr="003E2996" w:rsidRDefault="00EF29CC"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AE8D8" w14:textId="77777777" w:rsidR="005F4556" w:rsidRDefault="005F4556">
      <w:r>
        <w:separator/>
      </w:r>
    </w:p>
  </w:footnote>
  <w:footnote w:type="continuationSeparator" w:id="0">
    <w:p w14:paraId="2853403A" w14:textId="77777777" w:rsidR="005F4556" w:rsidRDefault="005F45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6AA7E0C4" w14:textId="77777777" w:rsidTr="6026102E">
      <w:trPr>
        <w:cantSplit/>
        <w:trHeight w:val="340"/>
      </w:trPr>
      <w:tc>
        <w:tcPr>
          <w:tcW w:w="1346" w:type="dxa"/>
          <w:vMerge w:val="restart"/>
          <w:vAlign w:val="center"/>
        </w:tcPr>
        <w:p w14:paraId="21F00BEE" w14:textId="77777777" w:rsidR="00EF29CC" w:rsidRPr="00746F5A" w:rsidRDefault="00EF29CC"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EF29CC" w:rsidRDefault="00EF29CC"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EF29CC" w:rsidRPr="00746F5A" w:rsidRDefault="00EF29CC"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EF29CC" w:rsidRPr="00746F5A" w:rsidRDefault="00EF29CC"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EF29CC" w:rsidRPr="00746F5A" w:rsidRDefault="00EF29CC" w:rsidP="00CF5903">
          <w:pPr>
            <w:pStyle w:val="Encabezado"/>
            <w:rPr>
              <w:bCs/>
              <w:sz w:val="16"/>
              <w:szCs w:val="16"/>
              <w:lang w:val="en-US"/>
            </w:rPr>
          </w:pPr>
          <w:r w:rsidRPr="00746F5A">
            <w:rPr>
              <w:bCs/>
              <w:sz w:val="16"/>
              <w:szCs w:val="16"/>
              <w:lang w:val="en-US"/>
            </w:rPr>
            <w:t xml:space="preserve">CO-S-21070</w:t>
          </w:r>
        </w:p>
      </w:tc>
    </w:tr>
    <w:tr w:rsidR="00EF29CC" w:rsidRPr="00746F5A" w14:paraId="3D5A82C1" w14:textId="77777777" w:rsidTr="6026102E">
      <w:trPr>
        <w:cantSplit/>
        <w:trHeight w:val="229"/>
      </w:trPr>
      <w:tc>
        <w:tcPr>
          <w:tcW w:w="1346" w:type="dxa"/>
          <w:vMerge/>
          <w:vAlign w:val="center"/>
        </w:tcPr>
        <w:p w14:paraId="2D3482D3" w14:textId="77777777" w:rsidR="00EF29CC" w:rsidRPr="00746F5A" w:rsidRDefault="00EF29CC"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EF29CC" w:rsidRPr="00746F5A" w:rsidRDefault="00EF29CC" w:rsidP="6026102E">
          <w:pPr>
            <w:pStyle w:val="Encabezado"/>
            <w:jc w:val="center"/>
            <w:rPr>
              <w:b/>
              <w:bCs/>
              <w:sz w:val="20"/>
              <w:szCs w:val="20"/>
            </w:rPr>
          </w:pPr>
          <w:r w:rsidRPr="6026102E">
            <w:rPr>
              <w:b/>
              <w:bCs/>
              <w:sz w:val="20"/>
              <w:szCs w:val="20"/>
            </w:rPr>
            <w:t xml:space="preserve"/>
          </w:r>
        </w:p>
      </w:tc>
      <w:tc>
        <w:tcPr>
          <w:tcW w:w="1134" w:type="dxa"/>
          <w:tcBorders>
            <w:top w:val="nil"/>
            <w:left w:val="single" w:sz="4" w:space="0" w:color="auto"/>
            <w:bottom w:val="nil"/>
            <w:right w:val="nil"/>
          </w:tcBorders>
          <w:vAlign w:val="center"/>
        </w:tcPr>
        <w:p w14:paraId="523A753E" w14:textId="615D7384" w:rsidR="00EF29CC" w:rsidRPr="00746F5A" w:rsidRDefault="00EF29CC"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EF29CC" w:rsidRPr="00746F5A" w:rsidRDefault="00EF29CC" w:rsidP="00BE2332">
          <w:pPr>
            <w:pStyle w:val="Encabezado"/>
            <w:rPr>
              <w:bCs/>
              <w:sz w:val="16"/>
              <w:szCs w:val="16"/>
              <w:lang w:val="en-US"/>
            </w:rPr>
          </w:pPr>
        </w:p>
      </w:tc>
    </w:tr>
    <w:tr w:rsidR="00EF29CC" w:rsidRPr="00746F5A" w14:paraId="03892ADF" w14:textId="77777777" w:rsidTr="6026102E">
      <w:trPr>
        <w:cantSplit/>
        <w:trHeight w:val="340"/>
      </w:trPr>
      <w:tc>
        <w:tcPr>
          <w:tcW w:w="1346" w:type="dxa"/>
          <w:vMerge/>
        </w:tcPr>
        <w:p w14:paraId="5456EDAB" w14:textId="77777777" w:rsidR="00EF29CC" w:rsidRPr="00746F5A" w:rsidRDefault="00EF29CC" w:rsidP="00BE2332">
          <w:pPr>
            <w:pStyle w:val="Encabezado"/>
            <w:rPr>
              <w:b/>
              <w:sz w:val="19"/>
              <w:szCs w:val="19"/>
              <w:lang w:val="en-US"/>
            </w:rPr>
          </w:pPr>
        </w:p>
      </w:tc>
      <w:tc>
        <w:tcPr>
          <w:tcW w:w="6593" w:type="dxa"/>
          <w:vMerge/>
          <w:vAlign w:val="center"/>
        </w:tcPr>
        <w:p w14:paraId="25E8A4DF" w14:textId="77777777" w:rsidR="00EF29CC" w:rsidRPr="00746F5A" w:rsidRDefault="00EF29CC"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EF29CC" w:rsidRPr="00746F5A" w:rsidRDefault="00EF29CC"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03FB9EB2" w:rsidR="00EF29CC" w:rsidRPr="00746F5A" w:rsidRDefault="00EF29CC"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A6" w14:textId="77777777" w:rsidR="00EF29CC" w:rsidRPr="00746F5A" w:rsidRDefault="00EF29CC"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EF29CC" w:rsidRPr="00746F5A" w14:paraId="300523B0" w14:textId="7B117DCB" w:rsidTr="6026102E">
      <w:trPr>
        <w:cantSplit/>
        <w:trHeight w:val="274"/>
      </w:trPr>
      <w:tc>
        <w:tcPr>
          <w:tcW w:w="1346" w:type="dxa"/>
          <w:vMerge w:val="restart"/>
          <w:vAlign w:val="center"/>
        </w:tcPr>
        <w:p w14:paraId="300523AC" w14:textId="13B1BFF3" w:rsidR="00EF29CC" w:rsidRPr="00746F5A" w:rsidRDefault="00EF29CC"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EF29CC" w:rsidRDefault="00EF29CC"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EF29CC" w:rsidRPr="00746F5A" w:rsidRDefault="00EF29CC"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EF29CC" w:rsidRPr="00746F5A" w:rsidRDefault="00EF29CC" w:rsidP="00794A87">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6913C729" w14:textId="141C5FD4" w:rsidR="00EF29CC" w:rsidRPr="00746F5A" w:rsidRDefault="00EF29CC" w:rsidP="00794A87">
          <w:pPr>
            <w:pStyle w:val="Encabezado"/>
            <w:rPr>
              <w:bCs/>
              <w:sz w:val="16"/>
              <w:szCs w:val="16"/>
              <w:lang w:val="en-US"/>
            </w:rPr>
          </w:pPr>
          <w:r w:rsidRPr="00746F5A">
            <w:rPr>
              <w:bCs/>
              <w:sz w:val="16"/>
              <w:szCs w:val="16"/>
              <w:lang w:val="en-US"/>
            </w:rPr>
            <w:t xml:space="preserve">CO-S-21070</w:t>
          </w:r>
        </w:p>
      </w:tc>
    </w:tr>
    <w:tr w:rsidR="00EF29CC" w:rsidRPr="00746F5A" w14:paraId="5C48AC34" w14:textId="039818A6" w:rsidTr="6026102E">
      <w:trPr>
        <w:cantSplit/>
        <w:trHeight w:val="229"/>
      </w:trPr>
      <w:tc>
        <w:tcPr>
          <w:tcW w:w="1346" w:type="dxa"/>
          <w:vMerge/>
          <w:vAlign w:val="center"/>
        </w:tcPr>
        <w:p w14:paraId="4CA03044" w14:textId="77777777" w:rsidR="00EF29CC" w:rsidRPr="00746F5A" w:rsidRDefault="00EF29CC"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F29CC" w:rsidRPr="00746F5A" w:rsidRDefault="00EF29CC" w:rsidP="6026102E">
          <w:pPr>
            <w:pStyle w:val="Encabezado"/>
            <w:jc w:val="center"/>
            <w:rPr>
              <w:b/>
              <w:bCs/>
              <w:sz w:val="20"/>
              <w:szCs w:val="20"/>
            </w:rPr>
          </w:pPr>
          <w:r w:rsidRPr="6026102E">
            <w:rPr>
              <w:b/>
              <w:bCs/>
              <w:sz w:val="20"/>
              <w:szCs w:val="20"/>
            </w:rPr>
            <w:t xml:space="preserve"/>
          </w:r>
        </w:p>
      </w:tc>
      <w:tc>
        <w:tcPr>
          <w:tcW w:w="1134" w:type="dxa"/>
          <w:tcBorders>
            <w:top w:val="nil"/>
            <w:left w:val="single" w:sz="4" w:space="0" w:color="auto"/>
            <w:bottom w:val="nil"/>
            <w:right w:val="nil"/>
          </w:tcBorders>
          <w:vAlign w:val="center"/>
        </w:tcPr>
        <w:p w14:paraId="1D2EC148" w14:textId="61A7F113" w:rsidR="00EF29CC" w:rsidRPr="00746F5A" w:rsidRDefault="00EF29CC" w:rsidP="00794A87">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7CF63B5E" w14:textId="23993CB0" w:rsidR="00EF29CC" w:rsidRPr="00746F5A" w:rsidRDefault="00EF29CC" w:rsidP="00794A87">
          <w:pPr>
            <w:pStyle w:val="Encabezado"/>
            <w:rPr>
              <w:bCs/>
              <w:sz w:val="16"/>
              <w:szCs w:val="16"/>
              <w:lang w:val="en-US"/>
            </w:rPr>
          </w:pPr>
        </w:p>
      </w:tc>
    </w:tr>
    <w:tr w:rsidR="00EF29CC" w:rsidRPr="00746F5A" w14:paraId="300523B5" w14:textId="35C339F9" w:rsidTr="6026102E">
      <w:trPr>
        <w:cantSplit/>
        <w:trHeight w:val="340"/>
      </w:trPr>
      <w:tc>
        <w:tcPr>
          <w:tcW w:w="1346" w:type="dxa"/>
          <w:vMerge/>
        </w:tcPr>
        <w:p w14:paraId="300523B1" w14:textId="77777777" w:rsidR="00EF29CC" w:rsidRPr="00746F5A" w:rsidRDefault="00EF29CC" w:rsidP="00A5701B">
          <w:pPr>
            <w:pStyle w:val="Encabezado"/>
            <w:rPr>
              <w:b/>
              <w:sz w:val="19"/>
              <w:szCs w:val="19"/>
              <w:lang w:val="en-US"/>
            </w:rPr>
          </w:pPr>
        </w:p>
      </w:tc>
      <w:tc>
        <w:tcPr>
          <w:tcW w:w="6593" w:type="dxa"/>
          <w:vMerge/>
          <w:vAlign w:val="center"/>
        </w:tcPr>
        <w:p w14:paraId="300523B3" w14:textId="2C4A1F3B" w:rsidR="00EF29CC" w:rsidRPr="00746F5A" w:rsidRDefault="00EF29CC"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EF29CC" w:rsidRPr="00746F5A" w:rsidRDefault="00EF29CC" w:rsidP="00794A87">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1D93D110" w14:textId="7D6E0C94" w:rsidR="00EF29CC" w:rsidRPr="00746F5A" w:rsidRDefault="00EF29CC"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AC11D9">
            <w:rPr>
              <w:bCs/>
              <w:noProof/>
              <w:sz w:val="16"/>
              <w:szCs w:val="16"/>
              <w:lang w:val="en-US"/>
            </w:rPr>
            <w:t>1</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AC11D9">
            <w:rPr>
              <w:bCs/>
              <w:noProof/>
              <w:sz w:val="16"/>
              <w:szCs w:val="16"/>
              <w:lang w:val="en-US"/>
            </w:rPr>
            <w:t>13</w:t>
          </w:r>
          <w:r w:rsidRPr="00746F5A">
            <w:rPr>
              <w:bCs/>
              <w:sz w:val="16"/>
              <w:szCs w:val="16"/>
              <w:lang w:val="en-US"/>
            </w:rPr>
            <w:fldChar w:fldCharType="end"/>
          </w:r>
        </w:p>
      </w:tc>
    </w:tr>
  </w:tbl>
  <w:p w14:paraId="300523B6" w14:textId="77777777" w:rsidR="00EF29CC" w:rsidRPr="00746F5A" w:rsidRDefault="00EF29CC"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60325D"/>
    <w:multiLevelType w:val="multilevel"/>
    <w:tmpl w:val="5388ECA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3"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5"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3E0E5F"/>
    <w:multiLevelType w:val="multilevel"/>
    <w:tmpl w:val="114CFE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3"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4" w15:restartNumberingAfterBreak="0">
    <w:nsid w:val="5A012E7C"/>
    <w:multiLevelType w:val="multilevel"/>
    <w:tmpl w:val="450C6B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B82835"/>
    <w:multiLevelType w:val="multilevel"/>
    <w:tmpl w:val="10748C6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B11D2"/>
    <w:multiLevelType w:val="multilevel"/>
    <w:tmpl w:val="9B3A88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15"/>
  </w:num>
  <w:num w:numId="4">
    <w:abstractNumId w:val="3"/>
  </w:num>
  <w:num w:numId="5">
    <w:abstractNumId w:val="11"/>
  </w:num>
  <w:num w:numId="6">
    <w:abstractNumId w:val="6"/>
  </w:num>
  <w:num w:numId="7">
    <w:abstractNumId w:val="5"/>
  </w:num>
  <w:num w:numId="8">
    <w:abstractNumId w:val="7"/>
  </w:num>
  <w:num w:numId="9">
    <w:abstractNumId w:val="16"/>
  </w:num>
  <w:num w:numId="10">
    <w:abstractNumId w:val="2"/>
  </w:num>
  <w:num w:numId="11">
    <w:abstractNumId w:val="0"/>
  </w:num>
  <w:num w:numId="12">
    <w:abstractNumId w:val="18"/>
  </w:num>
  <w:num w:numId="13">
    <w:abstractNumId w:val="13"/>
  </w:num>
  <w:num w:numId="14">
    <w:abstractNumId w:val="12"/>
  </w:num>
  <w:num w:numId="15">
    <w:abstractNumId w:val="10"/>
  </w:num>
  <w:num w:numId="16">
    <w:abstractNumId w:val="14"/>
  </w:num>
  <w:num w:numId="17">
    <w:abstractNumId w:val="9"/>
  </w:num>
  <w:num w:numId="18">
    <w:abstractNumId w:val="1"/>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s-CO"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18E8"/>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0A6"/>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0FF5"/>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556"/>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11D9"/>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3F3B"/>
    <w:rsid w:val="00B94F61"/>
    <w:rsid w:val="00B95B1B"/>
    <w:rsid w:val="00BA16B3"/>
    <w:rsid w:val="00BA1E09"/>
    <w:rsid w:val="00BA4F67"/>
    <w:rsid w:val="00BA519C"/>
    <w:rsid w:val="00BA5D7A"/>
    <w:rsid w:val="00BA6F2F"/>
    <w:rsid w:val="00BB0DF4"/>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2BFB"/>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6F53"/>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50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29CC"/>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7AE"/>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5D69"/>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CDF4483"/>
    <w:rsid w:val="4F1753C3"/>
    <w:rsid w:val="53B83934"/>
    <w:rsid w:val="5F93D3EF"/>
    <w:rsid w:val="6026102E"/>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406">
      <w:bodyDiv w:val="1"/>
      <w:marLeft w:val="0"/>
      <w:marRight w:val="0"/>
      <w:marTop w:val="0"/>
      <w:marBottom w:val="0"/>
      <w:divBdr>
        <w:top w:val="none" w:sz="0" w:space="0" w:color="auto"/>
        <w:left w:val="none" w:sz="0" w:space="0" w:color="auto"/>
        <w:bottom w:val="none" w:sz="0" w:space="0" w:color="auto"/>
        <w:right w:val="none" w:sz="0" w:space="0" w:color="auto"/>
      </w:divBdr>
      <w:divsChild>
        <w:div w:id="1093086985">
          <w:marLeft w:val="0"/>
          <w:marRight w:val="0"/>
          <w:marTop w:val="0"/>
          <w:marBottom w:val="0"/>
          <w:divBdr>
            <w:top w:val="none" w:sz="0" w:space="0" w:color="auto"/>
            <w:left w:val="none" w:sz="0" w:space="0" w:color="auto"/>
            <w:bottom w:val="none" w:sz="0" w:space="0" w:color="auto"/>
            <w:right w:val="none" w:sz="0" w:space="0" w:color="auto"/>
          </w:divBdr>
          <w:divsChild>
            <w:div w:id="1228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356464792">
      <w:bodyDiv w:val="1"/>
      <w:marLeft w:val="0"/>
      <w:marRight w:val="0"/>
      <w:marTop w:val="0"/>
      <w:marBottom w:val="0"/>
      <w:divBdr>
        <w:top w:val="none" w:sz="0" w:space="0" w:color="auto"/>
        <w:left w:val="none" w:sz="0" w:space="0" w:color="auto"/>
        <w:bottom w:val="none" w:sz="0" w:space="0" w:color="auto"/>
        <w:right w:val="none" w:sz="0" w:space="0" w:color="auto"/>
      </w:divBdr>
      <w:divsChild>
        <w:div w:id="295570575">
          <w:marLeft w:val="0"/>
          <w:marRight w:val="0"/>
          <w:marTop w:val="0"/>
          <w:marBottom w:val="0"/>
          <w:divBdr>
            <w:top w:val="none" w:sz="0" w:space="0" w:color="auto"/>
            <w:left w:val="none" w:sz="0" w:space="0" w:color="auto"/>
            <w:bottom w:val="none" w:sz="0" w:space="0" w:color="auto"/>
            <w:right w:val="none" w:sz="0" w:space="0" w:color="auto"/>
          </w:divBdr>
          <w:divsChild>
            <w:div w:id="16494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ubchem.ncbi.nlm.nih.gov/compound/Acetazolamide" TargetMode="External"/><Relationship Id="rId18" Type="http://schemas.openxmlformats.org/officeDocument/2006/relationships/hyperlink" Target="https://pubchem.ncbi.nlm.nih.gov/compound/N-_5-chloro-1_3_4-thiadiazol-2-yl_acetami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cessdata.fda.gov/scripts/cder/dissolution/dsp_SearchResults.cfm" TargetMode="External"/><Relationship Id="rId7" Type="http://schemas.openxmlformats.org/officeDocument/2006/relationships/styles" Target="styles.xml"/><Relationship Id="rId12" Type="http://schemas.openxmlformats.org/officeDocument/2006/relationships/hyperlink" Target="https://pubchem.ncbi.nlm.nih.gov/compound/Dronabinol" TargetMode="External"/><Relationship Id="rId17" Type="http://schemas.openxmlformats.org/officeDocument/2006/relationships/hyperlink" Target="https://pubchem.ncbi.nlm.nih.gov/compound/2-Acetylamino-5-mercapto-1_3_4-thiadiazol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ubchem.ncbi.nlm.nih.gov/compound/n-_1_3_4-Thiadiazol-2-yl_acetamide" TargetMode="External"/><Relationship Id="rId20" Type="http://schemas.openxmlformats.org/officeDocument/2006/relationships/hyperlink" Target="https://dailymed.nlm.nih.gov/dailymed/drugInfo.cfm?setid=d0efeeec-640d-43c3-8f0a-d31324a11c6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pubchem.ncbi.nlm.nih.gov/compound/5-Acetamido-1_3_4-thiadiazole-2-sulfonic-acid" TargetMode="Externa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ubchem.ncbi.nlm.nih.gov/compound/331896"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ubchem.ncbi.nlm.nih.gov/compound/5-Amino-1_3_4-thiadiazole-2-sulfonamide" TargetMode="External"/><Relationship Id="rId22" Type="http://schemas.openxmlformats.org/officeDocument/2006/relationships/hyperlink" Target="https://dailymed.nlm.nih.gov/dailymed/drugInfo.cfm?setid=abeb13eb-66a5-4030-9bc2-5981acd196b9"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3.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4.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5.xml><?xml version="1.0" encoding="utf-8"?>
<ds:datastoreItem xmlns:ds="http://schemas.openxmlformats.org/officeDocument/2006/customXml" ds:itemID="{458B95B4-B838-4F79-BE28-27043A62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3257</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Technical Assessment Questionnaire</vt:lpstr>
    </vt:vector>
  </TitlesOfParts>
  <Company>Patheon UK Limited</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creator>odells</dc:creator>
  <cp:lastModifiedBy>ivan romero yepes</cp:lastModifiedBy>
  <cp:revision>53</cp:revision>
  <cp:lastPrinted>2022-01-24T13:04:00Z</cp:lastPrinted>
  <dcterms:created xsi:type="dcterms:W3CDTF">2025-01-31T13:08:00Z</dcterms:created>
  <dcterms:modified xsi:type="dcterms:W3CDTF">2025-02-18T17:12:00Z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