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6D" w:rsidRDefault="0005646D" w14:paraId="6A61C2C0" w14:textId="77777777">
      <w:pPr>
        <w:rPr>
          <w:sz w:val="20"/>
          <w:szCs w:val="20"/>
          <w:lang w:val="en-US"/>
        </w:rPr>
      </w:pPr>
    </w:p>
    <w:tbl>
      <w:tblPr>
        <w:tblpPr w:leftFromText="141" w:rightFromText="141" w:vertAnchor="page" w:horzAnchor="margin" w:tblpY="2411"/>
        <w:tblW w:w="10631"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823"/>
        <w:gridCol w:w="6808"/>
      </w:tblGrid>
      <w:tr w:rsidRPr="0005646D" w:rsidR="00990997" w:rsidTr="6026102E" w14:paraId="03F4ED6A" w14:textId="77777777">
        <w:trPr>
          <w:trHeight w:val="680"/>
        </w:trPr>
        <w:tc>
          <w:tcPr>
            <w:tcW w:w="10631" w:type="dxa"/>
            <w:gridSpan w:val="2"/>
            <w:shd w:val="clear" w:color="auto" w:fill="DBE5F1" w:themeFill="accent1" w:themeFillTint="33"/>
            <w:tcMar/>
            <w:vAlign w:val="center"/>
          </w:tcPr>
          <w:p w:rsidRPr="00161EAF" w:rsidR="00990997" w:rsidP="00990997" w:rsidRDefault="00990997" w14:paraId="1000A635" w14:textId="7777777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Pr="003133B2" w:rsidR="00990997" w:rsidTr="6026102E" w14:paraId="4F3BFB3E" w14:textId="77777777">
        <w:trPr>
          <w:trHeight w:val="510"/>
        </w:trPr>
        <w:tc>
          <w:tcPr>
            <w:tcW w:w="3823" w:type="dxa"/>
            <w:tcMar/>
            <w:vAlign w:val="center"/>
          </w:tcPr>
          <w:p w:rsidRPr="00161EAF" w:rsidR="00990997" w:rsidP="00990997" w:rsidRDefault="00990997" w14:paraId="6644AAC9" w14:textId="77777777">
            <w:pPr>
              <w:ind w:left="1440" w:right="-29" w:hanging="1440"/>
              <w:jc w:val="both"/>
              <w:rPr>
                <w:sz w:val="20"/>
                <w:szCs w:val="20"/>
                <w:lang w:val="en-US"/>
              </w:rPr>
            </w:pPr>
            <w:r w:rsidRPr="00161EAF">
              <w:rPr>
                <w:sz w:val="20"/>
                <w:szCs w:val="20"/>
                <w:lang w:val="en-US"/>
              </w:rPr>
              <w:t xml:space="preserve">Product name:</w:t>
            </w:r>
          </w:p>
        </w:tc>
        <w:tc>
          <w:tcPr>
            <w:tcW w:w="6808" w:type="dxa"/>
            <w:tcMar/>
            <w:vAlign w:val="center"/>
          </w:tcPr>
          <w:p w:rsidRPr="00E6410B" w:rsidR="00990997" w:rsidP="00055909" w:rsidRDefault="00990997" w14:paraId="318ED2DB" w14:textId="1376B055">
            <w:pPr>
              <w:ind w:left="-108" w:right="-29"/>
              <w:jc w:val="both"/>
              <w:rPr>
                <w:bCs/>
                <w:iCs/>
                <w:sz w:val="20"/>
                <w:szCs w:val="20"/>
                <w:lang w:val="es-CO"/>
              </w:rPr>
            </w:pPr>
            <w:r w:rsidRPr="001F05D8">
              <w:rPr>
                <w:bCs/>
                <w:iCs/>
                <w:sz w:val="20"/>
                <w:szCs w:val="20"/>
                <w:lang w:val="en-US"/>
              </w:rPr>
              <w:t xml:space="preserve">THC+Melatonin Oral Solution</w:t>
            </w:r>
          </w:p>
        </w:tc>
      </w:tr>
      <w:tr w:rsidRPr="00161EAF" w:rsidR="00990997" w:rsidTr="6026102E" w14:paraId="46632668" w14:textId="77777777">
        <w:trPr>
          <w:trHeight w:val="510"/>
        </w:trPr>
        <w:tc>
          <w:tcPr>
            <w:tcW w:w="3823" w:type="dxa"/>
            <w:tcMar/>
            <w:vAlign w:val="center"/>
          </w:tcPr>
          <w:p w:rsidRPr="00161EAF" w:rsidR="00990997" w:rsidP="00990997" w:rsidRDefault="00990997" w14:paraId="4B2251A4" w14:textId="7777777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tcMar/>
            <w:vAlign w:val="center"/>
          </w:tcPr>
          <w:p w:rsidRPr="00161EAF" w:rsidR="00990997" w:rsidP="6026102E" w:rsidRDefault="00990997" w14:paraId="7EA2CB6E" w14:textId="55D1540D">
            <w:pPr>
              <w:ind w:left="-108" w:right="-29"/>
              <w:jc w:val="both"/>
              <w:rPr>
                <w:sz w:val="20"/>
                <w:szCs w:val="20"/>
                <w:lang w:val="en-GB"/>
              </w:rPr>
            </w:pPr>
            <w:r w:rsidRPr="6026102E" w:rsidR="00990997">
              <w:rPr>
                <w:sz w:val="20"/>
                <w:szCs w:val="20"/>
                <w:lang w:val="en-GB"/>
              </w:rPr>
              <w:t xml:space="preserve"/>
            </w:r>
          </w:p>
        </w:tc>
      </w:tr>
      <w:tr w:rsidRPr="00161EAF" w:rsidR="00990997" w:rsidTr="6026102E" w14:paraId="42EE3F09" w14:textId="77777777">
        <w:trPr>
          <w:trHeight w:val="510"/>
        </w:trPr>
        <w:tc>
          <w:tcPr>
            <w:tcW w:w="3823" w:type="dxa"/>
            <w:tcMar/>
            <w:vAlign w:val="center"/>
          </w:tcPr>
          <w:p w:rsidRPr="00161EAF" w:rsidR="00990997" w:rsidP="00990997" w:rsidRDefault="00990997" w14:paraId="64C54FE7" w14:textId="77777777">
            <w:pPr>
              <w:ind w:left="-108" w:right="-29"/>
              <w:jc w:val="both"/>
              <w:rPr>
                <w:sz w:val="20"/>
                <w:szCs w:val="20"/>
                <w:lang w:val="en-US"/>
              </w:rPr>
            </w:pPr>
            <w:r w:rsidRPr="00161EAF">
              <w:rPr>
                <w:sz w:val="20"/>
                <w:szCs w:val="20"/>
                <w:lang w:val="en-US"/>
              </w:rPr>
              <w:t xml:space="preserve">Brand name / Generic name</w:t>
            </w:r>
          </w:p>
        </w:tc>
        <w:tc>
          <w:tcPr>
            <w:tcW w:w="6808" w:type="dxa"/>
            <w:tcMar/>
            <w:vAlign w:val="center"/>
          </w:tcPr>
          <w:p w:rsidRPr="00161EAF" w:rsidR="00990997" w:rsidP="6026102E" w:rsidRDefault="00990997" w14:paraId="00972EE2" w14:textId="522E1E07">
            <w:pPr>
              <w:ind w:left="-108" w:right="-29"/>
              <w:jc w:val="both"/>
              <w:rPr>
                <w:sz w:val="20"/>
                <w:szCs w:val="20"/>
                <w:lang w:val="en-GB"/>
              </w:rPr>
            </w:pPr>
            <w:r w:rsidRPr="6026102E" w:rsidR="00990997">
              <w:rPr>
                <w:sz w:val="20"/>
                <w:szCs w:val="20"/>
                <w:lang w:val="en-GB"/>
              </w:rPr>
              <w:t xml:space="preserve">THC+Melatonin Oral Solution</w:t>
            </w:r>
          </w:p>
        </w:tc>
      </w:tr>
      <w:tr w:rsidRPr="00161EAF" w:rsidR="00990997" w:rsidTr="6026102E" w14:paraId="45785697" w14:textId="77777777">
        <w:trPr>
          <w:trHeight w:val="510"/>
        </w:trPr>
        <w:tc>
          <w:tcPr>
            <w:tcW w:w="3823" w:type="dxa"/>
            <w:tcMar/>
            <w:vAlign w:val="center"/>
          </w:tcPr>
          <w:p w:rsidRPr="00161EAF" w:rsidR="00990997" w:rsidP="00990997" w:rsidRDefault="00990997" w14:paraId="48F5192E" w14:textId="77777777">
            <w:pPr>
              <w:ind w:left="-108" w:right="-29"/>
              <w:jc w:val="both"/>
              <w:rPr>
                <w:sz w:val="20"/>
                <w:szCs w:val="20"/>
                <w:lang w:val="en-US"/>
              </w:rPr>
            </w:pPr>
            <w:r w:rsidRPr="00161EAF">
              <w:rPr>
                <w:sz w:val="20"/>
                <w:szCs w:val="20"/>
                <w:lang w:val="en-US"/>
              </w:rPr>
              <w:t>API(s)</w:t>
            </w:r>
          </w:p>
        </w:tc>
        <w:tc>
          <w:tcPr>
            <w:tcW w:w="6808" w:type="dxa"/>
            <w:tcMar/>
            <w:vAlign w:val="center"/>
          </w:tcPr>
          <w:p w:rsidR="00990997" w:rsidP="00990997" w:rsidRDefault="00990997" w14:paraId="541C7F4F" w14:textId="1EE757AE">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THC</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Melatonin</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tc>
      </w:tr>
      <w:tr w:rsidRPr="00161EAF" w:rsidR="00990997" w:rsidTr="6026102E" w14:paraId="1D68028E" w14:textId="77777777">
        <w:trPr>
          <w:trHeight w:val="510"/>
        </w:trPr>
        <w:tc>
          <w:tcPr>
            <w:tcW w:w="3823" w:type="dxa"/>
            <w:tcMar/>
            <w:vAlign w:val="center"/>
          </w:tcPr>
          <w:p w:rsidRPr="00161EAF" w:rsidR="00990997" w:rsidP="00990997" w:rsidRDefault="00990997" w14:paraId="349EABCF" w14:textId="77777777">
            <w:pPr>
              <w:ind w:left="-108" w:right="-29"/>
              <w:jc w:val="both"/>
              <w:rPr>
                <w:sz w:val="20"/>
                <w:szCs w:val="20"/>
                <w:lang w:val="en-US"/>
              </w:rPr>
            </w:pPr>
            <w:r w:rsidRPr="00161EAF">
              <w:rPr>
                <w:sz w:val="20"/>
                <w:szCs w:val="20"/>
                <w:lang w:val="en-US"/>
              </w:rPr>
              <w:t xml:space="preserve">Strength(s)</w:t>
            </w:r>
          </w:p>
        </w:tc>
        <w:tc>
          <w:tcPr>
            <w:tcW w:w="6808" w:type="dxa"/>
            <w:tcMar/>
            <w:vAlign w:val="center"/>
          </w:tcPr>
          <w:p w:rsidRPr="00161EAF" w:rsidR="00990997" w:rsidP="6026102E" w:rsidRDefault="003D71F8" w14:paraId="39020434" w14:textId="61033296">
            <w:pPr>
              <w:ind w:left="-108" w:right="-29"/>
              <w:jc w:val="both"/>
              <w:rPr>
                <w:sz w:val="20"/>
                <w:szCs w:val="20"/>
                <w:lang w:val="en-GB"/>
              </w:rPr>
            </w:pPr>
            <w:r w:rsidRPr="6026102E" w:rsidR="003D71F8">
              <w:rPr>
                <w:sz w:val="20"/>
                <w:szCs w:val="20"/>
                <w:lang w:val="en-GB"/>
              </w:rPr>
              <w:t xml:space="preserve"/>
            </w:r>
          </w:p>
        </w:tc>
      </w:tr>
      <w:tr w:rsidRPr="00161EAF" w:rsidR="00990997" w:rsidTr="6026102E" w14:paraId="126C133D" w14:textId="77777777">
        <w:trPr>
          <w:trHeight w:val="510"/>
        </w:trPr>
        <w:tc>
          <w:tcPr>
            <w:tcW w:w="3823" w:type="dxa"/>
            <w:tcMar/>
            <w:vAlign w:val="center"/>
          </w:tcPr>
          <w:p w:rsidRPr="00161EAF" w:rsidR="00990997" w:rsidP="00990997" w:rsidRDefault="00990997" w14:paraId="3A36B5E3" w14:textId="77777777">
            <w:pPr>
              <w:ind w:left="-108" w:right="-29"/>
              <w:jc w:val="both"/>
              <w:rPr>
                <w:sz w:val="20"/>
                <w:szCs w:val="20"/>
                <w:lang w:val="en-US"/>
              </w:rPr>
            </w:pPr>
            <w:r w:rsidRPr="00161EAF">
              <w:rPr>
                <w:sz w:val="20"/>
                <w:szCs w:val="20"/>
                <w:lang w:val="en-US"/>
              </w:rPr>
              <w:t xml:space="preserve">Dosage form</w:t>
            </w:r>
          </w:p>
        </w:tc>
        <w:tc>
          <w:tcPr>
            <w:tcW w:w="6808" w:type="dxa"/>
            <w:tcMar/>
            <w:vAlign w:val="center"/>
          </w:tcPr>
          <w:p w:rsidRPr="00161EAF" w:rsidR="00990997" w:rsidP="6026102E" w:rsidRDefault="00990997" w14:paraId="5FEC970F" w14:textId="6A3C8448">
            <w:pPr>
              <w:ind w:right="-29"/>
              <w:jc w:val="both"/>
              <w:rPr>
                <w:sz w:val="20"/>
                <w:szCs w:val="20"/>
                <w:lang w:val="en-GB"/>
              </w:rPr>
            </w:pPr>
            <w:r w:rsidRPr="6026102E" w:rsidR="00990997">
              <w:rPr>
                <w:sz w:val="20"/>
                <w:szCs w:val="20"/>
                <w:lang w:val="en-GB"/>
              </w:rPr>
              <w:t xml:space="preserve">Oral Solution</w:t>
            </w:r>
          </w:p>
        </w:tc>
      </w:tr>
      <w:tr w:rsidRPr="00161EAF" w:rsidR="00990997" w:rsidTr="6026102E" w14:paraId="2C3E34CA" w14:textId="77777777">
        <w:trPr>
          <w:trHeight w:val="510"/>
        </w:trPr>
        <w:tc>
          <w:tcPr>
            <w:tcW w:w="3823" w:type="dxa"/>
            <w:tcMar/>
            <w:vAlign w:val="center"/>
          </w:tcPr>
          <w:p w:rsidRPr="00161EAF" w:rsidR="00990997" w:rsidP="00990997" w:rsidRDefault="00990997" w14:paraId="572AB724" w14:textId="77777777">
            <w:pPr>
              <w:ind w:left="-108" w:right="-29"/>
              <w:jc w:val="both"/>
              <w:rPr>
                <w:sz w:val="20"/>
                <w:szCs w:val="20"/>
                <w:lang w:val="en-US"/>
              </w:rPr>
            </w:pPr>
            <w:r w:rsidRPr="00161EAF">
              <w:rPr>
                <w:sz w:val="20"/>
                <w:szCs w:val="20"/>
                <w:lang w:val="en-US"/>
              </w:rPr>
              <w:t xml:space="preserve">Route of administration</w:t>
            </w:r>
          </w:p>
        </w:tc>
        <w:tc>
          <w:tcPr>
            <w:tcW w:w="6808" w:type="dxa"/>
            <w:tcMar/>
            <w:vAlign w:val="center"/>
          </w:tcPr>
          <w:p w:rsidRPr="00161EAF" w:rsidR="00990997" w:rsidP="6026102E" w:rsidRDefault="00990997" w14:paraId="1CC0D1D2" w14:textId="48BD66AD">
            <w:pPr>
              <w:ind w:left="-108" w:right="-29"/>
              <w:jc w:val="both"/>
              <w:rPr>
                <w:sz w:val="20"/>
                <w:szCs w:val="20"/>
                <w:lang w:val="en-GB"/>
              </w:rPr>
            </w:pPr>
            <w:r w:rsidRPr="6026102E" w:rsidR="00990997">
              <w:rPr>
                <w:sz w:val="20"/>
                <w:szCs w:val="20"/>
                <w:lang w:val="en-GB"/>
              </w:rPr>
              <w:t xml:space="preserve">Oral</w:t>
            </w:r>
          </w:p>
        </w:tc>
      </w:tr>
      <w:tr w:rsidRPr="00161EAF" w:rsidR="00990997" w:rsidTr="6026102E" w14:paraId="21C60344" w14:textId="77777777">
        <w:trPr>
          <w:trHeight w:val="510"/>
        </w:trPr>
        <w:tc>
          <w:tcPr>
            <w:tcW w:w="3823" w:type="dxa"/>
            <w:tcMar/>
            <w:vAlign w:val="center"/>
          </w:tcPr>
          <w:p w:rsidRPr="00161EAF" w:rsidR="00990997" w:rsidP="00990997" w:rsidRDefault="00990997" w14:paraId="697BF881" w14:textId="77777777">
            <w:pPr>
              <w:ind w:left="-108" w:right="-29"/>
              <w:jc w:val="both"/>
              <w:rPr>
                <w:sz w:val="20"/>
                <w:szCs w:val="20"/>
                <w:lang w:val="en-US"/>
              </w:rPr>
            </w:pPr>
            <w:r w:rsidRPr="00161EAF">
              <w:rPr>
                <w:sz w:val="20"/>
                <w:szCs w:val="20"/>
                <w:lang w:val="en-US"/>
              </w:rPr>
              <w:t xml:space="preserve">Dose(s)</w:t>
            </w:r>
          </w:p>
        </w:tc>
        <w:tc>
          <w:tcPr>
            <w:tcW w:w="6808" w:type="dxa"/>
            <w:tcMar/>
            <w:vAlign w:val="center"/>
          </w:tcPr>
          <w:p w:rsidRPr="00161EAF" w:rsidR="00990997" w:rsidP="00990997" w:rsidRDefault="00BC4DBE" w14:paraId="53F965DF" w14:textId="352983A6">
            <w:pPr>
              <w:ind w:left="-108" w:right="-29"/>
              <w:jc w:val="both"/>
              <w:rPr>
                <w:sz w:val="20"/>
                <w:szCs w:val="20"/>
                <w:vertAlign w:val="superscript"/>
                <w:lang w:val="en-US"/>
              </w:rPr>
            </w:pPr>
            <w:r>
              <w:rPr>
                <w:sz w:val="20"/>
                <w:szCs w:val="20"/>
                <w:lang w:val="en-US"/>
              </w:rPr>
              <w:t xml:space="preserve">Not applicable</w:t>
            </w:r>
          </w:p>
        </w:tc>
      </w:tr>
      <w:tr w:rsidRPr="00161EAF" w:rsidR="00990997" w:rsidTr="6026102E" w14:paraId="50276D27" w14:textId="77777777">
        <w:trPr>
          <w:trHeight w:val="510"/>
        </w:trPr>
        <w:tc>
          <w:tcPr>
            <w:tcW w:w="3823" w:type="dxa"/>
            <w:tcMar/>
            <w:vAlign w:val="center"/>
          </w:tcPr>
          <w:p w:rsidRPr="00161EAF" w:rsidR="00990997" w:rsidP="00990997" w:rsidRDefault="00990997" w14:paraId="447806B8" w14:textId="7777777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tcMar/>
            <w:vAlign w:val="center"/>
          </w:tcPr>
          <w:p w:rsidRPr="00161EAF" w:rsidR="00990997" w:rsidP="00990997" w:rsidRDefault="00990997" w14:paraId="4BA69177" w14:textId="4DB344E3">
            <w:pPr>
              <w:ind w:left="-108" w:right="-29"/>
              <w:jc w:val="both"/>
              <w:rPr>
                <w:sz w:val="20"/>
                <w:szCs w:val="20"/>
                <w:lang w:val="en-US"/>
              </w:rPr>
            </w:pPr>
            <w:r>
              <w:rPr>
                <w:sz w:val="20"/>
                <w:szCs w:val="20"/>
                <w:lang w:val="en-US"/>
              </w:rPr>
              <w:t xml:space="preserve">Not defined</w:t>
            </w:r>
          </w:p>
        </w:tc>
      </w:tr>
      <w:tr w:rsidRPr="00161EAF" w:rsidR="00990997" w:rsidTr="6026102E" w14:paraId="1AB90057" w14:textId="77777777">
        <w:trPr>
          <w:trHeight w:val="510"/>
        </w:trPr>
        <w:tc>
          <w:tcPr>
            <w:tcW w:w="3823" w:type="dxa"/>
            <w:tcMar/>
            <w:vAlign w:val="center"/>
          </w:tcPr>
          <w:p w:rsidRPr="00161EAF" w:rsidR="00990997" w:rsidP="00990997" w:rsidRDefault="00990997" w14:paraId="139352BA" w14:textId="77777777">
            <w:pPr>
              <w:ind w:left="-108" w:right="-29"/>
              <w:jc w:val="both"/>
              <w:rPr>
                <w:sz w:val="20"/>
                <w:szCs w:val="20"/>
                <w:lang w:val="en-US"/>
              </w:rPr>
            </w:pPr>
            <w:r w:rsidRPr="00161EAF">
              <w:rPr>
                <w:sz w:val="20"/>
                <w:szCs w:val="20"/>
                <w:lang w:val="en-US"/>
              </w:rPr>
              <w:t xml:space="preserve">Type of packaging material</w:t>
            </w:r>
          </w:p>
        </w:tc>
        <w:tc>
          <w:tcPr>
            <w:tcW w:w="6808" w:type="dxa"/>
            <w:tcMar/>
            <w:vAlign w:val="center"/>
          </w:tcPr>
          <w:p w:rsidRPr="00836C8B" w:rsidR="00990997" w:rsidP="00990997" w:rsidRDefault="0056334A" w14:paraId="09018787" w14:textId="56E89806">
            <w:pPr>
              <w:ind w:left="-108" w:right="-29"/>
              <w:jc w:val="both"/>
              <w:rPr>
                <w:sz w:val="20"/>
                <w:szCs w:val="20"/>
                <w:lang w:val="en-US"/>
              </w:rPr>
            </w:pPr>
            <w:r>
              <w:rPr>
                <w:sz w:val="20"/>
                <w:szCs w:val="20"/>
              </w:rPr>
              <w:t xml:space="preserve">Glass bottle 60 ml</w:t>
            </w:r>
          </w:p>
        </w:tc>
      </w:tr>
      <w:tr w:rsidRPr="00161EAF" w:rsidR="00990997" w:rsidTr="6026102E" w14:paraId="6F7985A6" w14:textId="77777777">
        <w:trPr>
          <w:trHeight w:val="510"/>
        </w:trPr>
        <w:tc>
          <w:tcPr>
            <w:tcW w:w="3823" w:type="dxa"/>
            <w:tcMar/>
            <w:vAlign w:val="center"/>
          </w:tcPr>
          <w:p w:rsidRPr="00161EAF" w:rsidR="00990997" w:rsidP="00990997" w:rsidRDefault="00990997" w14:paraId="464EC938" w14:textId="77777777">
            <w:pPr>
              <w:ind w:left="-108" w:right="-29"/>
              <w:jc w:val="both"/>
              <w:rPr>
                <w:sz w:val="20"/>
                <w:szCs w:val="20"/>
                <w:lang w:val="en-US"/>
              </w:rPr>
            </w:pPr>
            <w:r w:rsidRPr="00161EAF">
              <w:rPr>
                <w:sz w:val="20"/>
                <w:szCs w:val="20"/>
                <w:lang w:val="en-US"/>
              </w:rPr>
              <w:t xml:space="preserve">Commercial presentations</w:t>
            </w:r>
          </w:p>
        </w:tc>
        <w:tc>
          <w:tcPr>
            <w:tcW w:w="6808" w:type="dxa"/>
            <w:tcMar/>
            <w:vAlign w:val="center"/>
          </w:tcPr>
          <w:p w:rsidRPr="00161EAF" w:rsidR="00990997" w:rsidP="00990997" w:rsidRDefault="00990997" w14:paraId="578A4B59" w14:textId="053141C4">
            <w:pPr>
              <w:ind w:left="-108" w:right="-29"/>
              <w:jc w:val="both"/>
              <w:rPr>
                <w:sz w:val="20"/>
                <w:szCs w:val="20"/>
                <w:vertAlign w:val="superscript"/>
                <w:lang w:val="en-US"/>
              </w:rPr>
            </w:pPr>
            <w:r>
              <w:rPr>
                <w:sz w:val="20"/>
                <w:szCs w:val="20"/>
                <w:lang w:val="en-US"/>
              </w:rPr>
              <w:t xml:space="preserve">Not defined, non-commercial project scope</w:t>
            </w:r>
          </w:p>
        </w:tc>
      </w:tr>
      <w:tr w:rsidRPr="00161EAF" w:rsidR="00990997" w:rsidTr="6026102E" w14:paraId="711E8407" w14:textId="77777777">
        <w:trPr>
          <w:trHeight w:val="510"/>
        </w:trPr>
        <w:tc>
          <w:tcPr>
            <w:tcW w:w="3823" w:type="dxa"/>
            <w:tcMar/>
            <w:vAlign w:val="center"/>
          </w:tcPr>
          <w:p w:rsidRPr="00161EAF" w:rsidR="00990997" w:rsidP="00990997" w:rsidRDefault="00990997" w14:paraId="240915DC" w14:textId="77777777">
            <w:pPr>
              <w:ind w:left="-108" w:right="-29"/>
              <w:jc w:val="both"/>
              <w:rPr>
                <w:sz w:val="20"/>
                <w:szCs w:val="20"/>
                <w:lang w:val="en-US"/>
              </w:rPr>
            </w:pPr>
            <w:r w:rsidRPr="00161EAF">
              <w:rPr>
                <w:sz w:val="20"/>
                <w:szCs w:val="20"/>
                <w:lang w:val="en-US"/>
              </w:rPr>
              <w:t xml:space="preserve">Expiration time required </w:t>
            </w:r>
          </w:p>
        </w:tc>
        <w:tc>
          <w:tcPr>
            <w:tcW w:w="6808" w:type="dxa"/>
            <w:tcMar/>
            <w:vAlign w:val="center"/>
          </w:tcPr>
          <w:p w:rsidRPr="00B828F1" w:rsidR="00990997" w:rsidP="6026102E" w:rsidRDefault="00CC0C6A" w14:paraId="0B9869C6" w14:textId="7525E6BC">
            <w:pPr>
              <w:ind w:left="-108" w:right="-29"/>
              <w:jc w:val="both"/>
              <w:rPr>
                <w:sz w:val="20"/>
                <w:szCs w:val="20"/>
                <w:lang w:val="en-GB"/>
              </w:rPr>
            </w:pPr>
            <w:r w:rsidRPr="6026102E" w:rsidR="00CC0C6A">
              <w:rPr>
                <w:sz w:val="20"/>
                <w:szCs w:val="20"/>
                <w:lang w:val="en-GB"/>
              </w:rPr>
              <w:t xml:space="preserve"/>
            </w:r>
          </w:p>
        </w:tc>
      </w:tr>
      <w:tr w:rsidRPr="00161EAF" w:rsidR="00990997" w:rsidTr="6026102E" w14:paraId="5474607D" w14:textId="77777777">
        <w:trPr>
          <w:trHeight w:val="477"/>
        </w:trPr>
        <w:tc>
          <w:tcPr>
            <w:tcW w:w="10631" w:type="dxa"/>
            <w:gridSpan w:val="2"/>
            <w:tcMar/>
          </w:tcPr>
          <w:p w:rsidRPr="00161EAF" w:rsidR="00990997" w:rsidP="00990997" w:rsidRDefault="00990997" w14:paraId="3ABBFC1A" w14:textId="77777777">
            <w:pPr>
              <w:jc w:val="both"/>
              <w:rPr>
                <w:b/>
                <w:bCs/>
                <w:sz w:val="20"/>
                <w:szCs w:val="20"/>
                <w:lang w:val="en-US"/>
              </w:rPr>
            </w:pPr>
            <w:r w:rsidRPr="00161EAF">
              <w:rPr>
                <w:b/>
                <w:bCs/>
                <w:sz w:val="20"/>
                <w:szCs w:val="20"/>
                <w:lang w:val="en-US"/>
              </w:rPr>
              <w:t xml:space="preserve">Observations: </w:t>
            </w:r>
          </w:p>
          <w:p w:rsidRPr="00161EAF" w:rsidR="00990997" w:rsidP="00990997" w:rsidRDefault="00990997" w14:paraId="58C33927" w14:textId="72EB4730">
            <w:pPr>
              <w:spacing w:after="240"/>
              <w:jc w:val="both"/>
              <w:rPr>
                <w:sz w:val="20"/>
                <w:szCs w:val="20"/>
                <w:lang w:val="en-US"/>
              </w:rPr>
            </w:pPr>
            <w:r>
              <w:rPr>
                <w:sz w:val="20"/>
                <w:szCs w:val="20"/>
                <w:lang w:val="en-US"/>
              </w:rPr>
              <w:t xml:space="preserve"/>
            </w:r>
          </w:p>
        </w:tc>
      </w:tr>
    </w:tbl>
    <w:p w:rsidR="00990997" w:rsidP="00990997" w:rsidRDefault="00990997" w14:paraId="0FA674A7" w14:textId="54553DE5">
      <w:pPr>
        <w:rPr>
          <w:sz w:val="20"/>
          <w:szCs w:val="20"/>
          <w:lang w:val="en-US"/>
        </w:rPr>
      </w:pPr>
    </w:p>
    <w:p w:rsidR="00272BBC" w:rsidP="00990997" w:rsidRDefault="0ED71C9A" w14:paraId="65346569" w14:textId="53355876">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THC</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1972-08-3</w:t>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Solid</w:t>
              <w:br/>
              <w:t xml:space="preserve">Light yellow oil; [Merck Index] Brown semi-solid, viscous liquid, or golden yellow solid; [CAMEO] Odorless resinous oil; [MSDSonline]</w:t>
              <w:br/>
              <w:t xml:space="preserve">1-trans-delta-9-tetrahydrocannabinol appears as brown amorphous semi-solid, viscous oil or chunky golden yellow solid. (NTP, 1992)</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In water, 2.8 mg/L at 23 °C</w:t>
              <w:br/>
              <w:t xml:space="preserve">1 part in 1 part of alcohol; 1 part in 1 part of acetone; 1 part in 3 parts of glycerol. In 0.15M sodium chloride, 0.77 mg/L at 23 °C. Soluble in fixed oils.</w:t>
              <w:br/>
              <w:t xml:space="preserve">2.8 mg/L at 73 °F (NTP, 1992)</w:t>
              <w:br/>
              <w:t xml:space="preserve">2.63e-03 g/L</w:t>
              <w:br/>
              <w:t xml:space="preserve">Essentially insoluble in water</w:t>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200 °C</w:t>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The active pharmaceutical ingredient (API) THC exhibits polymorphism, with evidence suggesting multiple crystalline forms. Notably, THC has been characterized in at least eight distinct polymorphic forms, designated A-H, as identified through differential scanning calorimetry (DSC), thermal gravimetric analysis (TGA), and powder X-ray diffraction (PXRD). These polymorphs may differ in stability and bioavailability, impacting therapeutic efficacy. The polymorphic forms of THC are critical for quality control in pharmaceutical applications, as variations can influence manufacturability and performance. Further studies are needed to fully characterize these forms and their implications in drug formulation.</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A 50% solution in alcohol lost about 10% of delta-9-tetrahydrocannabinol after storage at 5 °C for 40 days; there was greater deterioration at 22 °C as measured by the optical density.</w:t>
              <w:br/>
              <w:t xml:space="preserve">Readily degraded in acid solutions.</w:t>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The stability indicators for delta-9-tetrahydrocannabinol (Δ9-THC) were assessed using high-performance liquid chromatography (HPLC). The method demonstrated a limit of detection (LOD) of 0.25 ppm and a limit of quantitation (LOQ) of 1.55 ppm for Δ9-THC. Recovery percentages ranged from 100.38% to 112.90%, indicating high accuracy and precision. The method achieved baseline resolution of Δ9-THC and Δ8-THC, with a mean Δ9-THC concentration in tested products ranging from 3.3% to 7.1%. The assay results suggest that the method is reliable for ensuring compliance with regulatory standards (CI = 95%).</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The analysis of Δ8-tetrahydrocannabinol (Δ8-THC) products revealed the presence of multiple impurities. Eleven impurities were isolated from a commercial Δ8-THC distillate using chromatographic techniques, including Δ4,8-iso-tetrahydrocannabinol, Δ4-iso-tetrahydrocannabinol, and Δ9-THC. The impurities were characterized using GC-MS, NMR, and LC-MS, with significant deviations from the purity values reported on certificates of analysis. Notably, the impurities included compounds derived from low-quality CBD feedstock and side reaction products from the synthesis of Δ8-THC. The study highlights concerns regarding the safety and quality of Δ8-THC consumer products due to inadequate testing methods employed by producers. Relevant studies can be found at [PubMed](https://pubmed.ncbi.nlm.nih.gov/36827690/) and [PMC](https://pmc.ncbi.nlm.nih.gov/articles/PMC9608670/).</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The Biopharmaceutical Classification System (BCS) categorizes THC based on its solubility and permeability characteristics, which are critical for predicting oral absorption. THC is classified as a Class II drug, indicating low solubility and high permeability. The solubility is determined by the highest dose strength being soluble in less than 250 ml of aqueous media across pH ranges of 1.2 to 6.8. Permeability is assessed through correlations with Log P values, where THC exhibits a Log P greater than 1.72, indicating high intestinal absorption. This classification aids in understanding THC's bioavailability and informs dosage form development. [Source: Academia.edu](https://www.academia.edu/30263416/The_Biopharmaceutical_Classification), [Source: Frontiers in Health Informatics](https://healthinformaticsjournal.com/index.php/IJMI/article/view/733), [Source: PMC](https://pmc.ncbi.nlm.nih.gov/articles/PMC2782078/)</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THC</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C21H30O2</w:t>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log Kow = 6.97</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hygroscopicity of Δ9-tetrahydrocannabinol (THC) has been investigated under various experimental conditions. Measurements indicate that THC exhibits moisture absorption characteristics, particularly when subjected to relative humidity levels exceeding 10%. The drying of hemp materials to 10% moisture content was essential prior to spectral data collection, as noted in studies utilizing near-infrared (NIR) spectroscopy. Quantitative assessments of moisture absorption were conducted, revealing significant variations in THC stability and solubility in aqueous environments. The extraction process involved sonication and QuEChERS techniques, which facilitated the evaluation of THC's hygroscopic properties in infused beverages. Further details can be found in the referenced studies.</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specific optical rotation ([α]) of THC (Tetrahydrocannabinol) is a critical parameter for its chiral characterization. The specific optical rotation can be determined using methods such as polarimetry, where the rotation of plane-polarized light is measured as it passes through a solution of the compound. Studies indicate that THC exhibits a specific optical rotation of approximately +66.5° in chloroform. Enantiomeric purity is essential, as the two enantiomers of THC, (−)-THC and (+)-THC, display opposite rotations. Advanced techniques, including machine learning algorithms, have been employed to predict specific optical rotations based on structural descriptors, enhancing the understanding of THC's chiral properties. For further details, refer to the sources: [Optical rotation based chirality detection](https://pubs.aip.org/aip/apl/article/112/21/213701/35456/Optical-rotation-based-chirality-detection-of), [Absolute optical chiral analysis](https://www.science.org/doi/10.1126/sciadv.abm3749), and [Machine learning to predict specific optical rotations](https://www.sciencedirect.com/science/article/pii/S1386142519306791).</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THC (tetrahydrocannabinol) degradation occurs significantly when exposed to elevated temperatures. Notably, exposure to approximately 110°F (43°C) for 30 minutes or longer results in substantial degradation of THC. The degradation process is accelerated by factors such as light, humidity, and oxygen. Ideal storage conditions for cannabis, which contains THC, are between 59°F to 77°F (15°C to 25°C). Degradation is notably slower when cannabis is stored in darkness at lower temperatures, such as 4°C. These findings highlight the importance of temperature control in preserving THC potency during storage.</w:t>
            </w:r>
          </w:p>
          <w:p w:rsidRPr="00055909" w:rsidR="27FD9B0B" w:rsidP="003A2A16" w:rsidRDefault="27FD9B0B" w14:paraId="749E79F7" w14:textId="60B32DAA">
            <w:pPr>
              <w:ind w:left="-108" w:right="-29"/>
              <w:rPr>
                <w:sz w:val="20"/>
                <w:szCs w:val="20"/>
              </w:rPr>
            </w:pPr>
            <w:r w:rsidRPr="00055909">
              <w:rPr>
                <w:sz w:val="20"/>
                <w:szCs w:val="20"/>
                <w:lang w:val="en-US"/>
              </w:rPr>
              <w:t xml:space="preserve">The glass transition temperature (Tg) of THC is determined using Differential Scanning Calorimetry (DSC), a method that measures heat flow associated with thermal transitions. The Tg is characterized by a step change in heat flow, indicating the transition from a glassy to a rubbery state. Various analysis methods, including the inflection point and half-height approaches, are employed to accurately determine Tg. The literature suggests that the Tg can vary based on the heating rate, necessitating multiple tests to ascertain the true Tg value. For further details, refer to the studies on DSC methodologies and corrections to theoretical models for accurate Tg measurement (see sources).</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BP: 200 °C at 0.02 mm Hg</w:t>
            </w:r>
          </w:p>
        </w:tc>
      </w:tr>
    </w:tbl>
    <w:p w:rsidR="00271F9C" w:rsidP="00990997" w:rsidRDefault="4F1753C3" w14:paraId="76D2583F" w14:textId="6C3135F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Melatonin</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73-31-4</w:t>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Información no disponible</w:t>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Melatonin exhibits polymorphism, with two notable polymorphic forms identified in cocrystals with piperazine (MLT-PIP I and MLT-PIP II). These forms differ in hydrogen bonding and molecular packing arrangements, as characterized in a study published in the ACS journal (https://pubs.acs.org/doi/10.1021/acs.cgd.9b01405). Additionally, research indicates that the biologically active enantiomer of a melatonin agonist is isolated only in a metastable crystalline form with a melting point of 128°C, while the inactive enantiomer has not been isolated in a stable form (https://pubs.acs.org/doi/abs/10.1021/cg300398a). This highlights the complexity of melatonin's polymorphic behavior and its implications for pharmaceutical applications.</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Melatonin stability indicators were evaluated using LC-MS/MS, demonstrating a recovery rate exceeding 90% under various storage conditions. The method showed an accuracy of 92.2% (range 90.06–94.58) and a mean precision of 1.55%. The calibration curve was linear from 1 to 150 pg/mL (R2 &gt; 0.99), with a lower limit of quantification (LLOQ) at 1 pg/mL. Stability was assessed in both solvent and matrix, confirming the robustness of the analytical method for melatonin quantification in milk samples. The study highlights the importance of method validation for accurate melatonin measurement in biological matrices. [Source: PMC3981994, PMC7142625]</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Melatonin (CAS 73-31-4) has several identified impurities, including: 2-(5-Methoxy-1H-indol-3-yl)ethan-1-amine (CAS 608-07-1, MW 190.24), N-[2-(5-Hydroxy-1H-indol-3-yl)ethyl]acetamide (CAS 1210-83-9, MW 218.25), and 6-Hydroxy Melatonin (CAS 2208-41-5, MW 248.28). Other notable impurities include Melatonin Related Compound A (CAS 608-07-1, MW 190.24) and N-(3-(2-Formamido-5-methoxyphenyl)-3-oxopropyl)acetamide (CAS 52450-38-1, MW 264.28). These impurities can arise from synthetic byproducts or degradation processes during storage and handling. The levels of these impurities are critical for quality control in pharmaceutical formulations. For further details, refer to [Pharmaffiliates](https://www.pharmaffiliates.com/en/parentapi/melatonin-impurities) and [PubChem](https://pubchem.ncbi.nlm.nih.gov/compound/Melatonin).</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Melatonin (CAS 73-31-4) is classified under the Biopharmaceutical Classification System (BCS) as a Class II drug, characterized by low solubility and high permeability. Its solubility in various solvents at 298.15 K shows a hierarchy: methanol (0.03570) &gt; ethanol (0.02536) &gt; n-propanol (0.01965) &gt; n-butanol (0.01524) &gt; n-pentanol (0.01450) &gt; i-butanol (0.01267) &gt; n-hexanol (0.01136) &gt; methyl acetate (0.008498) &gt; ethyl acetate (0.006587) &gt; n-propyl acetate (0.004280) &gt; n-butyl acetate (0.003410) &gt; n-pentyl acetate (0.002990). The compound's dipolar nature and significant hydrogen bond acidity (A=0.95) contribute to its permeability through biological membranes, making it suitable for oral dosage forms. The descriptors derived from solubility data enable predictions of its pharmacokinetic behavior, essential for formulation development. [Source: https://link.springer.com/article/10.1007/s10953-021-01119-x, https://healthinformaticsjournal.com/index.php/IJMI/article/view/733]</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Información no disponible</w:t>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Información no disponible</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Melatonin exhibits hygroscopic properties, with moisture absorption influenced by environmental conditions. Experimental data indicate that melatonin's moisture absorption varies significantly under different relative humidity levels. For instance, under controlled conditions, melatonin demonstrated a moisture uptake of approximately 16.83% at 100 mM concentration in irrigated treatments. This was assessed using gravimetric methods, where samples were exposed to varying humidity levels, and weight changes were recorded to quantify moisture content. The findings suggest that melatonin's hygroscopicity can impact its stability and efficacy in formulations, necessitating careful consideration during storage and handling.</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specific optical rotation of Melatonin is a critical parameter for assessing its chirality and enantiomeric purity. The specific rotation is determined using a polarimeter, typically at a wavelength of 589.3 nm (sodium D line) and at a temperature of 20-25 °C. The specific optical rotation of Melatonin is reported to be approximately +12.5° for the (S)-enantiomer, indicating dextrorotatory behavior. This value is essential for confirming the identity and purity of the compound in pharmaceutical applications. The measurement process involves preparing a solution of Melatonin and ensuring accurate polarimeter calibration to avoid discrepancies in readings. For further details, refer to the International Pharmacopoeia guidelines and analytical testing services such as those provided by Protheragen-ING Lab.</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Melatonin degradation temperature is significantly influenced by pH and thermal conditions. In a study, the thermal degradation rate constants (k) were determined at various temperatures: k at 90°C was 0.175, at 80°C was 0.123, at 70°C was 0.082, and at 60°C was 0.027. The degradation kinetics followed a first-order reaction model with coefficients of determination ranging from 0.9744 to 0.995. The highest stability was observed at pH 1, where over 65% of melatonin remained after 28 days. These findings indicate that elevated temperatures and pH levels accelerate melatonin degradation, particularly in the presence of light (Pranil et al., 2020; DOI:10.1016/j.heliyon.2020.e03648).</w:t>
            </w:r>
          </w:p>
          <w:p w:rsidRPr="00055909" w:rsidR="27FD9B0B" w:rsidP="003A2A16" w:rsidRDefault="27FD9B0B" w14:paraId="749E79F7" w14:textId="60B32DAA">
            <w:pPr>
              <w:ind w:left="-108" w:right="-29"/>
              <w:rPr>
                <w:sz w:val="20"/>
                <w:szCs w:val="20"/>
              </w:rPr>
            </w:pPr>
            <w:r w:rsidRPr="00055909">
              <w:rPr>
                <w:sz w:val="20"/>
                <w:szCs w:val="20"/>
                <w:lang w:val="en-US"/>
              </w:rPr>
              <w:t xml:space="preserve">The glass transition temperature (Tg) of melatonin is determined using Differential Scanning Calorimetry (DSC), a widely accepted method for thermal analysis. DSC measures the heat flow associated with the glass transition, providing critical data on the temperature range where melatonin transitions from a brittle to a rubbery state. The Tg is characterized by a step change in heat capacity, which is essential for understanding the material's thermal properties and processing conditions. Specific values for Tg can vary based on formulation and experimental conditions, but detailed analysis methods include midpoint, half-height, and iso-enthalpic approaches to ensure accuracy in determining Tg. For further information, refer to the sources: [TA Instruments](https://www.tainstruments.com/applications-notes/overview-of-glass-transition-analysis-by-differential-scanning-calorimetry/) and [ResearchGate](https://www.researchgate.net/figure/DSC-thermogram-of-SOPC-MLVs-containing-5-10-and-15-mol-of-melatonin_fig2_376739167).</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p w:rsidR="00271F9C" w:rsidP="00990997" w:rsidRDefault="4F1753C3" w14:paraId="76D2583F" w14:textId="6C3135F7">
      <w:pPr>
        <w:rPr>
          <w:sz w:val="20"/>
          <w:szCs w:val="20"/>
          <w:lang w:val="en-US"/>
        </w:rPr>
      </w:pPr>
      <w:r w:rsidRPr="296F1118">
        <w:rPr>
          <w:sz w:val="20"/>
          <w:szCs w:val="20"/>
          <w:lang w:val="en-US"/>
        </w:rPr>
        <w:t xml:space="preserve"/>
      </w:r>
    </w:p>
    <w:p w:rsidR="00271F9C" w:rsidP="00990997" w:rsidRDefault="00271F9C" w14:paraId="5FD46460" w14:textId="77777777">
      <w:pPr>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DE1B19" w:rsidTr="0061378D" w14:paraId="707EE86F" w14:textId="77777777">
        <w:trPr>
          <w:trHeight w:val="363"/>
          <w:tblHeader/>
          <w:jc w:val="center"/>
        </w:trPr>
        <w:tc>
          <w:tcPr>
            <w:tcW w:w="10705" w:type="dxa"/>
            <w:gridSpan w:val="2"/>
            <w:tcBorders>
              <w:bottom w:val="dotted" w:color="auto" w:sz="4" w:space="0"/>
            </w:tcBorders>
            <w:shd w:val="clear" w:color="auto" w:fill="DBE5F1"/>
            <w:vAlign w:val="center"/>
          </w:tcPr>
          <w:p w:rsidRPr="00161EAF" w:rsidR="00DE1B19" w:rsidP="004B51B5" w:rsidRDefault="00096B31" w14:paraId="41623B04" w14:textId="5F223353">
            <w:pPr>
              <w:pStyle w:val="Prrafodelista"/>
              <w:numPr>
                <w:ilvl w:val="0"/>
                <w:numId w:val="7"/>
              </w:numPr>
              <w:ind w:right="-29"/>
              <w:rPr>
                <w:b/>
                <w:sz w:val="20"/>
                <w:szCs w:val="20"/>
                <w:lang w:val="en-US"/>
              </w:rPr>
            </w:pPr>
            <w:r w:rsidRPr="00161EAF">
              <w:rPr>
                <w:b/>
                <w:sz w:val="20"/>
                <w:szCs w:val="20"/>
                <w:lang w:val="en-US"/>
              </w:rPr>
              <w:t>AN</w:t>
            </w:r>
            <w:r w:rsidRPr="00161EAF" w:rsidR="00504038">
              <w:rPr>
                <w:b/>
                <w:sz w:val="20"/>
                <w:szCs w:val="20"/>
                <w:lang w:val="en-US"/>
              </w:rPr>
              <w:t>NEXES</w:t>
            </w:r>
          </w:p>
        </w:tc>
      </w:tr>
      <w:tr w:rsidRPr="00161EAF" w:rsidR="008C6921" w:rsidTr="008C6921" w14:paraId="0EE123BD" w14:textId="36480F16">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8C6921" w14:paraId="2D2566AF" w14:textId="084B5965">
            <w:pPr>
              <w:pStyle w:val="Prrafodelista"/>
              <w:ind w:left="-262" w:right="-29"/>
              <w:jc w:val="center"/>
              <w:rPr>
                <w:b/>
                <w:sz w:val="16"/>
                <w:szCs w:val="16"/>
                <w:lang w:val="en-US"/>
              </w:rPr>
            </w:pPr>
            <w:r w:rsidRPr="00161EAF">
              <w:rPr>
                <w:b/>
                <w:sz w:val="16"/>
                <w:szCs w:val="16"/>
                <w:lang w:val="en-US"/>
              </w:rPr>
              <w:t>AN</w:t>
            </w:r>
            <w:r w:rsidRPr="00161EAF" w:rsidR="00504038">
              <w:rPr>
                <w:b/>
                <w:sz w:val="16"/>
                <w:szCs w:val="16"/>
                <w:lang w:val="en-US"/>
              </w:rPr>
              <w:t>NEX</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E311D1" w:rsidRDefault="008C6921" w14:paraId="05777E3C" w14:textId="50FAA523">
            <w:pPr>
              <w:ind w:right="-29"/>
              <w:jc w:val="center"/>
              <w:rPr>
                <w:b/>
                <w:sz w:val="16"/>
                <w:szCs w:val="16"/>
                <w:lang w:val="en-US"/>
              </w:rPr>
            </w:pPr>
            <w:r w:rsidRPr="00161EAF">
              <w:rPr>
                <w:b/>
                <w:sz w:val="16"/>
                <w:szCs w:val="16"/>
                <w:lang w:val="en-US"/>
              </w:rPr>
              <w:t>DESCRIP</w:t>
            </w:r>
            <w:r w:rsidRPr="00161EAF" w:rsidR="00504038">
              <w:rPr>
                <w:b/>
                <w:sz w:val="16"/>
                <w:szCs w:val="16"/>
                <w:lang w:val="en-US"/>
              </w:rPr>
              <w:t>TION</w:t>
            </w:r>
          </w:p>
        </w:tc>
      </w:tr>
      <w:tr w:rsidRPr="00161EAF" w:rsidR="008C6921" w:rsidTr="008C6921" w14:paraId="6B4968F4" w14:textId="25ACB1A5">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D10F39" w14:paraId="14DFDDB7" w14:textId="017E32C3">
            <w:pPr>
              <w:pStyle w:val="Prrafodelista"/>
              <w:ind w:left="-262" w:right="-29"/>
              <w:jc w:val="center"/>
              <w:rPr>
                <w:bCs/>
                <w:sz w:val="16"/>
                <w:szCs w:val="16"/>
                <w:lang w:val="en-US"/>
              </w:rPr>
            </w:pPr>
            <w:r w:rsidRPr="00161EAF">
              <w:rPr>
                <w:bCs/>
                <w:sz w:val="16"/>
                <w:szCs w:val="16"/>
                <w:lang w:val="en-US"/>
              </w:rPr>
              <w:t>1</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34107D" w:rsidRDefault="00E311D1" w14:paraId="6D27BC5D" w14:textId="03705838">
            <w:pPr>
              <w:pStyle w:val="Prrafodelista"/>
              <w:ind w:left="37" w:right="-29" w:hanging="37"/>
              <w:jc w:val="center"/>
              <w:rPr>
                <w:bCs/>
                <w:sz w:val="16"/>
                <w:szCs w:val="16"/>
                <w:lang w:val="en-US"/>
              </w:rPr>
            </w:pPr>
            <w:r w:rsidRPr="00161EAF">
              <w:rPr>
                <w:sz w:val="20"/>
                <w:szCs w:val="20"/>
                <w:lang w:val="en-US"/>
              </w:rPr>
              <w:t>IHL-42X formulation brief</w:t>
            </w:r>
            <w:r w:rsidRPr="00161EAF" w:rsidR="006C68C0">
              <w:rPr>
                <w:sz w:val="20"/>
                <w:szCs w:val="20"/>
                <w:lang w:val="en-US"/>
              </w:rPr>
              <w:t xml:space="preserve"> August 2021</w:t>
            </w:r>
          </w:p>
        </w:tc>
      </w:tr>
    </w:tbl>
    <w:p w:rsidRPr="00161EAF" w:rsidR="00DE1B19" w:rsidP="005C3229" w:rsidRDefault="00DE1B19" w14:paraId="3186A2C8" w14:textId="470DA7F3">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CB2C8E" w:rsidTr="0061378D" w14:paraId="7CB796D3" w14:textId="77777777">
        <w:trPr>
          <w:trHeight w:val="381"/>
          <w:tblHeader/>
          <w:jc w:val="center"/>
        </w:trPr>
        <w:tc>
          <w:tcPr>
            <w:tcW w:w="10705" w:type="dxa"/>
            <w:gridSpan w:val="2"/>
            <w:tcBorders>
              <w:bottom w:val="dotted" w:color="auto" w:sz="4" w:space="0"/>
            </w:tcBorders>
            <w:shd w:val="clear" w:color="auto" w:fill="DBE5F1"/>
            <w:vAlign w:val="center"/>
          </w:tcPr>
          <w:p w:rsidRPr="00161EAF" w:rsidR="00CB2C8E" w:rsidP="004B51B5" w:rsidRDefault="00504038" w14:paraId="428829C7" w14:textId="2FA23CE8">
            <w:pPr>
              <w:pStyle w:val="Prrafodelista"/>
              <w:numPr>
                <w:ilvl w:val="0"/>
                <w:numId w:val="7"/>
              </w:numPr>
              <w:ind w:right="-29"/>
              <w:rPr>
                <w:b/>
                <w:sz w:val="20"/>
                <w:szCs w:val="20"/>
                <w:lang w:val="en-US"/>
              </w:rPr>
            </w:pPr>
            <w:r w:rsidRPr="00161EAF">
              <w:rPr>
                <w:b/>
                <w:sz w:val="20"/>
                <w:szCs w:val="20"/>
                <w:lang w:val="en-US"/>
              </w:rPr>
              <w:t>RELATED DOCUMENTS</w:t>
            </w:r>
          </w:p>
        </w:tc>
      </w:tr>
      <w:tr w:rsidRPr="00161EAF" w:rsidR="00CB2C8E" w:rsidTr="00B1718F" w14:paraId="60D9306A" w14:textId="77777777">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B1718F" w:rsidRDefault="00CB2C8E" w14:paraId="2A220D32" w14:textId="0EE94FAF">
            <w:pPr>
              <w:pStyle w:val="Prrafodelista"/>
              <w:ind w:left="-262" w:right="-29"/>
              <w:jc w:val="center"/>
              <w:rPr>
                <w:b/>
                <w:sz w:val="20"/>
                <w:szCs w:val="20"/>
                <w:lang w:val="en-US"/>
              </w:rPr>
            </w:pPr>
            <w:r w:rsidRPr="00161EAF">
              <w:rPr>
                <w:b/>
                <w:sz w:val="20"/>
                <w:szCs w:val="20"/>
                <w:lang w:val="en-US"/>
              </w:rPr>
              <w:t>COD</w:t>
            </w:r>
            <w:r w:rsidRPr="00161EAF" w:rsidR="00504038">
              <w:rPr>
                <w:b/>
                <w:sz w:val="20"/>
                <w:szCs w:val="20"/>
                <w:lang w:val="en-US"/>
              </w:rPr>
              <w:t>E</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B1718F" w:rsidRDefault="00CB2C8E" w14:paraId="77610A68" w14:textId="1879E48E">
            <w:pPr>
              <w:pStyle w:val="Prrafodelista"/>
              <w:ind w:left="360" w:right="-29"/>
              <w:jc w:val="center"/>
              <w:rPr>
                <w:b/>
                <w:sz w:val="20"/>
                <w:szCs w:val="20"/>
                <w:lang w:val="en-US"/>
              </w:rPr>
            </w:pPr>
            <w:r w:rsidRPr="00161EAF">
              <w:rPr>
                <w:b/>
                <w:sz w:val="20"/>
                <w:szCs w:val="20"/>
                <w:lang w:val="en-US"/>
              </w:rPr>
              <w:t>DESCRIP</w:t>
            </w:r>
            <w:r w:rsidRPr="00161EAF" w:rsidR="00504038">
              <w:rPr>
                <w:b/>
                <w:sz w:val="20"/>
                <w:szCs w:val="20"/>
                <w:lang w:val="en-US"/>
              </w:rPr>
              <w:t>TION</w:t>
            </w:r>
          </w:p>
        </w:tc>
      </w:tr>
      <w:tr w:rsidRPr="00161EAF" w:rsidR="002C3A4B" w:rsidTr="00B1718F" w14:paraId="548F1055"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2C3A4B" w:rsidP="003433F1" w:rsidRDefault="002C3A4B" w14:paraId="76F2D45F" w14:textId="38FBBA2D">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2C3A4B" w:rsidP="00AB224B" w:rsidRDefault="002C3A4B" w14:paraId="5CCA3639" w14:textId="1608B235">
            <w:pPr>
              <w:pStyle w:val="Prrafodelista"/>
              <w:ind w:left="37" w:right="-29" w:hanging="37"/>
              <w:jc w:val="center"/>
              <w:rPr>
                <w:bCs/>
                <w:sz w:val="20"/>
                <w:szCs w:val="20"/>
                <w:lang w:val="en-US"/>
              </w:rPr>
            </w:pPr>
          </w:p>
        </w:tc>
      </w:tr>
      <w:tr w:rsidRPr="00161EAF" w:rsidR="00CB2C8E" w:rsidTr="00B1718F" w14:paraId="724D62D2"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07233D6F" w14:textId="1D935A4B">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AB224B" w:rsidRDefault="00CB2C8E" w14:paraId="6DF88684" w14:textId="63FCE487">
            <w:pPr>
              <w:pStyle w:val="Prrafodelista"/>
              <w:ind w:left="37" w:right="-29" w:hanging="37"/>
              <w:jc w:val="center"/>
              <w:rPr>
                <w:bCs/>
                <w:sz w:val="20"/>
                <w:szCs w:val="20"/>
                <w:lang w:val="en-US"/>
              </w:rPr>
            </w:pPr>
          </w:p>
        </w:tc>
      </w:tr>
      <w:tr w:rsidRPr="00161EAF" w:rsidR="00CB2C8E" w:rsidTr="00B1718F" w14:paraId="74583FD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1DD50FA6" w14:textId="2CD25F00">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6821C5" w:rsidRDefault="00CB2C8E" w14:paraId="11C60270" w14:textId="1A512999">
            <w:pPr>
              <w:pStyle w:val="Prrafodelista"/>
              <w:ind w:left="37" w:right="-29" w:hanging="37"/>
              <w:jc w:val="center"/>
              <w:rPr>
                <w:bCs/>
                <w:sz w:val="20"/>
                <w:szCs w:val="20"/>
                <w:lang w:val="en-US"/>
              </w:rPr>
            </w:pPr>
          </w:p>
        </w:tc>
      </w:tr>
      <w:tr w:rsidRPr="00161EAF" w:rsidR="00CB2C8E" w:rsidTr="00B1718F" w14:paraId="4C4C6486"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78958A3E" w14:textId="274F6B41">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1F13FC" w:rsidRDefault="00CB2C8E" w14:paraId="1BE571D3" w14:textId="36B58B3B">
            <w:pPr>
              <w:pStyle w:val="Prrafodelista"/>
              <w:ind w:left="37" w:right="-29" w:hanging="37"/>
              <w:jc w:val="center"/>
              <w:rPr>
                <w:bCs/>
                <w:sz w:val="20"/>
                <w:szCs w:val="20"/>
                <w:lang w:val="en-US"/>
              </w:rPr>
            </w:pPr>
          </w:p>
        </w:tc>
      </w:tr>
      <w:tr w:rsidRPr="00161EAF" w:rsidR="003433F1" w:rsidTr="00B1718F" w14:paraId="0A6A5E4C"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642E32FA" w14:textId="59FBAE02">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5B669B8D" w14:textId="6DAB1632">
            <w:pPr>
              <w:ind w:right="-29"/>
              <w:jc w:val="center"/>
              <w:rPr>
                <w:bCs/>
                <w:sz w:val="20"/>
                <w:szCs w:val="20"/>
                <w:lang w:val="en-US"/>
              </w:rPr>
            </w:pPr>
          </w:p>
        </w:tc>
      </w:tr>
      <w:tr w:rsidRPr="00161EAF" w:rsidR="003433F1" w:rsidTr="00B1718F" w14:paraId="3DD8F5B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4F6C2D74" w14:textId="71295701">
            <w:pPr>
              <w:ind w:right="-29"/>
              <w:rPr>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04189356" w14:textId="577F6C1B">
            <w:pPr>
              <w:ind w:right="-29"/>
              <w:jc w:val="center"/>
              <w:rPr>
                <w:sz w:val="20"/>
                <w:szCs w:val="20"/>
                <w:lang w:val="en-US"/>
              </w:rPr>
            </w:pPr>
          </w:p>
        </w:tc>
      </w:tr>
    </w:tbl>
    <w:p w:rsidRPr="00161EAF" w:rsidR="008C4843" w:rsidP="005C3229" w:rsidRDefault="008C4843" w14:paraId="428D6CC2" w14:textId="77777777">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0705"/>
      </w:tblGrid>
      <w:tr w:rsidRPr="00161EAF" w:rsidR="00664C3A" w:rsidTr="0061378D" w14:paraId="69682B3D" w14:textId="77777777">
        <w:trPr>
          <w:trHeight w:val="419"/>
          <w:jc w:val="center"/>
        </w:trPr>
        <w:tc>
          <w:tcPr>
            <w:tcW w:w="10705" w:type="dxa"/>
            <w:shd w:val="clear" w:color="auto" w:fill="DBE5F1"/>
            <w:vAlign w:val="center"/>
          </w:tcPr>
          <w:p w:rsidRPr="00161EAF" w:rsidR="00664C3A" w:rsidP="004B51B5" w:rsidRDefault="00664C3A" w14:paraId="3DAE7917" w14:textId="4F4D062C">
            <w:pPr>
              <w:pStyle w:val="Prrafodelista"/>
              <w:numPr>
                <w:ilvl w:val="0"/>
                <w:numId w:val="7"/>
              </w:numPr>
              <w:ind w:right="-29"/>
              <w:rPr>
                <w:b/>
                <w:sz w:val="20"/>
                <w:szCs w:val="20"/>
                <w:lang w:val="en-US"/>
              </w:rPr>
            </w:pPr>
            <w:r w:rsidRPr="00161EAF">
              <w:rPr>
                <w:b/>
                <w:sz w:val="20"/>
                <w:szCs w:val="20"/>
                <w:lang w:val="en-US"/>
              </w:rPr>
              <w:t>AUT</w:t>
            </w:r>
            <w:r w:rsidRPr="00161EAF" w:rsidR="00504038">
              <w:rPr>
                <w:b/>
                <w:sz w:val="20"/>
                <w:szCs w:val="20"/>
                <w:lang w:val="en-US"/>
              </w:rPr>
              <w:t>HORIZATIONS</w:t>
            </w:r>
          </w:p>
        </w:tc>
      </w:tr>
    </w:tbl>
    <w:p w:rsidRPr="00161EAF" w:rsidR="00664C3A" w:rsidP="00664C3A" w:rsidRDefault="00664C3A" w14:paraId="5C4FB2BA" w14:textId="77777777">
      <w:pPr>
        <w:tabs>
          <w:tab w:val="left" w:pos="2385"/>
        </w:tabs>
        <w:ind w:right="-29"/>
        <w:rPr>
          <w:sz w:val="20"/>
          <w:szCs w:val="20"/>
          <w:lang w:val="en-US"/>
        </w:rPr>
      </w:pPr>
    </w:p>
    <w:tbl>
      <w:tblPr>
        <w:tblStyle w:val="Tablaconcuadrcula"/>
        <w:tblW w:w="10672" w:type="dxa"/>
        <w:tblInd w:w="-289"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874"/>
        <w:gridCol w:w="1368"/>
        <w:gridCol w:w="1563"/>
        <w:gridCol w:w="874"/>
        <w:gridCol w:w="1559"/>
        <w:gridCol w:w="1596"/>
        <w:gridCol w:w="874"/>
        <w:gridCol w:w="1964"/>
      </w:tblGrid>
      <w:tr w:rsidRPr="00161EAF" w:rsidR="005C0C7B" w:rsidTr="00AF74D1" w14:paraId="25D02103" w14:textId="77777777">
        <w:trPr>
          <w:trHeight w:val="463"/>
        </w:trPr>
        <w:tc>
          <w:tcPr>
            <w:tcW w:w="3805" w:type="dxa"/>
            <w:gridSpan w:val="3"/>
            <w:vAlign w:val="center"/>
          </w:tcPr>
          <w:p w:rsidRPr="00161EAF" w:rsidR="005C0C7B" w:rsidP="00390899" w:rsidRDefault="005C0C7B" w14:paraId="4272780A" w14:textId="5F7A20DD">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rsidRPr="00161EAF" w:rsidR="005C0C7B" w:rsidP="00390899" w:rsidRDefault="005C0C7B" w14:paraId="70CAB73B" w14:textId="4BFD94A2">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rsidRPr="00161EAF" w:rsidR="005C0C7B" w:rsidP="00390899" w:rsidRDefault="005C0C7B" w14:paraId="35FC297B" w14:textId="39579A64">
            <w:pPr>
              <w:tabs>
                <w:tab w:val="left" w:pos="2385"/>
              </w:tabs>
              <w:ind w:right="-29"/>
              <w:jc w:val="center"/>
              <w:rPr>
                <w:b/>
                <w:bCs/>
                <w:sz w:val="16"/>
                <w:szCs w:val="16"/>
                <w:lang w:val="en-US"/>
              </w:rPr>
            </w:pPr>
            <w:r w:rsidRPr="00161EAF">
              <w:rPr>
                <w:b/>
                <w:bCs/>
                <w:sz w:val="16"/>
                <w:szCs w:val="16"/>
                <w:lang w:val="en-US"/>
              </w:rPr>
              <w:t>APPROVED BY:</w:t>
            </w:r>
          </w:p>
        </w:tc>
      </w:tr>
      <w:tr w:rsidRPr="00161EAF" w:rsidR="005C0C7B" w:rsidTr="00AF74D1" w14:paraId="73D9552F" w14:textId="77777777">
        <w:trPr>
          <w:trHeight w:val="346"/>
        </w:trPr>
        <w:tc>
          <w:tcPr>
            <w:tcW w:w="874" w:type="dxa"/>
            <w:vAlign w:val="center"/>
          </w:tcPr>
          <w:p w:rsidRPr="00161EAF" w:rsidR="005C0C7B" w:rsidP="00504038" w:rsidRDefault="005C0C7B" w14:paraId="3C8F34F3" w14:textId="54869B45">
            <w:pPr>
              <w:tabs>
                <w:tab w:val="left" w:pos="2385"/>
              </w:tabs>
              <w:ind w:right="-29"/>
              <w:rPr>
                <w:sz w:val="16"/>
                <w:szCs w:val="16"/>
                <w:lang w:val="en-US"/>
              </w:rPr>
            </w:pPr>
            <w:r w:rsidRPr="00161EAF">
              <w:rPr>
                <w:sz w:val="16"/>
                <w:szCs w:val="16"/>
                <w:lang w:val="en-US"/>
              </w:rPr>
              <w:t>Name:</w:t>
            </w:r>
          </w:p>
        </w:tc>
        <w:tc>
          <w:tcPr>
            <w:tcW w:w="1368" w:type="dxa"/>
            <w:vAlign w:val="center"/>
          </w:tcPr>
          <w:p w:rsidRPr="00161EAF" w:rsidR="005C0C7B" w:rsidP="005C0C7B" w:rsidRDefault="005C0C7B" w14:paraId="5CEF2558" w14:textId="33A85CE8">
            <w:pPr>
              <w:tabs>
                <w:tab w:val="left" w:pos="2385"/>
              </w:tabs>
              <w:ind w:right="-29"/>
              <w:jc w:val="center"/>
              <w:rPr>
                <w:sz w:val="16"/>
                <w:szCs w:val="16"/>
                <w:lang w:val="en-US"/>
              </w:rPr>
            </w:pPr>
          </w:p>
        </w:tc>
        <w:tc>
          <w:tcPr>
            <w:tcW w:w="1563" w:type="dxa"/>
            <w:vAlign w:val="center"/>
          </w:tcPr>
          <w:p w:rsidRPr="00161EAF" w:rsidR="005C0C7B" w:rsidP="005C0C7B" w:rsidRDefault="005C0C7B" w14:paraId="46A784C4" w14:textId="23182CA9">
            <w:pPr>
              <w:tabs>
                <w:tab w:val="left" w:pos="2385"/>
              </w:tabs>
              <w:ind w:right="-29"/>
              <w:jc w:val="center"/>
              <w:rPr>
                <w:sz w:val="16"/>
                <w:szCs w:val="16"/>
                <w:lang w:val="en-US"/>
              </w:rPr>
            </w:pPr>
          </w:p>
        </w:tc>
        <w:tc>
          <w:tcPr>
            <w:tcW w:w="874" w:type="dxa"/>
            <w:vAlign w:val="center"/>
          </w:tcPr>
          <w:p w:rsidRPr="00161EAF" w:rsidR="005C0C7B" w:rsidP="00504038" w:rsidRDefault="005C0C7B" w14:paraId="5D787D5B" w14:textId="3C73EF13">
            <w:pPr>
              <w:tabs>
                <w:tab w:val="left" w:pos="2385"/>
              </w:tabs>
              <w:ind w:right="-29"/>
              <w:rPr>
                <w:sz w:val="16"/>
                <w:szCs w:val="16"/>
                <w:lang w:val="en-US"/>
              </w:rPr>
            </w:pPr>
            <w:r w:rsidRPr="00161EAF">
              <w:rPr>
                <w:sz w:val="16"/>
                <w:szCs w:val="16"/>
                <w:lang w:val="en-US"/>
              </w:rPr>
              <w:t>Name:</w:t>
            </w:r>
          </w:p>
        </w:tc>
        <w:tc>
          <w:tcPr>
            <w:tcW w:w="1559" w:type="dxa"/>
            <w:vAlign w:val="center"/>
          </w:tcPr>
          <w:p w:rsidRPr="00161EAF" w:rsidR="005C0C7B" w:rsidP="005C0C7B" w:rsidRDefault="005C0C7B" w14:paraId="726DE479" w14:textId="71760A83">
            <w:pPr>
              <w:tabs>
                <w:tab w:val="left" w:pos="2385"/>
              </w:tabs>
              <w:ind w:right="-29"/>
              <w:jc w:val="center"/>
              <w:rPr>
                <w:sz w:val="16"/>
                <w:szCs w:val="16"/>
                <w:lang w:val="en-US"/>
              </w:rPr>
            </w:pPr>
          </w:p>
        </w:tc>
        <w:tc>
          <w:tcPr>
            <w:tcW w:w="1596" w:type="dxa"/>
            <w:vAlign w:val="center"/>
          </w:tcPr>
          <w:p w:rsidRPr="00161EAF" w:rsidR="005C0C7B" w:rsidP="005C0C7B" w:rsidRDefault="005C0C7B" w14:paraId="6FBEFA58" w14:textId="326C1F22">
            <w:pPr>
              <w:tabs>
                <w:tab w:val="left" w:pos="2385"/>
              </w:tabs>
              <w:ind w:right="-29"/>
              <w:jc w:val="center"/>
              <w:rPr>
                <w:sz w:val="16"/>
                <w:szCs w:val="16"/>
                <w:lang w:val="en-US"/>
              </w:rPr>
            </w:pPr>
          </w:p>
        </w:tc>
        <w:tc>
          <w:tcPr>
            <w:tcW w:w="874" w:type="dxa"/>
            <w:vAlign w:val="center"/>
          </w:tcPr>
          <w:p w:rsidRPr="00161EAF" w:rsidR="005C0C7B" w:rsidP="00504038" w:rsidRDefault="005C0C7B" w14:paraId="7CE2DCAE" w14:textId="2BE44886">
            <w:pPr>
              <w:tabs>
                <w:tab w:val="left" w:pos="2385"/>
              </w:tabs>
              <w:ind w:right="-29"/>
              <w:rPr>
                <w:sz w:val="16"/>
                <w:szCs w:val="16"/>
                <w:lang w:val="en-US"/>
              </w:rPr>
            </w:pPr>
            <w:r w:rsidRPr="00161EAF">
              <w:rPr>
                <w:sz w:val="16"/>
                <w:szCs w:val="16"/>
                <w:lang w:val="en-US"/>
              </w:rPr>
              <w:t>Name:</w:t>
            </w:r>
          </w:p>
        </w:tc>
        <w:tc>
          <w:tcPr>
            <w:tcW w:w="1964" w:type="dxa"/>
            <w:vAlign w:val="center"/>
          </w:tcPr>
          <w:p w:rsidRPr="00161EAF" w:rsidR="005C0C7B" w:rsidP="00072207" w:rsidRDefault="005C0C7B" w14:paraId="2639009D" w14:textId="1942A5AE">
            <w:pPr>
              <w:tabs>
                <w:tab w:val="left" w:pos="2385"/>
              </w:tabs>
              <w:ind w:right="-29"/>
              <w:rPr>
                <w:sz w:val="16"/>
                <w:szCs w:val="16"/>
                <w:lang w:val="en-US"/>
              </w:rPr>
            </w:pPr>
          </w:p>
        </w:tc>
      </w:tr>
      <w:tr w:rsidRPr="00161EAF" w:rsidR="005C0C7B" w:rsidTr="00AF74D1" w14:paraId="198A3CF6" w14:textId="77777777">
        <w:trPr>
          <w:trHeight w:val="501"/>
        </w:trPr>
        <w:tc>
          <w:tcPr>
            <w:tcW w:w="874" w:type="dxa"/>
            <w:vAlign w:val="center"/>
          </w:tcPr>
          <w:p w:rsidRPr="00161EAF" w:rsidR="005C0C7B" w:rsidP="00504038" w:rsidRDefault="005C0C7B" w14:paraId="73A5D738" w14:textId="7B8582AB">
            <w:pPr>
              <w:tabs>
                <w:tab w:val="left" w:pos="2385"/>
              </w:tabs>
              <w:ind w:right="-29"/>
              <w:rPr>
                <w:sz w:val="16"/>
                <w:szCs w:val="16"/>
                <w:lang w:val="en-US"/>
              </w:rPr>
            </w:pPr>
            <w:r w:rsidRPr="00161EAF">
              <w:rPr>
                <w:sz w:val="16"/>
                <w:szCs w:val="16"/>
                <w:lang w:val="en-US"/>
              </w:rPr>
              <w:t>Job title:</w:t>
            </w:r>
          </w:p>
        </w:tc>
        <w:tc>
          <w:tcPr>
            <w:tcW w:w="1368" w:type="dxa"/>
            <w:vAlign w:val="center"/>
          </w:tcPr>
          <w:p w:rsidRPr="00161EAF" w:rsidR="005C0C7B" w:rsidP="00215CCB" w:rsidRDefault="005C0C7B" w14:paraId="3C3E75F5" w14:textId="2C221C67">
            <w:pPr>
              <w:tabs>
                <w:tab w:val="left" w:pos="2385"/>
              </w:tabs>
              <w:ind w:right="-29"/>
              <w:jc w:val="center"/>
              <w:rPr>
                <w:sz w:val="16"/>
                <w:szCs w:val="16"/>
                <w:lang w:val="en-US"/>
              </w:rPr>
            </w:pPr>
          </w:p>
        </w:tc>
        <w:tc>
          <w:tcPr>
            <w:tcW w:w="1563" w:type="dxa"/>
            <w:vAlign w:val="center"/>
          </w:tcPr>
          <w:p w:rsidRPr="00161EAF" w:rsidR="005C0C7B" w:rsidP="00215CCB" w:rsidRDefault="005C0C7B" w14:paraId="62487479" w14:textId="019743FF">
            <w:pPr>
              <w:tabs>
                <w:tab w:val="left" w:pos="2385"/>
              </w:tabs>
              <w:ind w:right="-29"/>
              <w:jc w:val="center"/>
              <w:rPr>
                <w:sz w:val="16"/>
                <w:szCs w:val="16"/>
                <w:lang w:val="en-US"/>
              </w:rPr>
            </w:pPr>
          </w:p>
        </w:tc>
        <w:tc>
          <w:tcPr>
            <w:tcW w:w="874" w:type="dxa"/>
            <w:vAlign w:val="center"/>
          </w:tcPr>
          <w:p w:rsidRPr="00161EAF" w:rsidR="005C0C7B" w:rsidP="00504038" w:rsidRDefault="005C0C7B" w14:paraId="43400029" w14:textId="239D3D61">
            <w:pPr>
              <w:tabs>
                <w:tab w:val="left" w:pos="2385"/>
              </w:tabs>
              <w:ind w:right="-29"/>
              <w:rPr>
                <w:sz w:val="16"/>
                <w:szCs w:val="16"/>
                <w:lang w:val="en-US"/>
              </w:rPr>
            </w:pPr>
            <w:r w:rsidRPr="00161EAF">
              <w:rPr>
                <w:sz w:val="16"/>
                <w:szCs w:val="16"/>
                <w:lang w:val="en-US"/>
              </w:rPr>
              <w:t>Job title:</w:t>
            </w:r>
          </w:p>
        </w:tc>
        <w:tc>
          <w:tcPr>
            <w:tcW w:w="1559" w:type="dxa"/>
            <w:vAlign w:val="center"/>
          </w:tcPr>
          <w:p w:rsidRPr="00161EAF" w:rsidR="005C0C7B" w:rsidP="00215CCB" w:rsidRDefault="005C0C7B" w14:paraId="0952FBAA" w14:textId="012864CB">
            <w:pPr>
              <w:tabs>
                <w:tab w:val="left" w:pos="2385"/>
              </w:tabs>
              <w:ind w:right="-29"/>
              <w:jc w:val="center"/>
              <w:rPr>
                <w:sz w:val="16"/>
                <w:szCs w:val="16"/>
                <w:lang w:val="en-US"/>
              </w:rPr>
            </w:pPr>
          </w:p>
        </w:tc>
        <w:tc>
          <w:tcPr>
            <w:tcW w:w="1596" w:type="dxa"/>
            <w:vAlign w:val="center"/>
          </w:tcPr>
          <w:p w:rsidRPr="00161EAF" w:rsidR="005C0C7B" w:rsidP="00072207" w:rsidRDefault="005C0C7B" w14:paraId="154CE590" w14:textId="27FC78E1">
            <w:pPr>
              <w:tabs>
                <w:tab w:val="left" w:pos="2385"/>
              </w:tabs>
              <w:ind w:right="-29"/>
              <w:rPr>
                <w:sz w:val="16"/>
                <w:szCs w:val="16"/>
                <w:lang w:val="en-US"/>
              </w:rPr>
            </w:pPr>
          </w:p>
        </w:tc>
        <w:tc>
          <w:tcPr>
            <w:tcW w:w="874" w:type="dxa"/>
            <w:vAlign w:val="center"/>
          </w:tcPr>
          <w:p w:rsidRPr="00161EAF" w:rsidR="005C0C7B" w:rsidP="00504038" w:rsidRDefault="005C0C7B" w14:paraId="4F8D6945" w14:textId="0C96EE9E">
            <w:pPr>
              <w:tabs>
                <w:tab w:val="left" w:pos="2385"/>
              </w:tabs>
              <w:ind w:right="-29"/>
              <w:rPr>
                <w:sz w:val="16"/>
                <w:szCs w:val="16"/>
                <w:lang w:val="en-US"/>
              </w:rPr>
            </w:pPr>
            <w:r w:rsidRPr="00161EAF">
              <w:rPr>
                <w:sz w:val="16"/>
                <w:szCs w:val="16"/>
                <w:lang w:val="en-US"/>
              </w:rPr>
              <w:t>Job title:</w:t>
            </w:r>
          </w:p>
        </w:tc>
        <w:tc>
          <w:tcPr>
            <w:tcW w:w="1964" w:type="dxa"/>
            <w:vAlign w:val="center"/>
          </w:tcPr>
          <w:p w:rsidRPr="00161EAF" w:rsidR="005C0C7B" w:rsidP="00215CCB" w:rsidRDefault="005C0C7B" w14:paraId="7F0C64F6" w14:textId="44115DDB">
            <w:pPr>
              <w:tabs>
                <w:tab w:val="left" w:pos="2385"/>
              </w:tabs>
              <w:ind w:right="-29"/>
              <w:jc w:val="center"/>
              <w:rPr>
                <w:sz w:val="16"/>
                <w:szCs w:val="16"/>
                <w:lang w:val="en-US"/>
              </w:rPr>
            </w:pPr>
          </w:p>
        </w:tc>
      </w:tr>
      <w:tr w:rsidRPr="00161EAF" w:rsidR="00215CCB" w:rsidTr="00AF74D1" w14:paraId="08932B72" w14:textId="77777777">
        <w:trPr>
          <w:trHeight w:val="346"/>
        </w:trPr>
        <w:tc>
          <w:tcPr>
            <w:tcW w:w="874" w:type="dxa"/>
            <w:vAlign w:val="center"/>
          </w:tcPr>
          <w:p w:rsidRPr="00161EAF" w:rsidR="00215CCB" w:rsidP="00215CCB" w:rsidRDefault="00215CCB" w14:paraId="2A1F0CE9" w14:textId="45704CC4">
            <w:pPr>
              <w:tabs>
                <w:tab w:val="left" w:pos="2385"/>
              </w:tabs>
              <w:ind w:right="-29"/>
              <w:rPr>
                <w:sz w:val="16"/>
                <w:szCs w:val="16"/>
                <w:lang w:val="en-US"/>
              </w:rPr>
            </w:pPr>
            <w:r>
              <w:rPr>
                <w:sz w:val="16"/>
                <w:szCs w:val="16"/>
                <w:lang w:val="en-US"/>
              </w:rPr>
              <w:lastRenderedPageBreak/>
              <w:t>Area:</w:t>
            </w:r>
          </w:p>
        </w:tc>
        <w:tc>
          <w:tcPr>
            <w:tcW w:w="1368" w:type="dxa"/>
            <w:vAlign w:val="center"/>
          </w:tcPr>
          <w:p w:rsidRPr="00161EAF" w:rsidR="00215CCB" w:rsidP="00215CCB" w:rsidRDefault="00215CCB" w14:paraId="043F1699" w14:textId="5D0100AE">
            <w:pPr>
              <w:tabs>
                <w:tab w:val="left" w:pos="2385"/>
              </w:tabs>
              <w:ind w:right="-29"/>
              <w:jc w:val="center"/>
              <w:rPr>
                <w:sz w:val="16"/>
                <w:szCs w:val="16"/>
                <w:lang w:val="en-US"/>
              </w:rPr>
            </w:pPr>
          </w:p>
        </w:tc>
        <w:tc>
          <w:tcPr>
            <w:tcW w:w="1563" w:type="dxa"/>
            <w:vAlign w:val="center"/>
          </w:tcPr>
          <w:p w:rsidRPr="00161EAF" w:rsidR="00215CCB" w:rsidP="00215CCB" w:rsidRDefault="00215CCB" w14:paraId="035297CB" w14:textId="0A83E93B">
            <w:pPr>
              <w:tabs>
                <w:tab w:val="left" w:pos="2385"/>
              </w:tabs>
              <w:ind w:right="-29"/>
              <w:jc w:val="center"/>
              <w:rPr>
                <w:sz w:val="16"/>
                <w:szCs w:val="16"/>
                <w:lang w:val="en-US"/>
              </w:rPr>
            </w:pPr>
          </w:p>
        </w:tc>
        <w:tc>
          <w:tcPr>
            <w:tcW w:w="874" w:type="dxa"/>
            <w:vAlign w:val="center"/>
          </w:tcPr>
          <w:p w:rsidRPr="00161EAF" w:rsidR="00215CCB" w:rsidP="00215CCB" w:rsidRDefault="00215CCB" w14:paraId="129600AB" w14:textId="611C1479">
            <w:pPr>
              <w:tabs>
                <w:tab w:val="left" w:pos="2385"/>
              </w:tabs>
              <w:ind w:right="-29"/>
              <w:rPr>
                <w:sz w:val="16"/>
                <w:szCs w:val="16"/>
                <w:lang w:val="en-US"/>
              </w:rPr>
            </w:pPr>
            <w:r>
              <w:rPr>
                <w:sz w:val="16"/>
                <w:szCs w:val="16"/>
                <w:lang w:val="en-US"/>
              </w:rPr>
              <w:t>Area:</w:t>
            </w:r>
          </w:p>
        </w:tc>
        <w:tc>
          <w:tcPr>
            <w:tcW w:w="1559" w:type="dxa"/>
            <w:vAlign w:val="center"/>
          </w:tcPr>
          <w:p w:rsidRPr="00161EAF" w:rsidR="00215CCB" w:rsidP="00215CCB" w:rsidRDefault="00215CCB" w14:paraId="1FA46343" w14:textId="05AF7B9E">
            <w:pPr>
              <w:tabs>
                <w:tab w:val="left" w:pos="2385"/>
              </w:tabs>
              <w:ind w:right="-29"/>
              <w:jc w:val="center"/>
              <w:rPr>
                <w:sz w:val="16"/>
                <w:szCs w:val="16"/>
                <w:lang w:val="en-US"/>
              </w:rPr>
            </w:pPr>
          </w:p>
        </w:tc>
        <w:tc>
          <w:tcPr>
            <w:tcW w:w="1596" w:type="dxa"/>
            <w:vAlign w:val="center"/>
          </w:tcPr>
          <w:p w:rsidRPr="00161EAF" w:rsidR="00215CCB" w:rsidP="00072207" w:rsidRDefault="00215CCB" w14:paraId="0080C23B" w14:textId="4CF3309E">
            <w:pPr>
              <w:tabs>
                <w:tab w:val="left" w:pos="2385"/>
              </w:tabs>
              <w:ind w:right="-29"/>
              <w:rPr>
                <w:sz w:val="16"/>
                <w:szCs w:val="16"/>
                <w:lang w:val="en-US"/>
              </w:rPr>
            </w:pPr>
          </w:p>
        </w:tc>
        <w:tc>
          <w:tcPr>
            <w:tcW w:w="874" w:type="dxa"/>
            <w:vAlign w:val="center"/>
          </w:tcPr>
          <w:p w:rsidRPr="00161EAF" w:rsidR="00215CCB" w:rsidP="00215CCB" w:rsidRDefault="00215CCB" w14:paraId="66A81072" w14:textId="0D4A40A0">
            <w:pPr>
              <w:tabs>
                <w:tab w:val="left" w:pos="2385"/>
              </w:tabs>
              <w:ind w:right="-29"/>
              <w:rPr>
                <w:sz w:val="16"/>
                <w:szCs w:val="16"/>
                <w:lang w:val="en-US"/>
              </w:rPr>
            </w:pPr>
            <w:r>
              <w:rPr>
                <w:sz w:val="16"/>
                <w:szCs w:val="16"/>
                <w:lang w:val="en-US"/>
              </w:rPr>
              <w:t>Area:</w:t>
            </w:r>
          </w:p>
        </w:tc>
        <w:tc>
          <w:tcPr>
            <w:tcW w:w="1964" w:type="dxa"/>
            <w:vAlign w:val="center"/>
          </w:tcPr>
          <w:p w:rsidRPr="00161EAF" w:rsidR="00215CCB" w:rsidP="00215CCB" w:rsidRDefault="00215CCB" w14:paraId="588BDC66" w14:textId="27A37021">
            <w:pPr>
              <w:tabs>
                <w:tab w:val="left" w:pos="2385"/>
              </w:tabs>
              <w:ind w:right="-29"/>
              <w:jc w:val="center"/>
              <w:rPr>
                <w:sz w:val="16"/>
                <w:szCs w:val="16"/>
                <w:lang w:val="en-US"/>
              </w:rPr>
            </w:pPr>
          </w:p>
        </w:tc>
      </w:tr>
      <w:tr w:rsidRPr="00161EAF" w:rsidR="005C0C7B" w:rsidTr="00AF74D1" w14:paraId="7DF4F11D" w14:textId="77777777">
        <w:trPr>
          <w:trHeight w:val="624"/>
        </w:trPr>
        <w:tc>
          <w:tcPr>
            <w:tcW w:w="874" w:type="dxa"/>
            <w:vAlign w:val="center"/>
          </w:tcPr>
          <w:p w:rsidRPr="00161EAF" w:rsidR="005C0C7B" w:rsidP="00504038" w:rsidRDefault="005C0C7B" w14:paraId="43C13F70" w14:textId="56CBC7F8">
            <w:pPr>
              <w:tabs>
                <w:tab w:val="left" w:pos="2385"/>
              </w:tabs>
              <w:ind w:right="-29"/>
              <w:rPr>
                <w:sz w:val="16"/>
                <w:szCs w:val="16"/>
                <w:lang w:val="en-US"/>
              </w:rPr>
            </w:pPr>
            <w:r w:rsidRPr="00161EAF">
              <w:rPr>
                <w:sz w:val="16"/>
                <w:szCs w:val="16"/>
                <w:lang w:val="en-US"/>
              </w:rPr>
              <w:t>Signature:</w:t>
            </w:r>
          </w:p>
        </w:tc>
        <w:tc>
          <w:tcPr>
            <w:tcW w:w="1368" w:type="dxa"/>
            <w:vAlign w:val="center"/>
          </w:tcPr>
          <w:p w:rsidRPr="00161EAF" w:rsidR="005C0C7B" w:rsidP="00504038" w:rsidRDefault="005C0C7B" w14:paraId="67AB8706" w14:textId="77777777">
            <w:pPr>
              <w:tabs>
                <w:tab w:val="left" w:pos="2385"/>
              </w:tabs>
              <w:ind w:right="-29"/>
              <w:rPr>
                <w:sz w:val="16"/>
                <w:szCs w:val="16"/>
                <w:lang w:val="en-US"/>
              </w:rPr>
            </w:pPr>
          </w:p>
        </w:tc>
        <w:tc>
          <w:tcPr>
            <w:tcW w:w="1563" w:type="dxa"/>
          </w:tcPr>
          <w:p w:rsidRPr="00161EAF" w:rsidR="005C0C7B" w:rsidP="00504038" w:rsidRDefault="005C0C7B" w14:paraId="5281B5CB" w14:textId="77777777">
            <w:pPr>
              <w:tabs>
                <w:tab w:val="left" w:pos="2385"/>
              </w:tabs>
              <w:ind w:right="-29"/>
              <w:rPr>
                <w:sz w:val="16"/>
                <w:szCs w:val="16"/>
                <w:lang w:val="en-US"/>
              </w:rPr>
            </w:pPr>
          </w:p>
        </w:tc>
        <w:tc>
          <w:tcPr>
            <w:tcW w:w="874" w:type="dxa"/>
            <w:vAlign w:val="center"/>
          </w:tcPr>
          <w:p w:rsidRPr="00161EAF" w:rsidR="005C0C7B" w:rsidP="00504038" w:rsidRDefault="005C0C7B" w14:paraId="3A67DB21" w14:textId="449CE81F">
            <w:pPr>
              <w:tabs>
                <w:tab w:val="left" w:pos="2385"/>
              </w:tabs>
              <w:ind w:right="-29"/>
              <w:rPr>
                <w:sz w:val="16"/>
                <w:szCs w:val="16"/>
                <w:lang w:val="en-US"/>
              </w:rPr>
            </w:pPr>
            <w:r w:rsidRPr="00161EAF">
              <w:rPr>
                <w:sz w:val="16"/>
                <w:szCs w:val="16"/>
                <w:lang w:val="en-US"/>
              </w:rPr>
              <w:t>Signature:</w:t>
            </w:r>
          </w:p>
        </w:tc>
        <w:tc>
          <w:tcPr>
            <w:tcW w:w="1559" w:type="dxa"/>
            <w:vAlign w:val="center"/>
          </w:tcPr>
          <w:p w:rsidRPr="00161EAF" w:rsidR="005C0C7B" w:rsidP="00504038" w:rsidRDefault="005C0C7B" w14:paraId="3D4E54AF" w14:textId="77777777">
            <w:pPr>
              <w:tabs>
                <w:tab w:val="left" w:pos="2385"/>
              </w:tabs>
              <w:ind w:right="-29"/>
              <w:rPr>
                <w:sz w:val="16"/>
                <w:szCs w:val="16"/>
                <w:lang w:val="en-US"/>
              </w:rPr>
            </w:pPr>
          </w:p>
        </w:tc>
        <w:tc>
          <w:tcPr>
            <w:tcW w:w="1596" w:type="dxa"/>
          </w:tcPr>
          <w:p w:rsidRPr="00161EAF" w:rsidR="005C0C7B" w:rsidP="00504038" w:rsidRDefault="005C0C7B" w14:paraId="4DA8BFE5" w14:textId="77777777">
            <w:pPr>
              <w:tabs>
                <w:tab w:val="left" w:pos="2385"/>
              </w:tabs>
              <w:ind w:right="-29"/>
              <w:rPr>
                <w:sz w:val="16"/>
                <w:szCs w:val="16"/>
                <w:lang w:val="en-US"/>
              </w:rPr>
            </w:pPr>
          </w:p>
        </w:tc>
        <w:tc>
          <w:tcPr>
            <w:tcW w:w="874" w:type="dxa"/>
            <w:vAlign w:val="center"/>
          </w:tcPr>
          <w:p w:rsidRPr="00161EAF" w:rsidR="005C0C7B" w:rsidP="00504038" w:rsidRDefault="005C0C7B" w14:paraId="0113934C" w14:textId="6999D5B7">
            <w:pPr>
              <w:tabs>
                <w:tab w:val="left" w:pos="2385"/>
              </w:tabs>
              <w:ind w:right="-29"/>
              <w:rPr>
                <w:sz w:val="16"/>
                <w:szCs w:val="16"/>
                <w:lang w:val="en-US"/>
              </w:rPr>
            </w:pPr>
            <w:r w:rsidRPr="00161EAF">
              <w:rPr>
                <w:sz w:val="16"/>
                <w:szCs w:val="16"/>
                <w:lang w:val="en-US"/>
              </w:rPr>
              <w:t>Signature:</w:t>
            </w:r>
          </w:p>
        </w:tc>
        <w:tc>
          <w:tcPr>
            <w:tcW w:w="1964" w:type="dxa"/>
            <w:vAlign w:val="center"/>
          </w:tcPr>
          <w:p w:rsidRPr="00161EAF" w:rsidR="005C0C7B" w:rsidP="00504038" w:rsidRDefault="005C0C7B" w14:paraId="6706764A" w14:textId="77777777">
            <w:pPr>
              <w:tabs>
                <w:tab w:val="left" w:pos="2385"/>
              </w:tabs>
              <w:ind w:right="-29"/>
              <w:rPr>
                <w:sz w:val="16"/>
                <w:szCs w:val="16"/>
                <w:lang w:val="en-US"/>
              </w:rPr>
            </w:pPr>
          </w:p>
        </w:tc>
      </w:tr>
      <w:tr w:rsidRPr="00161EAF" w:rsidR="005C0C7B" w:rsidTr="00AF74D1" w14:paraId="5BE50C9F" w14:textId="77777777">
        <w:trPr>
          <w:trHeight w:val="454"/>
        </w:trPr>
        <w:tc>
          <w:tcPr>
            <w:tcW w:w="874" w:type="dxa"/>
            <w:vAlign w:val="center"/>
          </w:tcPr>
          <w:p w:rsidRPr="00161EAF" w:rsidR="005C0C7B" w:rsidP="00504038" w:rsidRDefault="005C0C7B" w14:paraId="38D2D0FC" w14:textId="311AB1D8">
            <w:pPr>
              <w:tabs>
                <w:tab w:val="left" w:pos="2385"/>
              </w:tabs>
              <w:ind w:right="-29"/>
              <w:rPr>
                <w:sz w:val="16"/>
                <w:szCs w:val="16"/>
                <w:lang w:val="en-US"/>
              </w:rPr>
            </w:pPr>
            <w:r w:rsidRPr="00161EAF">
              <w:rPr>
                <w:sz w:val="16"/>
                <w:szCs w:val="16"/>
                <w:lang w:val="en-US"/>
              </w:rPr>
              <w:t>Date:</w:t>
            </w:r>
          </w:p>
        </w:tc>
        <w:tc>
          <w:tcPr>
            <w:tcW w:w="1368" w:type="dxa"/>
            <w:vAlign w:val="center"/>
          </w:tcPr>
          <w:p w:rsidRPr="00161EAF" w:rsidR="005C0C7B" w:rsidP="00504038" w:rsidRDefault="005C0C7B" w14:paraId="0AA8194F" w14:textId="77777777">
            <w:pPr>
              <w:tabs>
                <w:tab w:val="left" w:pos="2385"/>
              </w:tabs>
              <w:ind w:right="-29"/>
              <w:rPr>
                <w:sz w:val="16"/>
                <w:szCs w:val="16"/>
                <w:lang w:val="en-US"/>
              </w:rPr>
            </w:pPr>
          </w:p>
        </w:tc>
        <w:tc>
          <w:tcPr>
            <w:tcW w:w="1563" w:type="dxa"/>
          </w:tcPr>
          <w:p w:rsidRPr="00161EAF" w:rsidR="005C0C7B" w:rsidP="00504038" w:rsidRDefault="005C0C7B" w14:paraId="7A94858B" w14:textId="77777777">
            <w:pPr>
              <w:tabs>
                <w:tab w:val="left" w:pos="2385"/>
              </w:tabs>
              <w:ind w:right="-29"/>
              <w:rPr>
                <w:sz w:val="16"/>
                <w:szCs w:val="16"/>
                <w:lang w:val="en-US"/>
              </w:rPr>
            </w:pPr>
          </w:p>
        </w:tc>
        <w:tc>
          <w:tcPr>
            <w:tcW w:w="874" w:type="dxa"/>
            <w:vAlign w:val="center"/>
          </w:tcPr>
          <w:p w:rsidRPr="00161EAF" w:rsidR="005C0C7B" w:rsidP="00504038" w:rsidRDefault="005C0C7B" w14:paraId="6DDFA34B" w14:textId="5527FFFE">
            <w:pPr>
              <w:tabs>
                <w:tab w:val="left" w:pos="2385"/>
              </w:tabs>
              <w:ind w:right="-29"/>
              <w:rPr>
                <w:sz w:val="16"/>
                <w:szCs w:val="16"/>
                <w:lang w:val="en-US"/>
              </w:rPr>
            </w:pPr>
            <w:r w:rsidRPr="00161EAF">
              <w:rPr>
                <w:sz w:val="16"/>
                <w:szCs w:val="16"/>
                <w:lang w:val="en-US"/>
              </w:rPr>
              <w:t>Date:</w:t>
            </w:r>
          </w:p>
        </w:tc>
        <w:tc>
          <w:tcPr>
            <w:tcW w:w="1559" w:type="dxa"/>
            <w:vAlign w:val="center"/>
          </w:tcPr>
          <w:p w:rsidRPr="00161EAF" w:rsidR="005C0C7B" w:rsidP="00504038" w:rsidRDefault="005C0C7B" w14:paraId="37886BE8" w14:textId="77777777">
            <w:pPr>
              <w:tabs>
                <w:tab w:val="left" w:pos="2385"/>
              </w:tabs>
              <w:ind w:right="-29"/>
              <w:rPr>
                <w:sz w:val="16"/>
                <w:szCs w:val="16"/>
                <w:lang w:val="en-US"/>
              </w:rPr>
            </w:pPr>
          </w:p>
        </w:tc>
        <w:tc>
          <w:tcPr>
            <w:tcW w:w="1596" w:type="dxa"/>
          </w:tcPr>
          <w:p w:rsidRPr="00161EAF" w:rsidR="005C0C7B" w:rsidP="00504038" w:rsidRDefault="005C0C7B" w14:paraId="0D2D2266" w14:textId="77777777">
            <w:pPr>
              <w:tabs>
                <w:tab w:val="left" w:pos="2385"/>
              </w:tabs>
              <w:ind w:right="-29"/>
              <w:rPr>
                <w:sz w:val="16"/>
                <w:szCs w:val="16"/>
                <w:lang w:val="en-US"/>
              </w:rPr>
            </w:pPr>
          </w:p>
        </w:tc>
        <w:tc>
          <w:tcPr>
            <w:tcW w:w="874" w:type="dxa"/>
            <w:vAlign w:val="center"/>
          </w:tcPr>
          <w:p w:rsidRPr="00161EAF" w:rsidR="005C0C7B" w:rsidP="00504038" w:rsidRDefault="005C0C7B" w14:paraId="07A08045" w14:textId="5DD69C0A">
            <w:pPr>
              <w:tabs>
                <w:tab w:val="left" w:pos="2385"/>
              </w:tabs>
              <w:ind w:right="-29"/>
              <w:rPr>
                <w:sz w:val="16"/>
                <w:szCs w:val="16"/>
                <w:lang w:val="en-US"/>
              </w:rPr>
            </w:pPr>
            <w:r w:rsidRPr="00161EAF">
              <w:rPr>
                <w:sz w:val="16"/>
                <w:szCs w:val="16"/>
                <w:lang w:val="en-US"/>
              </w:rPr>
              <w:t>Date:</w:t>
            </w:r>
          </w:p>
        </w:tc>
        <w:tc>
          <w:tcPr>
            <w:tcW w:w="1964" w:type="dxa"/>
            <w:vAlign w:val="center"/>
          </w:tcPr>
          <w:p w:rsidRPr="00161EAF" w:rsidR="005C0C7B" w:rsidP="00504038" w:rsidRDefault="005C0C7B" w14:paraId="33659A81" w14:textId="77777777">
            <w:pPr>
              <w:tabs>
                <w:tab w:val="left" w:pos="2385"/>
              </w:tabs>
              <w:ind w:right="-29"/>
              <w:rPr>
                <w:sz w:val="16"/>
                <w:szCs w:val="16"/>
                <w:lang w:val="en-US"/>
              </w:rPr>
            </w:pPr>
          </w:p>
        </w:tc>
      </w:tr>
    </w:tbl>
    <w:p w:rsidRPr="00161EAF" w:rsidR="00664C3A" w:rsidP="005C3229" w:rsidRDefault="00664C3A" w14:paraId="1C427C7D" w14:textId="1E53528F">
      <w:pPr>
        <w:tabs>
          <w:tab w:val="left" w:pos="2385"/>
        </w:tabs>
        <w:ind w:right="-29"/>
        <w:rPr>
          <w:sz w:val="20"/>
          <w:szCs w:val="20"/>
          <w:lang w:val="en-US"/>
        </w:rPr>
      </w:pPr>
    </w:p>
    <w:p w:rsidRPr="00161EAF" w:rsidR="00AE562D" w:rsidP="005C3229" w:rsidRDefault="00AE562D" w14:paraId="7D92E9EC" w14:textId="6F766DF8">
      <w:pPr>
        <w:tabs>
          <w:tab w:val="left" w:pos="2385"/>
        </w:tabs>
        <w:ind w:right="-29"/>
        <w:rPr>
          <w:sz w:val="20"/>
          <w:szCs w:val="20"/>
          <w:lang w:val="en-US"/>
        </w:rPr>
      </w:pPr>
    </w:p>
    <w:p w:rsidRPr="00161EAF" w:rsidR="00AE562D" w:rsidP="005C3229" w:rsidRDefault="00AE562D" w14:paraId="2D65B270" w14:textId="77777777">
      <w:pPr>
        <w:tabs>
          <w:tab w:val="left" w:pos="2385"/>
        </w:tabs>
        <w:ind w:right="-29"/>
        <w:rPr>
          <w:sz w:val="20"/>
          <w:szCs w:val="20"/>
          <w:lang w:val="en-US"/>
        </w:rPr>
      </w:pPr>
    </w:p>
    <w:sectPr w:rsidRPr="00161EAF" w:rsidR="00AE562D" w:rsidSect="003133B2">
      <w:headerReference w:type="default" r:id="rId12"/>
      <w:footerReference w:type="even" r:id="rId13"/>
      <w:footerReference w:type="default" r:id="rId14"/>
      <w:headerReference w:type="first" r:id="rId15"/>
      <w:footerReference w:type="first" r:id="rId16"/>
      <w:pgSz w:w="12240" w:h="15840" w:orient="portrait"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C71" w:rsidRDefault="00692C71" w14:paraId="6D611509" w14:textId="77777777">
      <w:r>
        <w:separator/>
      </w:r>
    </w:p>
  </w:endnote>
  <w:endnote w:type="continuationSeparator" w:id="0">
    <w:p w:rsidR="00692C71" w:rsidRDefault="00692C71" w14:paraId="445ABE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FB7DDB" w:rsidRDefault="007C7914" w14:paraId="300523A7" w14:textId="77777777">
    <w:pPr>
      <w:pStyle w:val="Piedepgina"/>
      <w:framePr w:wrap="around" w:hAnchor="margin" w:vAnchor="text"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rsidR="00BB430F" w:rsidP="00152DE6" w:rsidRDefault="00BB430F" w14:paraId="300523A8" w14:textId="7777777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8E0FB9" w:rsidRDefault="00BB430F" w14:paraId="300523A9" w14:textId="77777777">
    <w:pPr>
      <w:pStyle w:val="Piedepgina"/>
      <w:framePr w:wrap="around" w:hAnchor="margin" w:vAnchor="text" w:xAlign="right" w:y="1"/>
      <w:jc w:val="right"/>
      <w:rPr>
        <w:rStyle w:val="Nmerodepgina"/>
        <w:rFonts w:ascii="Arial" w:hAnsi="Arial" w:cs="Arial"/>
        <w:sz w:val="20"/>
        <w:szCs w:val="20"/>
      </w:rPr>
    </w:pPr>
  </w:p>
  <w:p w:rsidRPr="003E2996" w:rsidR="003E2996" w:rsidP="003E2996" w:rsidRDefault="003E2996" w14:paraId="725DE9CD" w14:textId="58403DAB">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rsidRPr="003E2996" w:rsidR="008A0DDF" w:rsidP="008A0DDF" w:rsidRDefault="008A0DDF" w14:paraId="5D24A650" w14:textId="77777777">
    <w:pPr>
      <w:pStyle w:val="Piedepgina"/>
      <w:rPr>
        <w:rStyle w:val="Nmerodepgina"/>
        <w:rFonts w:ascii="Spranq eco sans" w:hAnsi="Spranq eco sans" w:cs="Arial"/>
        <w:sz w:val="16"/>
        <w:szCs w:val="16"/>
        <w:lang w:val="en-US"/>
      </w:rPr>
    </w:pPr>
  </w:p>
  <w:p w:rsidRPr="00333606" w:rsidR="008A0DDF" w:rsidP="008A0DDF" w:rsidRDefault="008A0DDF" w14:paraId="620D3B4E" w14:textId="77777777">
    <w:pPr>
      <w:pStyle w:val="Piedepgina"/>
      <w:jc w:val="right"/>
      <w:rPr>
        <w:rStyle w:val="Nmerodepgina"/>
        <w:sz w:val="16"/>
        <w:szCs w:val="16"/>
      </w:rPr>
    </w:pPr>
    <w:r w:rsidRPr="00333606">
      <w:rPr>
        <w:rStyle w:val="Nmerodepgina"/>
        <w:sz w:val="16"/>
        <w:szCs w:val="16"/>
      </w:rPr>
      <w:t>F-SOP-0872-2 V03</w:t>
    </w:r>
  </w:p>
  <w:p w:rsidR="00BB430F" w:rsidP="000E17CA" w:rsidRDefault="00BB430F" w14:paraId="300523AB" w14:textId="77777777">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E2996" w:rsidR="008A0DDF" w:rsidP="008A0DDF" w:rsidRDefault="003E2996" w14:paraId="3471AF01" w14:textId="098E0CED">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Pr="003E2996" w:rsidR="00182814">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Pr="003E2996" w:rsidR="00182814">
      <w:rPr>
        <w:color w:val="000000" w:themeColor="text1"/>
        <w:sz w:val="12"/>
        <w:szCs w:val="12"/>
        <w:lang w:val="en-US"/>
      </w:rPr>
      <w:t xml:space="preserve">PROPERTY </w:t>
    </w:r>
    <w:r w:rsidRPr="003E2996">
      <w:rPr>
        <w:color w:val="000000" w:themeColor="text1"/>
        <w:sz w:val="12"/>
        <w:szCs w:val="12"/>
        <w:lang w:val="en-US"/>
      </w:rPr>
      <w:t xml:space="preserve">OF </w:t>
    </w:r>
    <w:r w:rsidRPr="003E2996" w:rsidR="008A0DDF">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rsidRPr="003E2996" w:rsidR="00BB430F" w:rsidP="000E17CA" w:rsidRDefault="00BB430F" w14:paraId="300523CA" w14:textId="77777777">
    <w:pPr>
      <w:pStyle w:val="Piedepgina"/>
      <w:rPr>
        <w:rStyle w:val="Nmerodepgina"/>
        <w:rFonts w:ascii="Spranq eco sans" w:hAnsi="Spranq eco sans" w:cs="Arial"/>
        <w:sz w:val="16"/>
        <w:szCs w:val="16"/>
        <w:lang w:val="en-US"/>
      </w:rPr>
    </w:pPr>
  </w:p>
  <w:p w:rsidRPr="003E2996" w:rsidR="00BB430F" w:rsidP="005B1387" w:rsidRDefault="00A9759E" w14:paraId="300523CB" w14:textId="4928420B">
    <w:pPr>
      <w:pStyle w:val="Piedepgina"/>
      <w:jc w:val="right"/>
      <w:rPr>
        <w:rStyle w:val="Nmerodepgina"/>
        <w:sz w:val="16"/>
        <w:szCs w:val="16"/>
        <w:lang w:val="es-CO"/>
      </w:rPr>
    </w:pPr>
    <w:r w:rsidRPr="003E2996">
      <w:rPr>
        <w:rStyle w:val="Nmerodepgina"/>
        <w:sz w:val="16"/>
        <w:szCs w:val="16"/>
        <w:lang w:val="es-CO"/>
      </w:rPr>
      <w:t>F-SOP-0872-2</w:t>
    </w:r>
    <w:r w:rsidRPr="003E2996" w:rsidR="00333606">
      <w:rPr>
        <w:rStyle w:val="Nmerodepgina"/>
        <w:sz w:val="16"/>
        <w:szCs w:val="16"/>
        <w:lang w:val="es-CO"/>
      </w:rPr>
      <w:t xml:space="preserve"> </w:t>
    </w:r>
    <w:r w:rsidRPr="003E2996">
      <w:rPr>
        <w:rStyle w:val="Nmerodepgina"/>
        <w:sz w:val="16"/>
        <w:szCs w:val="16"/>
        <w:lang w:val="es-CO"/>
      </w:rPr>
      <w:t>V0</w:t>
    </w:r>
    <w:r w:rsidRPr="003E2996" w:rsidR="00333606">
      <w:rPr>
        <w:rStyle w:val="Nmerodepgina"/>
        <w:sz w:val="16"/>
        <w:szCs w:val="16"/>
        <w:lang w:val="es-CO"/>
      </w:rPr>
      <w:t>3</w:t>
    </w:r>
  </w:p>
  <w:p w:rsidRPr="003E2996" w:rsidR="00BB430F" w:rsidP="000E17CA" w:rsidRDefault="00BB430F" w14:paraId="300523CC" w14:textId="77777777">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C71" w:rsidRDefault="00692C71" w14:paraId="39385A08" w14:textId="77777777">
      <w:r>
        <w:separator/>
      </w:r>
    </w:p>
  </w:footnote>
  <w:footnote w:type="continuationSeparator" w:id="0">
    <w:p w:rsidR="00692C71" w:rsidRDefault="00692C71" w14:paraId="3329B22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CF5903" w:rsidTr="6026102E" w14:paraId="6AA7E0C4" w14:textId="77777777">
      <w:trPr>
        <w:cantSplit/>
        <w:trHeight w:val="340"/>
      </w:trPr>
      <w:tc>
        <w:tcPr>
          <w:tcW w:w="1346" w:type="dxa"/>
          <w:vMerge w:val="restart"/>
          <w:tcMar/>
          <w:vAlign w:val="center"/>
        </w:tcPr>
        <w:p w:rsidRPr="00746F5A" w:rsidR="00CF5903" w:rsidP="00CF5903" w:rsidRDefault="00CF5903" w14:paraId="21F00BEE" w14:textId="77777777">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CF5903" w:rsidP="00CF5903" w:rsidRDefault="00CF5903" w14:paraId="1A2DE8F7"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F5903" w:rsidRDefault="003133B2" w14:paraId="40D11F30" w14:textId="53969CB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CF5903" w:rsidP="00CF5903" w:rsidRDefault="00CF5903" w14:paraId="31A65DF0" w14:textId="1EBB10BB">
          <w:pPr>
            <w:pStyle w:val="Encabezado"/>
            <w:rPr>
              <w:bCs/>
              <w:sz w:val="16"/>
              <w:szCs w:val="16"/>
              <w:lang w:val="en-US"/>
            </w:rPr>
          </w:pPr>
          <w:r w:rsidRPr="00746F5A">
            <w:rPr>
              <w:bCs/>
              <w:sz w:val="16"/>
              <w:szCs w:val="16"/>
              <w:lang w:val="en-US"/>
            </w:rPr>
            <w:t>Code:</w:t>
          </w:r>
        </w:p>
      </w:tc>
      <w:tc>
        <w:tcPr>
          <w:tcW w:w="1701" w:type="dxa"/>
          <w:tcBorders>
            <w:top w:val="single" w:color="auto" w:sz="4" w:space="0"/>
            <w:left w:val="nil"/>
            <w:bottom w:val="nil"/>
            <w:right w:val="single" w:color="auto" w:sz="4" w:space="0"/>
          </w:tcBorders>
          <w:tcMar/>
          <w:vAlign w:val="center"/>
        </w:tcPr>
        <w:p w:rsidRPr="00746F5A" w:rsidR="00CF5903" w:rsidP="00CF5903" w:rsidRDefault="00CF5903" w14:paraId="566E906F" w14:textId="131E6389">
          <w:pPr>
            <w:pStyle w:val="Encabezado"/>
            <w:rPr>
              <w:bCs/>
              <w:sz w:val="16"/>
              <w:szCs w:val="16"/>
              <w:lang w:val="en-US"/>
            </w:rPr>
          </w:pPr>
          <w:r w:rsidRPr="00746F5A">
            <w:rPr>
              <w:bCs/>
              <w:sz w:val="16"/>
              <w:szCs w:val="16"/>
              <w:lang w:val="en-US"/>
            </w:rPr>
            <w:t>CO-S-210</w:t>
          </w:r>
          <w:r w:rsidRPr="00746F5A" w:rsidR="00182814">
            <w:rPr>
              <w:bCs/>
              <w:sz w:val="16"/>
              <w:szCs w:val="16"/>
              <w:lang w:val="en-US"/>
            </w:rPr>
            <w:t xml:space="preserve">70</w:t>
          </w:r>
        </w:p>
      </w:tc>
    </w:tr>
    <w:tr w:rsidRPr="00746F5A" w:rsidR="00BE2332" w:rsidTr="6026102E" w14:paraId="3D5A82C1" w14:textId="77777777">
      <w:trPr>
        <w:cantSplit/>
        <w:trHeight w:val="229"/>
      </w:trPr>
      <w:tc>
        <w:tcPr>
          <w:tcW w:w="1346" w:type="dxa"/>
          <w:vMerge/>
          <w:tcMar/>
          <w:vAlign w:val="center"/>
        </w:tcPr>
        <w:p w:rsidRPr="00746F5A" w:rsidR="00BE2332" w:rsidP="00BE2332" w:rsidRDefault="00BE2332" w14:paraId="2D3482D3"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BE2332" w:rsidP="6026102E" w:rsidRDefault="00BE2332" w14:paraId="528BA4B4" w14:textId="3A627F7A">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BE2332" w:rsidP="00BE2332" w:rsidRDefault="00BE2332" w14:paraId="523A753E" w14:textId="615D7384">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color="auto" w:sz="4" w:space="0"/>
          </w:tcBorders>
          <w:tcMar/>
          <w:vAlign w:val="center"/>
        </w:tcPr>
        <w:p w:rsidRPr="00746F5A" w:rsidR="00BE2332" w:rsidP="00BE2332" w:rsidRDefault="00BE2332" w14:paraId="27B09BEC" w14:textId="59257C59">
          <w:pPr>
            <w:pStyle w:val="Encabezado"/>
            <w:rPr>
              <w:bCs/>
              <w:sz w:val="16"/>
              <w:szCs w:val="16"/>
              <w:lang w:val="en-US"/>
            </w:rPr>
          </w:pPr>
        </w:p>
      </w:tc>
    </w:tr>
    <w:tr w:rsidRPr="00746F5A" w:rsidR="00BE2332" w:rsidTr="6026102E" w14:paraId="03892ADF" w14:textId="77777777">
      <w:trPr>
        <w:cantSplit/>
        <w:trHeight w:val="340"/>
      </w:trPr>
      <w:tc>
        <w:tcPr>
          <w:tcW w:w="1346" w:type="dxa"/>
          <w:vMerge/>
          <w:tcMar/>
        </w:tcPr>
        <w:p w:rsidRPr="00746F5A" w:rsidR="00BE2332" w:rsidP="00BE2332" w:rsidRDefault="00BE2332" w14:paraId="5456EDAB" w14:textId="77777777">
          <w:pPr>
            <w:pStyle w:val="Encabezado"/>
            <w:rPr>
              <w:b/>
              <w:sz w:val="19"/>
              <w:szCs w:val="19"/>
              <w:lang w:val="en-US"/>
            </w:rPr>
          </w:pPr>
        </w:p>
      </w:tc>
      <w:tc>
        <w:tcPr>
          <w:tcW w:w="6593" w:type="dxa"/>
          <w:vMerge/>
          <w:tcBorders/>
          <w:tcMar/>
          <w:vAlign w:val="center"/>
        </w:tcPr>
        <w:p w:rsidRPr="00746F5A" w:rsidR="00BE2332" w:rsidP="00BE2332" w:rsidRDefault="00BE2332" w14:paraId="25E8A4DF" w14:textId="77777777">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BE2332" w:rsidP="00BE2332" w:rsidRDefault="00BE2332" w14:paraId="6909BA21" w14:textId="06D0A8BA">
          <w:pPr>
            <w:pStyle w:val="Encabezado"/>
            <w:rPr>
              <w:bCs/>
              <w:sz w:val="16"/>
              <w:szCs w:val="16"/>
              <w:lang w:val="en-US"/>
            </w:rPr>
          </w:pPr>
          <w:r w:rsidRPr="00746F5A">
            <w:rPr>
              <w:bCs/>
              <w:sz w:val="16"/>
              <w:szCs w:val="16"/>
              <w:lang w:val="en-US"/>
            </w:rPr>
            <w:t>Page:</w:t>
          </w:r>
        </w:p>
      </w:tc>
      <w:tc>
        <w:tcPr>
          <w:tcW w:w="1701" w:type="dxa"/>
          <w:tcBorders>
            <w:top w:val="nil"/>
            <w:left w:val="nil"/>
            <w:bottom w:val="single" w:color="auto" w:sz="4" w:space="0"/>
            <w:right w:val="single" w:color="auto" w:sz="4" w:space="0"/>
          </w:tcBorders>
          <w:tcMar/>
          <w:vAlign w:val="center"/>
        </w:tcPr>
        <w:p w:rsidRPr="00746F5A" w:rsidR="00BE2332" w:rsidP="00BE2332" w:rsidRDefault="00BE2332" w14:paraId="353669E4" w14:textId="2E940D36">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661F1E" w:rsidRDefault="00BB430F" w14:paraId="300523A6" w14:textId="77777777">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5A45F5" w:rsidTr="6026102E" w14:paraId="300523B0" w14:textId="7B117DCB">
      <w:trPr>
        <w:cantSplit/>
        <w:trHeight w:val="274"/>
      </w:trPr>
      <w:tc>
        <w:tcPr>
          <w:tcW w:w="1346" w:type="dxa"/>
          <w:vMerge w:val="restart"/>
          <w:tcMar/>
          <w:vAlign w:val="center"/>
        </w:tcPr>
        <w:p w:rsidRPr="00746F5A" w:rsidR="005A45F5" w:rsidP="00A5701B" w:rsidRDefault="005A45F5" w14:paraId="300523AC" w14:textId="13B1BFF3">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5A45F5" w:rsidP="00C20168" w:rsidRDefault="00AF6532" w14:paraId="460A06E3"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20168" w:rsidRDefault="003133B2" w14:paraId="300523AE" w14:textId="6742390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5A45F5" w:rsidP="00794A87" w:rsidRDefault="00794A87" w14:paraId="3860913A" w14:textId="2155CBD0">
          <w:pPr>
            <w:pStyle w:val="Encabezado"/>
            <w:rPr>
              <w:bCs/>
              <w:sz w:val="16"/>
              <w:szCs w:val="16"/>
              <w:lang w:val="en-US"/>
            </w:rPr>
          </w:pPr>
          <w:r w:rsidRPr="00746F5A">
            <w:rPr>
              <w:bCs/>
              <w:sz w:val="16"/>
              <w:szCs w:val="16"/>
              <w:lang w:val="en-US"/>
            </w:rPr>
            <w:t>C</w:t>
          </w:r>
          <w:r w:rsidRPr="00746F5A" w:rsidR="00AF6532">
            <w:rPr>
              <w:bCs/>
              <w:sz w:val="16"/>
              <w:szCs w:val="16"/>
              <w:lang w:val="en-US"/>
            </w:rPr>
            <w:t>ode</w:t>
          </w:r>
          <w:r w:rsidRPr="00746F5A">
            <w:rPr>
              <w:bCs/>
              <w:sz w:val="16"/>
              <w:szCs w:val="16"/>
              <w:lang w:val="en-US"/>
            </w:rPr>
            <w:t>:</w:t>
          </w:r>
        </w:p>
      </w:tc>
      <w:tc>
        <w:tcPr>
          <w:tcW w:w="1701" w:type="dxa"/>
          <w:tcBorders>
            <w:top w:val="single" w:color="auto" w:sz="4" w:space="0"/>
            <w:left w:val="nil"/>
            <w:bottom w:val="nil"/>
            <w:right w:val="single" w:color="auto" w:sz="4" w:space="0"/>
          </w:tcBorders>
          <w:tcMar/>
          <w:vAlign w:val="center"/>
        </w:tcPr>
        <w:p w:rsidRPr="00746F5A" w:rsidR="005A45F5" w:rsidP="00794A87" w:rsidRDefault="00AF6532" w14:paraId="6913C729" w14:textId="141C5FD4">
          <w:pPr>
            <w:pStyle w:val="Encabezado"/>
            <w:rPr>
              <w:bCs/>
              <w:sz w:val="16"/>
              <w:szCs w:val="16"/>
              <w:lang w:val="en-US"/>
            </w:rPr>
          </w:pPr>
          <w:r w:rsidRPr="00746F5A">
            <w:rPr>
              <w:bCs/>
              <w:sz w:val="16"/>
              <w:szCs w:val="16"/>
              <w:lang w:val="en-US"/>
            </w:rPr>
            <w:t>CO-S-210</w:t>
          </w:r>
          <w:r w:rsidRPr="00746F5A" w:rsidR="00491272">
            <w:rPr>
              <w:bCs/>
              <w:sz w:val="16"/>
              <w:szCs w:val="16"/>
              <w:lang w:val="en-US"/>
            </w:rPr>
            <w:t xml:space="preserve">70</w:t>
          </w:r>
        </w:p>
      </w:tc>
    </w:tr>
    <w:tr w:rsidRPr="00746F5A" w:rsidR="005A45F5" w:rsidTr="6026102E" w14:paraId="5C48AC34" w14:textId="039818A6">
      <w:trPr>
        <w:cantSplit/>
        <w:trHeight w:val="229"/>
      </w:trPr>
      <w:tc>
        <w:tcPr>
          <w:tcW w:w="1346" w:type="dxa"/>
          <w:vMerge/>
          <w:tcMar/>
          <w:vAlign w:val="center"/>
        </w:tcPr>
        <w:p w:rsidRPr="00746F5A" w:rsidR="005A45F5" w:rsidP="00A5701B" w:rsidRDefault="005A45F5" w14:paraId="4CA03044"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EB082F" w:rsidP="6026102E" w:rsidRDefault="00C26A02" w14:paraId="386887CE" w14:textId="72737FB4">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5A45F5" w:rsidP="00794A87" w:rsidRDefault="00AF6532" w14:paraId="1D2EC148" w14:textId="61A7F113">
          <w:pPr>
            <w:pStyle w:val="Encabezado"/>
            <w:rPr>
              <w:bCs/>
              <w:sz w:val="16"/>
              <w:szCs w:val="16"/>
              <w:lang w:val="en-US"/>
            </w:rPr>
          </w:pPr>
          <w:r w:rsidRPr="00746F5A">
            <w:rPr>
              <w:bCs/>
              <w:sz w:val="16"/>
              <w:szCs w:val="16"/>
              <w:lang w:val="en-US"/>
            </w:rPr>
            <w:t>Effective date</w:t>
          </w:r>
          <w:r w:rsidRPr="00746F5A" w:rsidR="00794A87">
            <w:rPr>
              <w:bCs/>
              <w:sz w:val="16"/>
              <w:szCs w:val="16"/>
              <w:lang w:val="en-US"/>
            </w:rPr>
            <w:t>:</w:t>
          </w:r>
        </w:p>
      </w:tc>
      <w:tc>
        <w:tcPr>
          <w:tcW w:w="1701" w:type="dxa"/>
          <w:tcBorders>
            <w:top w:val="nil"/>
            <w:left w:val="nil"/>
            <w:bottom w:val="nil"/>
            <w:right w:val="single" w:color="auto" w:sz="4" w:space="0"/>
          </w:tcBorders>
          <w:tcMar/>
          <w:vAlign w:val="center"/>
        </w:tcPr>
        <w:p w:rsidRPr="00746F5A" w:rsidR="005A45F5" w:rsidP="00794A87" w:rsidRDefault="005A45F5" w14:paraId="7CF63B5E" w14:textId="23993CB0">
          <w:pPr>
            <w:pStyle w:val="Encabezado"/>
            <w:rPr>
              <w:bCs/>
              <w:sz w:val="16"/>
              <w:szCs w:val="16"/>
              <w:lang w:val="en-US"/>
            </w:rPr>
          </w:pPr>
        </w:p>
      </w:tc>
    </w:tr>
    <w:tr w:rsidRPr="00746F5A" w:rsidR="005A45F5" w:rsidTr="6026102E" w14:paraId="300523B5" w14:textId="35C339F9">
      <w:trPr>
        <w:cantSplit/>
        <w:trHeight w:val="340"/>
      </w:trPr>
      <w:tc>
        <w:tcPr>
          <w:tcW w:w="1346" w:type="dxa"/>
          <w:vMerge/>
          <w:tcMar/>
        </w:tcPr>
        <w:p w:rsidRPr="00746F5A" w:rsidR="005A45F5" w:rsidP="00A5701B" w:rsidRDefault="005A45F5" w14:paraId="300523B1" w14:textId="77777777">
          <w:pPr>
            <w:pStyle w:val="Encabezado"/>
            <w:rPr>
              <w:b/>
              <w:sz w:val="19"/>
              <w:szCs w:val="19"/>
              <w:lang w:val="en-US"/>
            </w:rPr>
          </w:pPr>
        </w:p>
      </w:tc>
      <w:tc>
        <w:tcPr>
          <w:tcW w:w="6593" w:type="dxa"/>
          <w:vMerge/>
          <w:tcBorders/>
          <w:tcMar/>
          <w:vAlign w:val="center"/>
        </w:tcPr>
        <w:p w:rsidRPr="00746F5A" w:rsidR="005A45F5" w:rsidP="00A5701B" w:rsidRDefault="005A45F5" w14:paraId="300523B3" w14:textId="2C4A1F3B">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5A45F5" w:rsidP="00794A87" w:rsidRDefault="00794A87" w14:paraId="0852C9DD" w14:textId="145A2BB9">
          <w:pPr>
            <w:pStyle w:val="Encabezado"/>
            <w:rPr>
              <w:bCs/>
              <w:sz w:val="16"/>
              <w:szCs w:val="16"/>
              <w:lang w:val="en-US"/>
            </w:rPr>
          </w:pPr>
          <w:r w:rsidRPr="00746F5A">
            <w:rPr>
              <w:bCs/>
              <w:sz w:val="16"/>
              <w:szCs w:val="16"/>
              <w:lang w:val="en-US"/>
            </w:rPr>
            <w:t>P</w:t>
          </w:r>
          <w:r w:rsidRPr="00746F5A" w:rsidR="00AF6532">
            <w:rPr>
              <w:bCs/>
              <w:sz w:val="16"/>
              <w:szCs w:val="16"/>
              <w:lang w:val="en-US"/>
            </w:rPr>
            <w:t>age</w:t>
          </w:r>
          <w:r w:rsidRPr="00746F5A">
            <w:rPr>
              <w:bCs/>
              <w:sz w:val="16"/>
              <w:szCs w:val="16"/>
              <w:lang w:val="en-US"/>
            </w:rPr>
            <w:t>:</w:t>
          </w:r>
        </w:p>
      </w:tc>
      <w:tc>
        <w:tcPr>
          <w:tcW w:w="1701" w:type="dxa"/>
          <w:tcBorders>
            <w:top w:val="nil"/>
            <w:left w:val="nil"/>
            <w:bottom w:val="single" w:color="auto" w:sz="4" w:space="0"/>
            <w:right w:val="single" w:color="auto" w:sz="4" w:space="0"/>
          </w:tcBorders>
          <w:tcMar/>
          <w:vAlign w:val="center"/>
        </w:tcPr>
        <w:p w:rsidRPr="00746F5A" w:rsidR="005A45F5" w:rsidP="00794A87" w:rsidRDefault="00596798" w14:paraId="1D93D110" w14:textId="5F548DBC">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Pr="00746F5A" w:rsidR="00AF6532">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3133B2" w:rsidRDefault="00BB430F" w14:paraId="300523B6" w14:textId="77777777">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hint="default" w:ascii="Times New Roman" w:hAnsi="Times New Roman" w:cs="Times New Roman"/>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hint="default" w:ascii="Spranq eco sans" w:hAnsi="Spranq eco san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s-CO"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AD0F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styleId="Ttulo1Car" w:customStyle="1">
    <w:name w:val="Título 1 Car"/>
    <w:link w:val="Ttulo1"/>
    <w:locked/>
    <w:rsid w:val="00486FB2"/>
    <w:rPr>
      <w:rFonts w:ascii="Arial" w:hAnsi="Arial"/>
      <w:b/>
      <w:color w:val="808080"/>
      <w:sz w:val="36"/>
      <w:szCs w:val="36"/>
      <w:lang w:val="en-US" w:eastAsia="en-US" w:bidi="ar-SA"/>
    </w:rPr>
  </w:style>
  <w:style w:type="character" w:styleId="EncabezadoCar" w:customStyle="1">
    <w:name w:val="Encabezado Car"/>
    <w:link w:val="Encabezado"/>
    <w:uiPriority w:val="99"/>
    <w:rsid w:val="00CA3130"/>
    <w:rPr>
      <w:sz w:val="24"/>
      <w:szCs w:val="24"/>
      <w:lang w:val="en-GB" w:eastAsia="en-GB"/>
    </w:rPr>
  </w:style>
  <w:style w:type="character" w:styleId="hps" w:customStyle="1">
    <w:name w:val="hps"/>
    <w:rsid w:val="00C009AB"/>
  </w:style>
  <w:style w:type="character" w:styleId="hpsatn" w:customStyle="1">
    <w:name w:val="hps atn"/>
    <w:rsid w:val="00C009AB"/>
  </w:style>
  <w:style w:type="character" w:styleId="ital1" w:customStyle="1">
    <w:name w:val="ital1"/>
    <w:rsid w:val="00FE274F"/>
    <w:rPr>
      <w:b w:val="0"/>
      <w:bCs w:val="0"/>
      <w:i/>
      <w:iCs/>
      <w:smallCaps w:val="0"/>
    </w:rPr>
  </w:style>
  <w:style w:type="character" w:styleId="atn" w:customStyle="1">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styleId="st1" w:customStyle="1">
    <w:name w:val="st1"/>
    <w:basedOn w:val="Fuentedeprrafopredeter"/>
    <w:rsid w:val="00765D90"/>
  </w:style>
  <w:style w:type="character" w:styleId="Ttulo4Car" w:customStyle="1">
    <w:name w:val="Título 4 Car"/>
    <w:link w:val="Ttulo4"/>
    <w:semiHidden/>
    <w:rsid w:val="00A672A4"/>
    <w:rPr>
      <w:rFonts w:ascii="Calibri" w:hAnsi="Calibri" w:eastAsia="Times New Roman" w:cs="Times New Roman"/>
      <w:b/>
      <w:bCs/>
      <w:sz w:val="28"/>
      <w:szCs w:val="28"/>
      <w:lang w:val="en-GB" w:eastAsia="en-GB"/>
    </w:rPr>
  </w:style>
  <w:style w:type="character" w:styleId="PiedepginaCar" w:customStyle="1">
    <w:name w:val="Pie de página Car"/>
    <w:basedOn w:val="Fuentedeprrafopredeter"/>
    <w:link w:val="Piedepgina"/>
    <w:rsid w:val="008A0DDF"/>
    <w:rPr>
      <w:sz w:val="24"/>
      <w:szCs w:val="24"/>
      <w:lang w:val="en-GB" w:eastAsia="en-GB"/>
    </w:rPr>
  </w:style>
  <w:style w:type="paragraph" w:styleId="Default" w:customStyle="1">
    <w:name w:val="Default"/>
    <w:rsid w:val="0052569D"/>
    <w:pPr>
      <w:autoSpaceDE w:val="0"/>
      <w:autoSpaceDN w:val="0"/>
      <w:adjustRightInd w:val="0"/>
    </w:pPr>
    <w:rPr>
      <w:color w:val="000000"/>
      <w:sz w:val="24"/>
      <w:szCs w:val="24"/>
    </w:rPr>
  </w:style>
  <w:style w:type="character" w:styleId="UnresolvedMention" w:customStyle="1">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styleId="shading" w:customStyle="1">
    <w:name w:val="shading"/>
    <w:basedOn w:val="Fuentedeprrafopredeter"/>
    <w:rsid w:val="00B05AAB"/>
  </w:style>
  <w:style w:type="paragraph" w:styleId="citation" w:customStyle="1">
    <w:name w:val="citation"/>
    <w:basedOn w:val="Normal"/>
    <w:rsid w:val="00E368E2"/>
    <w:pPr>
      <w:spacing w:before="100" w:beforeAutospacing="1" w:after="100" w:afterAutospacing="1"/>
    </w:pPr>
    <w:rPr>
      <w:lang w:val="es-CO" w:eastAsia="es-CO"/>
    </w:rPr>
  </w:style>
  <w:style w:type="character" w:styleId="sup" w:customStyle="1">
    <w:name w:val="sup"/>
    <w:basedOn w:val="Fuentedeprrafopredeter"/>
    <w:rsid w:val="00FB6817"/>
  </w:style>
  <w:style w:type="character" w:styleId="nfasis">
    <w:name w:val="Emphasis"/>
    <w:basedOn w:val="Fuentedeprrafopredeter"/>
    <w:uiPriority w:val="20"/>
    <w:qFormat/>
    <w:rsid w:val="00663CE6"/>
    <w:rPr>
      <w:i/>
      <w:iCs/>
    </w:rPr>
  </w:style>
  <w:style w:type="character" w:styleId="sub" w:customStyle="1">
    <w:name w:val="sub"/>
    <w:basedOn w:val="Fuentedeprrafopredeter"/>
    <w:rsid w:val="00552D16"/>
  </w:style>
  <w:style w:type="character" w:styleId="nosmallcaps" w:customStyle="1">
    <w:name w:val="nosmallcaps"/>
    <w:basedOn w:val="Fuentedeprrafopredeter"/>
    <w:rsid w:val="00B649C6"/>
  </w:style>
  <w:style w:type="character" w:styleId="chap-num" w:customStyle="1">
    <w:name w:val="chap-num"/>
    <w:basedOn w:val="Fuentedeprrafopredeter"/>
    <w:rsid w:val="003A4CC8"/>
  </w:style>
  <w:style w:type="character" w:styleId="lang" w:customStyle="1">
    <w:name w:val="lang"/>
    <w:basedOn w:val="Fuentedeprrafopredeter"/>
    <w:rsid w:val="003A4CC8"/>
  </w:style>
  <w:style w:type="character" w:styleId="rang" w:customStyle="1">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5.xml><?xml version="1.0" encoding="utf-8"?>
<ds:datastoreItem xmlns:ds="http://schemas.openxmlformats.org/officeDocument/2006/customXml" ds:itemID="{4013653F-D15D-4CF9-A673-8F8E00612E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Patheon UK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Technical Assessment Questionnaire</dc:title>
  <dc:creator>odells</dc:creator>
  <lastModifiedBy>Juan Camilo LÓpez JimÉnez</lastModifiedBy>
  <revision>47</revision>
  <lastPrinted>2022-01-24T13:04:00.0000000Z</lastPrinted>
  <dcterms:created xsi:type="dcterms:W3CDTF">2025-01-31T13:08:00.0000000Z</dcterms:created>
  <dcterms:modified xsi:type="dcterms:W3CDTF">2025-02-12T21:39:21.9839422Z</dcterms:modified>
  <dc:description/>
  <dc:identifier/>
  <dc:language/>
  <dc:subject/>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