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00990997">
        <w:trPr>
          <w:trHeight w:val="680"/>
        </w:trPr>
        <w:tc>
          <w:tcPr>
            <w:tcW w:w="10631" w:type="dxa"/>
            <w:gridSpan w:val="2"/>
            <w:shd w:val="clear" w:color="auto" w:fill="DBE5F1"/>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00A24194">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893595">
            <w:pPr>
              <w:ind w:left="-108" w:right="-29"/>
              <w:rPr>
                <w:bCs/>
                <w:iCs/>
                <w:sz w:val="20"/>
                <w:szCs w:val="20"/>
                <w:lang w:val="es-CO"/>
              </w:rPr>
            </w:pPr>
            <w:r w:rsidRPr="001F05D8">
              <w:rPr>
                <w:bCs/>
                <w:iCs/>
                <w:sz w:val="20"/>
                <w:szCs w:val="20"/>
                <w:lang w:val="en-US"/>
              </w:rPr>
              <w:t xml:space="preserve">UNIGEL DRONABINOL + ACETAZOLAMIDA</w:t>
            </w:r>
          </w:p>
        </w:tc>
      </w:tr>
      <w:tr w:rsidR="00990997" w:rsidRPr="00161EAF" w14:paraId="46632668" w14:textId="77777777" w:rsidTr="00A24194">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00893595">
            <w:pPr>
              <w:ind w:left="-108" w:right="-29"/>
              <w:rPr>
                <w:sz w:val="20"/>
                <w:szCs w:val="20"/>
                <w:lang w:val="en-US"/>
              </w:rPr>
            </w:pPr>
            <w:r>
              <w:rPr>
                <w:sz w:val="20"/>
                <w:szCs w:val="20"/>
                <w:lang w:val="en-US"/>
              </w:rPr>
              <w:t xml:space="preserve">Rx</w:t>
            </w:r>
          </w:p>
        </w:tc>
      </w:tr>
      <w:tr w:rsidR="00990997" w:rsidRPr="00161EAF" w14:paraId="42EE3F09" w14:textId="77777777" w:rsidTr="00A24194">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00893595">
            <w:pPr>
              <w:ind w:left="-108" w:right="-29"/>
              <w:rPr>
                <w:sz w:val="20"/>
                <w:szCs w:val="20"/>
                <w:lang w:val="en-US"/>
              </w:rPr>
            </w:pPr>
            <w:r>
              <w:rPr>
                <w:sz w:val="20"/>
                <w:szCs w:val="20"/>
                <w:lang w:val="en-US"/>
              </w:rPr>
              <w:t xml:space="preserve">UNIGEL DRONABINOL + ACETAZOLAMIDA</w:t>
            </w:r>
          </w:p>
        </w:tc>
      </w:tr>
      <w:tr w:rsidR="00990997" w:rsidRPr="00161EAF" w14:paraId="45785697" w14:textId="77777777" w:rsidTr="00A24194">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893595">
            <w:pPr>
              <w:ind w:left="-108" w:right="-29"/>
              <w:rPr>
                <w:sz w:val="20"/>
                <w:szCs w:val="20"/>
                <w:lang w:val="en-US"/>
              </w:rPr>
            </w:pPr>
            <w:r>
              <w:rPr>
                <w:sz w:val="20"/>
                <w:szCs w:val="20"/>
                <w:lang w:val="en-US"/>
              </w:rPr>
              <w:t xml:space="preserve"/>
            </w:r>
          </w:p>
          <w:p w14:paraId="2AA3715B" w14:textId="5B8F7AB7" w:rsidR="00DE5397" w:rsidRDefault="00DE5397" w:rsidP="00893595">
            <w:pPr>
              <w:ind w:left="-108" w:right="-29"/>
              <w:rPr>
                <w:sz w:val="20"/>
                <w:szCs w:val="20"/>
                <w:lang w:val="en-US"/>
              </w:rPr>
            </w:pPr>
            <w:r>
              <w:rPr>
                <w:sz w:val="20"/>
                <w:szCs w:val="20"/>
                <w:lang w:val="en-US"/>
              </w:rPr>
              <w:t xml:space="preserve">Dronabinol</w:t>
            </w:r>
          </w:p>
          <w:p w14:paraId="7DD3E800" w14:textId="00CDECCD" w:rsidR="00DE5397" w:rsidRPr="00161EAF" w:rsidRDefault="00DE5397" w:rsidP="00893595">
            <w:pPr>
              <w:ind w:left="-108" w:right="-29"/>
              <w:rPr>
                <w:sz w:val="20"/>
                <w:szCs w:val="20"/>
                <w:lang w:val="en-US"/>
              </w:rPr>
            </w:pPr>
            <w:r>
              <w:rPr>
                <w:sz w:val="20"/>
                <w:szCs w:val="20"/>
                <w:lang w:val="en-US"/>
              </w:rPr>
              <w:t xml:space="preserve"/>
            </w:r>
          </w:p>
          <w:p w14:paraId="2AA3715B" w14:textId="5B8F7AB7" w:rsidR="00DE5397" w:rsidRDefault="00DE5397" w:rsidP="00893595">
            <w:pPr>
              <w:ind w:left="-108" w:right="-29"/>
              <w:rPr>
                <w:sz w:val="20"/>
                <w:szCs w:val="20"/>
                <w:lang w:val="en-US"/>
              </w:rPr>
            </w:pPr>
            <w:r>
              <w:rPr>
                <w:sz w:val="20"/>
                <w:szCs w:val="20"/>
                <w:lang w:val="en-US"/>
              </w:rPr>
              <w:t xml:space="preserve">Acetazolamide</w:t>
            </w:r>
          </w:p>
          <w:p w14:paraId="7DD3E800" w14:textId="00CDECCD" w:rsidR="00DE5397" w:rsidRPr="00161EAF" w:rsidRDefault="00DE5397" w:rsidP="00893595">
            <w:pPr>
              <w:ind w:left="-108" w:right="-29"/>
              <w:rPr>
                <w:sz w:val="20"/>
                <w:szCs w:val="20"/>
                <w:lang w:val="en-US"/>
              </w:rPr>
            </w:pPr>
            <w:r>
              <w:rPr>
                <w:sz w:val="20"/>
                <w:szCs w:val="20"/>
                <w:lang w:val="en-US"/>
              </w:rPr>
              <w:t xml:space="preserve"/>
            </w:r>
          </w:p>
        </w:tc>
      </w:tr>
      <w:tr w:rsidR="00990997" w:rsidRPr="00161EAF" w14:paraId="1D68028E" w14:textId="77777777" w:rsidTr="00A24194">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00893595">
            <w:pPr>
              <w:ind w:left="-108" w:right="-29"/>
              <w:rPr>
                <w:sz w:val="20"/>
                <w:szCs w:val="20"/>
                <w:lang w:val="en-US"/>
              </w:rPr>
            </w:pPr>
            <w:r>
              <w:rPr>
                <w:sz w:val="20"/>
                <w:szCs w:val="20"/>
                <w:lang w:val="en-US"/>
              </w:rPr>
              <w:t xml:space="preserve">Dronabinol 2.5 mg + Acetazolamide 125 mg; Dronabinol 5 mg + Acetazolamide 250 mg</w:t>
            </w:r>
          </w:p>
        </w:tc>
      </w:tr>
      <w:tr w:rsidR="00990997" w:rsidRPr="00161EAF" w14:paraId="126C133D" w14:textId="77777777" w:rsidTr="00A24194">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00893595">
            <w:pPr>
              <w:ind w:right="-29"/>
              <w:rPr>
                <w:sz w:val="20"/>
                <w:szCs w:val="20"/>
                <w:lang w:val="en-US"/>
              </w:rPr>
            </w:pPr>
            <w:r>
              <w:rPr>
                <w:sz w:val="20"/>
                <w:szCs w:val="20"/>
                <w:lang w:val="en-US"/>
              </w:rPr>
              <w:t xml:space="preserve">Unigel</w:t>
            </w:r>
          </w:p>
        </w:tc>
      </w:tr>
      <w:tr w:rsidR="00990997" w:rsidRPr="00161EAF" w14:paraId="2C3E34CA" w14:textId="77777777" w:rsidTr="00A24194">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00893595">
            <w:pPr>
              <w:ind w:left="-108" w:right="-29"/>
              <w:rPr>
                <w:sz w:val="20"/>
                <w:szCs w:val="20"/>
                <w:lang w:val="en-US"/>
              </w:rPr>
            </w:pPr>
            <w:r>
              <w:rPr>
                <w:sz w:val="20"/>
                <w:szCs w:val="20"/>
                <w:lang w:val="en-US"/>
              </w:rPr>
              <w:t xml:space="preserve">Oral</w:t>
            </w:r>
          </w:p>
        </w:tc>
      </w:tr>
      <w:tr w:rsidR="00990997" w:rsidRPr="00161EAF" w14:paraId="21C60344" w14:textId="77777777" w:rsidTr="00A24194">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893595">
            <w:pPr>
              <w:ind w:left="-108" w:right="-29"/>
              <w:rPr>
                <w:sz w:val="20"/>
                <w:szCs w:val="20"/>
                <w:vertAlign w:val="superscript"/>
                <w:lang w:val="en-US"/>
              </w:rPr>
            </w:pPr>
            <w:r>
              <w:rPr>
                <w:sz w:val="20"/>
                <w:szCs w:val="20"/>
                <w:lang w:val="en-US"/>
              </w:rPr>
              <w:t xml:space="preserve">According to clinical study results</w:t>
            </w:r>
          </w:p>
        </w:tc>
      </w:tr>
      <w:tr w:rsidR="00990997" w:rsidRPr="00161EAF" w14:paraId="50276D27" w14:textId="77777777" w:rsidTr="00A24194">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893595">
            <w:pPr>
              <w:ind w:left="-108" w:right="-29"/>
              <w:rPr>
                <w:sz w:val="20"/>
                <w:szCs w:val="20"/>
                <w:lang w:val="en-US"/>
              </w:rPr>
            </w:pPr>
            <w:r>
              <w:rPr>
                <w:sz w:val="20"/>
                <w:szCs w:val="20"/>
                <w:lang w:val="en-US"/>
              </w:rPr>
              <w:t xml:space="preserve">Oblong shape; capsule size to be defined; capsules are opaque to maintain study blinding</w:t>
            </w:r>
          </w:p>
        </w:tc>
      </w:tr>
      <w:tr w:rsidR="00990997" w:rsidRPr="00161EAF" w14:paraId="1AB90057" w14:textId="77777777" w:rsidTr="00A24194">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893595">
            <w:pPr>
              <w:ind w:left="-108" w:right="-29"/>
              <w:rPr>
                <w:sz w:val="20"/>
                <w:szCs w:val="20"/>
                <w:lang w:val="en-US"/>
              </w:rPr>
            </w:pPr>
            <w:r>
              <w:rPr>
                <w:sz w:val="20"/>
                <w:szCs w:val="20"/>
              </w:rPr>
              <w:t xml:space="preserve">Box/Blister x 28 capsules</w:t>
            </w:r>
          </w:p>
        </w:tc>
      </w:tr>
      <w:tr w:rsidR="00990997" w:rsidRPr="00161EAF" w14:paraId="6F7985A6" w14:textId="77777777" w:rsidTr="00A24194">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893595">
            <w:pPr>
              <w:ind w:left="-108" w:right="-29"/>
              <w:rPr>
                <w:sz w:val="20"/>
                <w:szCs w:val="20"/>
                <w:vertAlign w:val="superscript"/>
                <w:lang w:val="en-US"/>
              </w:rPr>
            </w:pPr>
            <w:r>
              <w:rPr>
                <w:sz w:val="20"/>
                <w:szCs w:val="20"/>
                <w:lang w:val="en-US"/>
              </w:rPr>
              <w:t xml:space="preserve">Blister pack x 28 capsules</w:t>
            </w:r>
          </w:p>
        </w:tc>
      </w:tr>
      <w:tr w:rsidR="00990997" w:rsidRPr="00161EAF" w14:paraId="711E8407" w14:textId="77777777" w:rsidTr="00A24194">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00893595">
            <w:pPr>
              <w:ind w:left="-108" w:right="-29"/>
              <w:rPr>
                <w:sz w:val="20"/>
                <w:szCs w:val="20"/>
                <w:lang w:val="en-US"/>
              </w:rPr>
            </w:pPr>
            <w:r w:rsidRPr="00B828F1">
              <w:rPr>
                <w:sz w:val="20"/>
                <w:szCs w:val="20"/>
                <w:lang w:val="en-US"/>
              </w:rPr>
              <w:t xml:space="preserve"/>
            </w:r>
          </w:p>
        </w:tc>
      </w:tr>
      <w:tr w:rsidR="00990997" w:rsidRPr="00161EAF" w14:paraId="5474607D" w14:textId="77777777" w:rsidTr="00990997">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54553DE5"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296F1118">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00893595">
            <w:pPr>
              <w:ind w:left="-108" w:right="-29"/>
              <w:rPr>
                <w:sz w:val="20"/>
                <w:szCs w:val="20"/>
              </w:rPr>
            </w:pPr>
            <w:r w:rsidRPr="00055909">
              <w:rPr>
                <w:sz w:val="20"/>
                <w:szCs w:val="20"/>
              </w:rPr>
              <w:t xml:space="preserve">Dronabinol</w:t>
            </w:r>
          </w:p>
        </w:tc>
      </w:tr>
      <w:tr w:rsidR="27FD9B0B" w14:paraId="5C122607"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893595">
            <w:pPr>
              <w:ind w:left="-108" w:right="-29"/>
              <w:rPr>
                <w:sz w:val="20"/>
                <w:szCs w:val="20"/>
              </w:rPr>
            </w:pPr>
            <w:r w:rsidRPr="00055909">
              <w:rPr>
                <w:sz w:val="20"/>
                <w:szCs w:val="20"/>
              </w:rPr>
              <w:t xml:space="preserve">1972-08-3</w:t>
            </w:r>
          </w:p>
        </w:tc>
      </w:tr>
      <w:tr w:rsidR="27FD9B0B" w14:paraId="030092B6"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893595">
            <w:pPr>
              <w:ind w:left="-108" w:right="-29"/>
              <w:rPr>
                <w:sz w:val="20"/>
                <w:szCs w:val="20"/>
              </w:rPr>
            </w:pPr>
            <w:r w:rsidRPr="00055909">
              <w:rPr>
                <w:sz w:val="20"/>
                <w:szCs w:val="20"/>
              </w:rPr>
              <w:t xml:space="preserve">• Light yellow oil</w:t>
              <w:br/>
              <w:t xml:space="preserve">• Brown semi-solid, viscous liquid or golden yellow solid (as reported by Merck Index and CAMEO)</w:t>
              <w:br/>
              <w:t xml:space="preserve">• Odorless resinous oil (as reported by MSDSonline)</w:t>
              <w:br/>
              <w:t xml:space="preserve">• Can appear as a brown amorphous semi-solid, viscous oil or chunky golden yellow solid (NTP, 1992)</w:t>
              <w:br/>
              <w:t xml:space="preserve">• Final reported form: Solid</w:t>
            </w:r>
          </w:p>
        </w:tc>
      </w:tr>
      <w:tr w:rsidR="27FD9B0B" w14:paraId="2768F4F1"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893595">
            <w:pPr>
              <w:ind w:left="-108" w:right="-29"/>
              <w:rPr>
                <w:sz w:val="20"/>
                <w:szCs w:val="20"/>
                <w:lang w:val="en-US"/>
              </w:rPr>
            </w:pPr>
            <w:r w:rsidRPr="00055909">
              <w:rPr>
                <w:sz w:val="20"/>
                <w:szCs w:val="20"/>
              </w:rPr>
              <w:t xml:space="preserve">• 1 part in 1 part of alcohol; 1 part in 1 part of acetone; 1 part in 3 parts of glycerol</w:t>
              <w:br/>
              <w:t xml:space="preserve">• In 0.15M sodium chloride: 0.77 mg/L at 23 °C</w:t>
              <w:br/>
              <w:t xml:space="preserve">• Soluble in fixed oils</w:t>
              <w:br/>
              <w:t xml:space="preserve">• 2.63e-03 g/L</w:t>
              <w:br/>
              <w:t xml:space="preserve">• Essentially insoluble in water</w:t>
              <w:br/>
              <w:t xml:space="preserve">• 2.8 mg/L at 73 °F (NTP, 1992)</w:t>
              <w:br/>
              <w:t xml:space="preserve">• In water, 2.8 mg/L at 23 °C</w:t>
            </w:r>
          </w:p>
        </w:tc>
      </w:tr>
      <w:tr w:rsidR="27FD9B0B" w14:paraId="6B7E839E"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893595">
            <w:pPr>
              <w:ind w:left="-108" w:right="-29"/>
              <w:rPr>
                <w:sz w:val="20"/>
                <w:szCs w:val="20"/>
              </w:rPr>
            </w:pPr>
            <w:r w:rsidRPr="00055909">
              <w:rPr>
                <w:sz w:val="20"/>
                <w:szCs w:val="20"/>
              </w:rPr>
              <w:t xml:space="preserve">200 °C</w:t>
            </w:r>
            <w:r w:rsidR="27FD9B0B" w:rsidRPr="00055909">
              <w:rPr>
                <w:sz w:val="20"/>
                <w:szCs w:val="20"/>
                <w:lang w:val="en-US"/>
              </w:rPr>
              <w:t xml:space="preserve"> </w:t>
            </w:r>
          </w:p>
        </w:tc>
      </w:tr>
      <w:tr w:rsidR="27FD9B0B" w14:paraId="395046EB"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00893595">
            <w:pPr>
              <w:ind w:left="-108" w:right="-29"/>
              <w:rPr>
                <w:sz w:val="20"/>
                <w:szCs w:val="20"/>
              </w:rPr>
            </w:pPr>
            <w:r w:rsidRPr="00055909">
              <w:rPr>
                <w:sz w:val="20"/>
                <w:szCs w:val="20"/>
                <w:lang w:val="en-US"/>
              </w:rPr>
              <w:t xml:space="preserve">No validated evidence or specific data on multiple polymorphic forms are provided. Current literature does not indicate the presence of distinct polymorphs for dronabinol under the examined conditions.</w:t>
            </w:r>
          </w:p>
        </w:tc>
      </w:tr>
      <w:tr w:rsidR="27FD9B0B" w14:paraId="03821FA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lastRenderedPageBreak/>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00893595">
            <w:pPr>
              <w:ind w:left="-108" w:right="-29"/>
              <w:rPr>
                <w:sz w:val="20"/>
                <w:szCs w:val="20"/>
              </w:rPr>
            </w:pPr>
            <w:r w:rsidRPr="00055909">
              <w:rPr>
                <w:sz w:val="20"/>
                <w:szCs w:val="20"/>
                <w:lang w:val="en-US"/>
              </w:rPr>
              <w:t xml:space="preserve"/>
            </w:r>
          </w:p>
        </w:tc>
      </w:tr>
      <w:tr w:rsidR="27FD9B0B" w14:paraId="7FBB8B8A"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A7D4277" w:rsidR="27FD9B0B" w:rsidRPr="00055909" w:rsidRDefault="27FD9B0B" w:rsidP="00893595">
            <w:pPr>
              <w:ind w:left="-108" w:right="-29"/>
              <w:rPr>
                <w:sz w:val="20"/>
                <w:szCs w:val="20"/>
              </w:rPr>
            </w:pPr>
            <w:r w:rsidRPr="00055909">
              <w:rPr>
                <w:sz w:val="20"/>
                <w:szCs w:val="20"/>
              </w:rPr>
              <w:t xml:space="preserve">Dronabinol is susceptible to oxidative degradation, notably the conversion of Δ9-THC into cannabinol. Formulation in high-grade sesame oil combined with encapsulation in foil-sealed blister packs efficiently inhibits this oxidative process by minimizing exposure to oxygen and light. [Semantic Scholar](https://api.semanticscholar.org/CorpusID:22008929) | [PubMed](https://pubmed.ncbi.nlm.nih.gov/27385703/)</w:t>
            </w:r>
          </w:p>
        </w:tc>
      </w:tr>
      <w:tr w:rsidR="27FD9B0B" w14:paraId="35F2CD9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893595">
            <w:pPr>
              <w:ind w:left="-108" w:right="-29"/>
              <w:rPr>
                <w:sz w:val="20"/>
                <w:szCs w:val="20"/>
              </w:rPr>
            </w:pPr>
            <w:r w:rsidRPr="00055909">
              <w:rPr>
                <w:sz w:val="20"/>
                <w:szCs w:val="20"/>
              </w:rPr>
              <w:t xml:space="preserve">Stability studies have demonstrated that dronabinol capsules maintain greater than 97% of their initial Δ9-THC concentration over a three-month period under various storage conditions (frozen, refrigerated, or room temperature). The use of sesame oil with appropriate packaging provides an effective barrier to oxidative degradation, supporting storage at room temperature for up to 90 days post refrigeration. [Semantic Scholar](https://api.semanticscholar.org/CorpusID:22008929) | [PubMed](https://pubmed.ncbi.nlm.nih.gov/27385703/)</w:t>
            </w:r>
            <w:r w:rsidRPr="00055909">
              <w:rPr>
                <w:sz w:val="20"/>
                <w:szCs w:val="20"/>
                <w:lang w:val="en-US"/>
              </w:rPr>
              <w:t xml:space="preserve"> </w:t>
            </w:r>
          </w:p>
        </w:tc>
      </w:tr>
      <w:tr w:rsidR="27FD9B0B" w14:paraId="13CA9EB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00893595">
            <w:pPr>
              <w:ind w:left="-108" w:right="-29"/>
              <w:rPr>
                <w:sz w:val="20"/>
                <w:szCs w:val="20"/>
                <w:lang w:val="en-US"/>
              </w:rPr>
            </w:pPr>
            <w:r w:rsidRPr="00055909">
              <w:rPr>
                <w:sz w:val="20"/>
                <w:szCs w:val="20"/>
                <w:lang w:val="en-US"/>
              </w:rPr>
              <w:t xml:space="preserve">No significant impurities have been reported. The primary concern is the oxidative conversion of dronabinol to cannabinol; however, controlled packaging and the use of sesame oil as a stabilizing matrix ensure that impurity levels remain within acceptable limits.</w:t>
            </w:r>
          </w:p>
        </w:tc>
      </w:tr>
      <w:tr w:rsidR="27FD9B0B" w14:paraId="440C67C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00893595">
            <w:pPr>
              <w:ind w:left="-108" w:right="-29"/>
              <w:rPr>
                <w:sz w:val="20"/>
                <w:szCs w:val="20"/>
              </w:rPr>
            </w:pPr>
            <w:r w:rsidRPr="00055909">
              <w:rPr>
                <w:sz w:val="20"/>
                <w:szCs w:val="20"/>
              </w:rPr>
              <w:t xml:space="preserve">Based on its high logP (6.97) and extremely low water solubility (approximately 2.8 mg/L), dronabinol is classified as a Biopharmaceutical Classification System (BCS) Class II drug. This indicates high membrane permeability but poor aqueous solubility, necessitating specialized formulation strategies. [Semantic Scholar](https://api.semanticscholar.org/CorpusID:22008929)</w:t>
            </w:r>
          </w:p>
        </w:tc>
      </w:tr>
      <w:tr w:rsidR="27FD9B0B" w14:paraId="766D654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00893595">
            <w:pPr>
              <w:ind w:left="-108" w:right="-29"/>
              <w:rPr>
                <w:sz w:val="20"/>
                <w:szCs w:val="20"/>
              </w:rPr>
            </w:pPr>
            <w:r w:rsidRPr="00055909">
              <w:rPr>
                <w:sz w:val="20"/>
                <w:szCs w:val="20"/>
                <w:lang w:val="en-US"/>
              </w:rPr>
              <w:t xml:space="preserve"> </w:t>
            </w:r>
          </w:p>
        </w:tc>
      </w:tr>
      <w:tr w:rsidR="27FD9B0B" w14:paraId="6B498DB2"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bookmarkStart w:id="0" w:name="_GoBack" w:colFirst="1" w:colLast="1"/>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52213D62" w:rsidR="27FD9B0B" w:rsidRPr="00055909" w:rsidRDefault="27FD9B0B" w:rsidP="00893595">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Dronabinol</w:t>
            </w:r>
          </w:p>
          <w:p w14:paraId="11BC986D" w14:textId="24FD221E" w:rsidR="27FD9B0B" w:rsidRPr="00055909" w:rsidRDefault="27FD9B0B" w:rsidP="00893595">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20F131AA" w14:textId="0B37CF04" w:rsidR="27FD9B0B" w:rsidRPr="00055909" w:rsidRDefault="27FD9B0B" w:rsidP="00893595">
            <w:pPr>
              <w:ind w:left="-108" w:right="-29"/>
              <w:rPr>
                <w:sz w:val="20"/>
                <w:szCs w:val="20"/>
              </w:rPr>
            </w:pPr>
            <w:r w:rsidRPr="00055909">
              <w:rPr>
                <w:b/>
                <w:bCs/>
                <w:sz w:val="20"/>
                <w:szCs w:val="20"/>
                <w:lang w:val="en-US"/>
              </w:rPr>
              <w:t xml:space="preserve">Structure: </w:t>
            </w:r>
          </w:p>
          <w:p w14:paraId="3C716337" w14:textId="701245D0" w:rsidR="27FD9B0B" w:rsidRPr="00055909" w:rsidRDefault="27FD9B0B" w:rsidP="00893595">
            <w:pPr>
              <w:ind w:left="-108" w:right="-29"/>
              <w:rPr>
                <w:sz w:val="20"/>
                <w:szCs w:val="20"/>
                <w:lang w:val="es-CO"/>
              </w:rPr>
            </w:pPr>
            <w:r w:rsidRPr="00055909">
              <w:rPr>
                <w:b/>
                <w:bCs/>
                <w:sz w:val="20"/>
                <w:szCs w:val="20"/>
                <w:lang w:val="es-CO"/>
              </w:rPr>
              <w:t xml:space="preserve">Molecular formula:</w:t>
            </w:r>
            <w:r w:rsidRPr="00055909">
              <w:rPr>
                <w:sz w:val="20"/>
                <w:szCs w:val="20"/>
                <w:lang w:val="es-CO"/>
              </w:rPr>
              <w:t xml:space="preserve"> </w:t>
            </w:r>
            <w:proofErr w:type="gramStart"/>
            <w:r w:rsidRPr="00055909">
              <w:rPr>
                <w:sz w:val="20"/>
                <w:szCs w:val="20"/>
                <w:lang w:val="es-CO"/>
              </w:rPr>
              <w:t xml:space="preserve">C21H30O2</w:t>
            </w:r>
          </w:p>
          <w:p w14:paraId="767FCAAA" w14:textId="1764C565" w:rsidR="27FD9B0B" w:rsidRPr="00055909" w:rsidRDefault="27FD9B0B" w:rsidP="0089359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36B67FA8" w14:textId="5F823FD8" w:rsidR="27FD9B0B" w:rsidRPr="00055909" w:rsidRDefault="27FD9B0B" w:rsidP="00893595">
            <w:pPr>
              <w:ind w:left="-108" w:right="-29"/>
              <w:rPr>
                <w:sz w:val="20"/>
                <w:szCs w:val="20"/>
              </w:rPr>
            </w:pPr>
            <w:r w:rsidRPr="00055909">
              <w:rPr>
                <w:b/>
                <w:bCs/>
                <w:sz w:val="20"/>
                <w:szCs w:val="20"/>
              </w:rPr>
              <w:t>Type of substance:</w:t>
            </w:r>
            <w:r w:rsidRPr="00055909">
              <w:rPr>
                <w:sz w:val="20"/>
                <w:szCs w:val="20"/>
              </w:rPr>
              <w:t xml:space="preserve"> </w:t>
            </w:r>
          </w:p>
          <w:p w14:paraId="62BD63C1" w14:textId="08F2C0B3" w:rsidR="27FD9B0B" w:rsidRPr="00055909" w:rsidRDefault="27FD9B0B" w:rsidP="00893595">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
            </w:r>
          </w:p>
          <w:p w14:paraId="77A4A6B1" w14:textId="722783B6" w:rsidR="27FD9B0B" w:rsidRPr="00055909" w:rsidRDefault="27FD9B0B" w:rsidP="00893595">
            <w:pPr>
              <w:ind w:left="-108" w:right="-29"/>
              <w:rPr>
                <w:sz w:val="20"/>
                <w:szCs w:val="20"/>
              </w:rPr>
            </w:pPr>
            <w:r w:rsidRPr="00055909">
              <w:rPr>
                <w:b/>
                <w:bCs/>
                <w:sz w:val="20"/>
                <w:szCs w:val="20"/>
              </w:rPr>
              <w:t xml:space="preserve">Partition coefficient:</w:t>
            </w:r>
            <w:r w:rsidRPr="00055909">
              <w:rPr>
                <w:sz w:val="20"/>
                <w:szCs w:val="20"/>
              </w:rPr>
              <w:t xml:space="preserve"> 6.97</w:t>
            </w:r>
          </w:p>
          <w:p w14:paraId="65E2F56C" w14:textId="222EBAA7" w:rsidR="27FD9B0B" w:rsidRPr="00055909" w:rsidRDefault="27FD9B0B" w:rsidP="00893595">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No explicit quantitative measures of hygroscopicity were provided. There is no experimental evidence available regarding moisture uptake under varying humidity and temperature conditions. [NTP, 1992]</w:t>
            </w:r>
          </w:p>
          <w:p w14:paraId="767F5ED5" w14:textId="49A23D9B" w:rsidR="27FD9B0B" w:rsidRPr="00055909" w:rsidRDefault="27FD9B0B" w:rsidP="00893595">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Dronabinol’s stereochemistry is defined by the (6aR,10aR) configuration, which is critical for its pharmacological activity. Although specific optical rotation values were not provided, routine quality control is recommended using optical rotation and chiral chromatography to ensure enantiomeric purity. [USP Optical Rotation Document](https://rudolphresearch.com/wp-content/uploads/2023/04/Official-USP-781-Optical-Rotation-Dec-1st-2022.pdf)</w:t>
            </w:r>
          </w:p>
          <w:p w14:paraId="374ED950" w14:textId="44C7AF5E" w:rsidR="27FD9B0B" w:rsidRPr="00055909" w:rsidRDefault="27FD9B0B" w:rsidP="00893595">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No specific temperature threshold for degradation was provided aside from its general stability under the studied conditions.</w:t>
            </w:r>
          </w:p>
          <w:p w14:paraId="749E79F7" w14:textId="60B32DAA" w:rsidR="27FD9B0B" w:rsidRPr="00055909" w:rsidRDefault="27FD9B0B" w:rsidP="00893595">
            <w:pPr>
              <w:ind w:left="-108" w:right="-29"/>
              <w:rPr>
                <w:sz w:val="20"/>
                <w:szCs w:val="20"/>
              </w:rPr>
            </w:pPr>
            <w:r w:rsidRPr="00055909">
              <w:rPr>
                <w:sz w:val="20"/>
                <w:szCs w:val="20"/>
                <w:lang w:val="en-US"/>
              </w:rPr>
              <w:t xml:space="preserve"/>
            </w:r>
          </w:p>
          <w:p w14:paraId="57F3B2DE" w14:textId="59EC67BA" w:rsidR="27FD9B0B" w:rsidRPr="00055909" w:rsidRDefault="27FD9B0B" w:rsidP="00893595">
            <w:pPr>
              <w:ind w:left="-108" w:right="-29"/>
              <w:rPr>
                <w:sz w:val="20"/>
                <w:szCs w:val="20"/>
              </w:rPr>
            </w:pPr>
            <w:r w:rsidRPr="00055909">
              <w:rPr>
                <w:b/>
                <w:bCs/>
                <w:sz w:val="20"/>
                <w:szCs w:val="20"/>
              </w:rPr>
              <w:t xml:space="preserve">Boiling point:</w:t>
            </w:r>
            <w:r w:rsidRPr="00055909">
              <w:rPr>
                <w:sz w:val="20"/>
                <w:szCs w:val="20"/>
              </w:rPr>
              <w:t xml:space="preserve"> 200 °C at 0.02 mm Hg</w:t>
            </w:r>
          </w:p>
        </w:tc>
      </w:tr>
    </w:tbl>
    <w:bookmarkEnd w:id="0"/>
    <w:p w14:paraId="76D2583F" w14:textId="6C3135F7" w:rsidR="00271F9C" w:rsidRDefault="4F1753C3"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296F1118">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00893595">
            <w:pPr>
              <w:ind w:left="-108" w:right="-29"/>
              <w:rPr>
                <w:sz w:val="20"/>
                <w:szCs w:val="20"/>
              </w:rPr>
            </w:pPr>
            <w:r w:rsidRPr="00055909">
              <w:rPr>
                <w:sz w:val="20"/>
                <w:szCs w:val="20"/>
              </w:rPr>
              <w:t xml:space="preserve">Acetazolamide</w:t>
            </w:r>
          </w:p>
        </w:tc>
      </w:tr>
      <w:tr w:rsidR="27FD9B0B" w14:paraId="5C122607"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893595">
            <w:pPr>
              <w:ind w:left="-108" w:right="-29"/>
              <w:rPr>
                <w:sz w:val="20"/>
                <w:szCs w:val="20"/>
              </w:rPr>
            </w:pPr>
            <w:r w:rsidRPr="00055909">
              <w:rPr>
                <w:sz w:val="20"/>
                <w:szCs w:val="20"/>
              </w:rPr>
              <w:t xml:space="preserve">59-66-5</w:t>
            </w:r>
          </w:p>
        </w:tc>
      </w:tr>
      <w:tr w:rsidR="27FD9B0B" w14:paraId="030092B6"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893595">
            <w:pPr>
              <w:ind w:left="-108" w:right="-29"/>
              <w:rPr>
                <w:sz w:val="20"/>
                <w:szCs w:val="20"/>
              </w:rPr>
            </w:pPr>
            <w:r w:rsidRPr="00055909">
              <w:rPr>
                <w:sz w:val="20"/>
                <w:szCs w:val="20"/>
              </w:rPr>
              <w:t xml:space="preserve">• White to yellowish‐white fine crystalline powder</w:t>
              <w:br/>
              <w:t xml:space="preserve">• No perceptible odor or taste</w:t>
              <w:br/>
              <w:t xml:space="preserve">• Solid form with high melting point accompanied by effervescence on fusion</w:t>
            </w:r>
          </w:p>
        </w:tc>
      </w:tr>
      <w:tr w:rsidR="27FD9B0B" w14:paraId="2768F4F1"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893595">
            <w:pPr>
              <w:ind w:left="-108" w:right="-29"/>
              <w:rPr>
                <w:sz w:val="20"/>
                <w:szCs w:val="20"/>
                <w:lang w:val="en-US"/>
              </w:rPr>
            </w:pPr>
            <w:r w:rsidRPr="00055909">
              <w:rPr>
                <w:sz w:val="20"/>
                <w:szCs w:val="20"/>
              </w:rPr>
              <w:t xml:space="preserve">• &gt;33.3 µg/mL at pH 7.4</w:t>
              <w:br/>
              <w:t xml:space="preserve">• Slightly soluble in alcohol</w:t>
              <w:br/>
              <w:t xml:space="preserve">• Aqueous solubility of 980 mg/L at 30 °C</w:t>
              <w:br/>
              <w:t xml:space="preserve">• Sparingly soluble in cold water (2.79 g/L)</w:t>
              <w:br/>
              <w:t xml:space="preserve">• Readily soluble in 1 N sodium carbonate solution</w:t>
              <w:br/>
              <w:t xml:space="preserve">• Insoluble in chloroform, diethyl ether, carbon tetrachloride</w:t>
              <w:br/>
              <w:t xml:space="preserve">• Slightly soluble in acetone</w:t>
              <w:br/>
              <w:t xml:space="preserve">• Less than 1 mg/mL at 72 °F (NTP, 1992)</w:t>
            </w:r>
          </w:p>
        </w:tc>
      </w:tr>
      <w:tr w:rsidR="27FD9B0B" w14:paraId="6B7E839E"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893595">
            <w:pPr>
              <w:ind w:left="-108" w:right="-29"/>
              <w:rPr>
                <w:sz w:val="20"/>
                <w:szCs w:val="20"/>
              </w:rPr>
            </w:pPr>
            <w:r w:rsidRPr="00055909">
              <w:rPr>
                <w:sz w:val="20"/>
                <w:szCs w:val="20"/>
              </w:rPr>
              <w:t xml:space="preserve">258–259 °C with effervescence on melting</w:t>
            </w:r>
            <w:r w:rsidR="27FD9B0B" w:rsidRPr="00055909">
              <w:rPr>
                <w:sz w:val="20"/>
                <w:szCs w:val="20"/>
                <w:lang w:val="en-US"/>
              </w:rPr>
              <w:t xml:space="preserve"> </w:t>
            </w:r>
          </w:p>
        </w:tc>
      </w:tr>
      <w:tr w:rsidR="27FD9B0B" w14:paraId="395046EB"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00893595">
            <w:pPr>
              <w:ind w:left="-108" w:right="-29"/>
              <w:rPr>
                <w:sz w:val="20"/>
                <w:szCs w:val="20"/>
              </w:rPr>
            </w:pPr>
            <w:r w:rsidRPr="00055909">
              <w:rPr>
                <w:sz w:val="20"/>
                <w:szCs w:val="20"/>
                <w:lang w:val="en-US"/>
              </w:rPr>
              <w:t xml:space="preserve">Acetazolamide exhibits at least two distinct polymorphic forms: a thermodynamically stable Form I and a metastable, kinetically favored Form II. Detailed X‐ray diffraction and charge density studies indicate differences in molecular conformation, notably in the orientation of the sulphonamide moiety with S–N bond lengths of approximately 1.60 Å in Form I compared to 1.58 Å in Form II, as well as variations in the geometry of the NH2 group and hydrogen‐bonding patterns. Crystallization conditions influence the form obtained, with rapid cooling favoring Form I and controlled cooling yielding Form II. [ResearchGate Article](https://www.researchgate.net/publication/299354979_Acetazolamide_polymorphism_A_case_of_hybridization_induced_polymorphism)</w:t>
            </w:r>
          </w:p>
        </w:tc>
      </w:tr>
      <w:tr w:rsidR="27FD9B0B" w14:paraId="03821FA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lastRenderedPageBreak/>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00893595">
            <w:pPr>
              <w:ind w:left="-108" w:right="-29"/>
              <w:rPr>
                <w:sz w:val="20"/>
                <w:szCs w:val="20"/>
              </w:rPr>
            </w:pPr>
            <w:r w:rsidRPr="00055909">
              <w:rPr>
                <w:sz w:val="20"/>
                <w:szCs w:val="20"/>
                <w:lang w:val="en-US"/>
              </w:rPr>
              <w:t xml:space="preserve"/>
            </w:r>
          </w:p>
        </w:tc>
      </w:tr>
      <w:tr w:rsidR="27FD9B0B" w14:paraId="7FBB8B8A"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A7D4277" w:rsidR="27FD9B0B" w:rsidRPr="00055909" w:rsidRDefault="27FD9B0B" w:rsidP="00893595">
            <w:pPr>
              <w:ind w:left="-108" w:right="-29"/>
              <w:rPr>
                <w:sz w:val="20"/>
                <w:szCs w:val="20"/>
              </w:rPr>
            </w:pPr>
            <w:r w:rsidRPr="00055909">
              <w:rPr>
                <w:sz w:val="20"/>
                <w:szCs w:val="20"/>
              </w:rPr>
              <w:t xml:space="preserve">Forced degradation studies subjected acetazolamide to acidic, alkaline, oxidative, thermal, and photolytic stresses. Significant degradation was observed under acid and base hydrolysis with chromatographic analysis (stability-indicating HPLC-UV) detecting a major degradant at a relative retention time of approximately 0.29, as confirmed by LC–MS, FTIR, and NMR. The primary degradation pathway involves hydrolysis under extreme pH conditions, while the compound remains comparatively stable to heat and light. [ScienceDirect Article](https://www.sciencedirect.com/science/article/pii/S0731708509007377)</w:t>
            </w:r>
          </w:p>
        </w:tc>
      </w:tr>
      <w:tr w:rsidR="27FD9B0B" w14:paraId="35F2CD9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893595">
            <w:pPr>
              <w:ind w:left="-108" w:right="-29"/>
              <w:rPr>
                <w:sz w:val="20"/>
                <w:szCs w:val="20"/>
              </w:rPr>
            </w:pPr>
            <w:r w:rsidRPr="00055909">
              <w:rPr>
                <w:sz w:val="20"/>
                <w:szCs w:val="20"/>
              </w:rPr>
              <w:t xml:space="preserve">Stability studies on extemporaneously compounded oral suspensions (25 mg/mL) in vehicles such as Oral Mix and Oral Mix SF, stored in amber plastic bottles or clear syringes at room temperature and under refrigeration, showed assay values ranging between 91.2% and 105.0% over a 90-day period with pH fluctuations within 0.1 unit. These results validate the reliability of stability-indicating HPLC methods in separating acetazolamide from its degradation products. [PMC Article](https://www.ncbi.nlm.nih.gov/pmc/articles/PMC7671011/)</w:t>
            </w:r>
            <w:r w:rsidRPr="00055909">
              <w:rPr>
                <w:sz w:val="20"/>
                <w:szCs w:val="20"/>
                <w:lang w:val="en-US"/>
              </w:rPr>
              <w:t xml:space="preserve"> </w:t>
            </w:r>
          </w:p>
        </w:tc>
      </w:tr>
      <w:tr w:rsidR="27FD9B0B" w14:paraId="13CA9EB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00893595">
            <w:pPr>
              <w:ind w:left="-108" w:right="-29"/>
              <w:rPr>
                <w:sz w:val="20"/>
                <w:szCs w:val="20"/>
                <w:lang w:val="en-US"/>
              </w:rPr>
            </w:pPr>
            <w:r w:rsidRPr="00055909">
              <w:rPr>
                <w:sz w:val="20"/>
                <w:szCs w:val="20"/>
                <w:lang w:val="en-US"/>
              </w:rPr>
              <w:t xml:space="preserve">Comprehensive impurity profiling has identified several impurities: </w:t>
              <w:br/>
              <w:t xml:space="preserve">• Impurity A: N-(5-Chloro-1,3,4-thiadiazol-2-yl)acetamide (CAS 60320-32-3; Molecular Formula: C4H4ClN3OS; Molecular Weight: 177.61 g/mol)</w:t>
              <w:br/>
              <w:t xml:space="preserve">• Impurity B: N-1,3,4-Thiadiazol-2-ylacetamide (CAS 5393-55-5; Molecular Formula: C4H5N3OS; Molecular Weight: 143.17 g/mol)</w:t>
              <w:br/>
              <w:t xml:space="preserve">• Impurity C: N-(5-Mercapto-1,3,4-thiadiazol-2-yl)acetamide (CAS 32873-56-6; Molecular Formula: C4H5N3OS2; Molecular Weight: 175.23 g/mol)</w:t>
              <w:br/>
              <w:t xml:space="preserve">• Impurity D (Freebase): 5-Amino-1,3,4-thiadiazole-2-sulfonamide (CAS 14949-00-9; Molecular Formula: C2H4N4O2S2; Molecular Weight: 180.21 g/mol)</w:t>
              <w:br/>
              <w:t xml:space="preserve">• Impurity E (Freebase): 5-Acetamido-1,3,4-thiadiazole-2-sulfonic acid (CAS 827026-60-8; Molecular Formula: C4H5N3O4S2; Molecular Weight: 223.23 g/mol)</w:t>
              <w:br/>
              <w:t xml:space="preserve">Additional impurities and deuterated standards are documented. [Pharmaffiliates](https://www.pharmaffiliates.com/en/parentapi/acetazolamide-impurities)</w:t>
            </w:r>
          </w:p>
        </w:tc>
      </w:tr>
      <w:tr w:rsidR="27FD9B0B" w14:paraId="440C67C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00893595">
            <w:pPr>
              <w:ind w:left="-108" w:right="-29"/>
              <w:rPr>
                <w:sz w:val="20"/>
                <w:szCs w:val="20"/>
              </w:rPr>
            </w:pPr>
            <w:r w:rsidRPr="00055909">
              <w:rPr>
                <w:sz w:val="20"/>
                <w:szCs w:val="20"/>
              </w:rPr>
              <w:t xml:space="preserve">Acetazolamide is rapidly absorbed following oral administration with peak plasma concentrations within 1–3 hours; however, permeability studies using Caco-2 cells have reported very low apparent permeability (approximately 0.2 × 10⁻⁶ cm/s). Variability in calculated log P values complicates a definitive assignment within the Biopharmaceutics Classification System, and conservative regulatory evaluations have indicated that a biowaiver is not justified. [FIP Document](https://www.fip.org/files/fip/BPS/BCS/Monographs/Acetazolamide.pdf)</w:t>
            </w:r>
          </w:p>
        </w:tc>
      </w:tr>
      <w:tr w:rsidR="27FD9B0B" w14:paraId="766D654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00893595">
            <w:pPr>
              <w:ind w:left="-108" w:right="-29"/>
              <w:rPr>
                <w:sz w:val="20"/>
                <w:szCs w:val="20"/>
              </w:rPr>
            </w:pPr>
            <w:r w:rsidRPr="00055909">
              <w:rPr>
                <w:sz w:val="20"/>
                <w:szCs w:val="20"/>
                <w:lang w:val="en-US"/>
              </w:rPr>
              <w:t xml:space="preserve"> </w:t>
            </w:r>
          </w:p>
        </w:tc>
      </w:tr>
      <w:tr w:rsidR="27FD9B0B" w14:paraId="6B498DB2"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bookmarkStart w:id="0" w:name="_GoBack" w:colFirst="1" w:colLast="1"/>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52213D62" w:rsidR="27FD9B0B" w:rsidRPr="00055909" w:rsidRDefault="27FD9B0B" w:rsidP="00893595">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Acetazolamide</w:t>
            </w:r>
          </w:p>
          <w:p w14:paraId="11BC986D" w14:textId="24FD221E" w:rsidR="27FD9B0B" w:rsidRPr="00055909" w:rsidRDefault="27FD9B0B" w:rsidP="00893595">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20F131AA" w14:textId="0B37CF04" w:rsidR="27FD9B0B" w:rsidRPr="00055909" w:rsidRDefault="27FD9B0B" w:rsidP="00893595">
            <w:pPr>
              <w:ind w:left="-108" w:right="-29"/>
              <w:rPr>
                <w:sz w:val="20"/>
                <w:szCs w:val="20"/>
              </w:rPr>
            </w:pPr>
            <w:r w:rsidRPr="00055909">
              <w:rPr>
                <w:b/>
                <w:bCs/>
                <w:sz w:val="20"/>
                <w:szCs w:val="20"/>
                <w:lang w:val="en-US"/>
              </w:rPr>
              <w:t xml:space="preserve">Structure: </w:t>
            </w:r>
          </w:p>
          <w:p w14:paraId="3C716337" w14:textId="701245D0" w:rsidR="27FD9B0B" w:rsidRPr="00055909" w:rsidRDefault="27FD9B0B" w:rsidP="00893595">
            <w:pPr>
              <w:ind w:left="-108" w:right="-29"/>
              <w:rPr>
                <w:sz w:val="20"/>
                <w:szCs w:val="20"/>
                <w:lang w:val="es-CO"/>
              </w:rPr>
            </w:pPr>
            <w:r w:rsidRPr="00055909">
              <w:rPr>
                <w:b/>
                <w:bCs/>
                <w:sz w:val="20"/>
                <w:szCs w:val="20"/>
                <w:lang w:val="es-CO"/>
              </w:rPr>
              <w:t xml:space="preserve">Molecular formula:</w:t>
            </w:r>
            <w:r w:rsidRPr="00055909">
              <w:rPr>
                <w:sz w:val="20"/>
                <w:szCs w:val="20"/>
                <w:lang w:val="es-CO"/>
              </w:rPr>
              <w:t xml:space="preserve"> </w:t>
            </w:r>
            <w:proofErr w:type="gramStart"/>
            <w:r w:rsidRPr="00055909">
              <w:rPr>
                <w:sz w:val="20"/>
                <w:szCs w:val="20"/>
                <w:lang w:val="es-CO"/>
              </w:rPr>
              <w:t xml:space="preserve">C4H6N4O3S2</w:t>
            </w:r>
          </w:p>
          <w:p w14:paraId="767FCAAA" w14:textId="1764C565" w:rsidR="27FD9B0B" w:rsidRPr="00055909" w:rsidRDefault="27FD9B0B" w:rsidP="0089359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222.3</w:t>
            </w:r>
          </w:p>
          <w:p w14:paraId="36B67FA8" w14:textId="5F823FD8" w:rsidR="27FD9B0B" w:rsidRPr="00055909" w:rsidRDefault="27FD9B0B" w:rsidP="00893595">
            <w:pPr>
              <w:ind w:left="-108" w:right="-29"/>
              <w:rPr>
                <w:sz w:val="20"/>
                <w:szCs w:val="20"/>
              </w:rPr>
            </w:pPr>
            <w:r w:rsidRPr="00055909">
              <w:rPr>
                <w:b/>
                <w:bCs/>
                <w:sz w:val="20"/>
                <w:szCs w:val="20"/>
              </w:rPr>
              <w:t>Type of substance:</w:t>
            </w:r>
            <w:r w:rsidRPr="00055909">
              <w:rPr>
                <w:sz w:val="20"/>
                <w:szCs w:val="20"/>
              </w:rPr>
              <w:t xml:space="preserve"> </w:t>
            </w:r>
          </w:p>
          <w:p w14:paraId="62BD63C1" w14:textId="08F2C0B3" w:rsidR="27FD9B0B" w:rsidRPr="00055909" w:rsidRDefault="27FD9B0B" w:rsidP="00893595">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
            </w:r>
          </w:p>
          <w:p w14:paraId="77A4A6B1" w14:textId="722783B6" w:rsidR="27FD9B0B" w:rsidRPr="00055909" w:rsidRDefault="27FD9B0B" w:rsidP="00893595">
            <w:pPr>
              <w:ind w:left="-108" w:right="-29"/>
              <w:rPr>
                <w:sz w:val="20"/>
                <w:szCs w:val="20"/>
              </w:rPr>
            </w:pPr>
            <w:r w:rsidRPr="00055909">
              <w:rPr>
                <w:b/>
                <w:bCs/>
                <w:sz w:val="20"/>
                <w:szCs w:val="20"/>
              </w:rPr>
              <w:t xml:space="preserve">Partition coefficient:</w:t>
            </w:r>
            <w:r w:rsidRPr="00055909">
              <w:rPr>
                <w:sz w:val="20"/>
                <w:szCs w:val="20"/>
              </w:rPr>
              <w:t xml:space="preserve"> Información no disponible</w:t>
            </w:r>
          </w:p>
          <w:p w14:paraId="65E2F56C" w14:textId="222EBAA7" w:rsidR="27FD9B0B" w:rsidRPr="00055909" w:rsidRDefault="27FD9B0B" w:rsidP="00893595">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No specific experimental data on hygroscopicity are provided in the available evidence.</w:t>
            </w:r>
          </w:p>
          <w:p w14:paraId="767F5ED5" w14:textId="49A23D9B" w:rsidR="27FD9B0B" w:rsidRPr="00055909" w:rsidRDefault="27FD9B0B" w:rsidP="00893595">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Acetazolamide does not exhibit stereoisomerism and there is no reported specific optical rotation.</w:t>
            </w:r>
          </w:p>
          <w:p w14:paraId="374ED950" w14:textId="44C7AF5E" w:rsidR="27FD9B0B" w:rsidRPr="00055909" w:rsidRDefault="27FD9B0B" w:rsidP="00893595">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Although precise degradation temperatures beyond the melting point are not explicitly provided, the compound’s degradation appears to onset in conjunction with its melting at 258–259 °C accompanied by effervescence.</w:t>
            </w:r>
          </w:p>
          <w:p w14:paraId="749E79F7" w14:textId="60B32DAA" w:rsidR="27FD9B0B" w:rsidRPr="00055909" w:rsidRDefault="27FD9B0B" w:rsidP="00893595">
            <w:pPr>
              <w:ind w:left="-108" w:right="-29"/>
              <w:rPr>
                <w:sz w:val="20"/>
                <w:szCs w:val="20"/>
              </w:rPr>
            </w:pPr>
            <w:r w:rsidRPr="00055909">
              <w:rPr>
                <w:sz w:val="20"/>
                <w:szCs w:val="20"/>
                <w:lang w:val="en-US"/>
              </w:rPr>
              <w:t xml:space="preserve">Información no disponible</w:t>
            </w:r>
          </w:p>
          <w:p w14:paraId="57F3B2DE" w14:textId="59EC67BA" w:rsidR="27FD9B0B" w:rsidRPr="00055909" w:rsidRDefault="27FD9B0B" w:rsidP="00893595">
            <w:pPr>
              <w:ind w:left="-108" w:right="-29"/>
              <w:rPr>
                <w:sz w:val="20"/>
                <w:szCs w:val="20"/>
              </w:rPr>
            </w:pPr>
            <w:r w:rsidRPr="00055909">
              <w:rPr>
                <w:b/>
                <w:bCs/>
                <w:sz w:val="20"/>
                <w:szCs w:val="20"/>
              </w:rPr>
              <w:t xml:space="preserve">Boiling point:</w:t>
            </w:r>
            <w:r w:rsidRPr="00055909">
              <w:rPr>
                <w:sz w:val="20"/>
                <w:szCs w:val="20"/>
              </w:rPr>
              <w:t xml:space="preserve"> Información no disponible</w:t>
            </w:r>
          </w:p>
        </w:tc>
      </w:tr>
    </w:tbl>
    <w:bookmarkEnd w:id="0"/>
    <w:p w14:paraId="76D2583F" w14:textId="6C3135F7" w:rsidR="00271F9C" w:rsidRDefault="4F1753C3" w:rsidP="00990997">
      <w:pPr>
        <w:rPr>
          <w:sz w:val="20"/>
          <w:szCs w:val="20"/>
          <w:lang w:val="en-US"/>
        </w:rPr>
      </w:pPr>
      <w:r w:rsidRPr="296F1118">
        <w:rPr>
          <w:sz w:val="20"/>
          <w:szCs w:val="20"/>
          <w:lang w:val="en-US"/>
        </w:rPr>
        <w:t xml:space="preserve"/>
      </w:r>
    </w:p>
    <w:p w14:paraId="5FD46460" w14:textId="77777777" w:rsidR="00271F9C" w:rsidRDefault="00271F9C"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4B51B5">
            <w:pPr>
              <w:pStyle w:val="Prrafodelista"/>
              <w:numPr>
                <w:ilvl w:val="0"/>
                <w:numId w:val="7"/>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4B51B5">
            <w:pPr>
              <w:pStyle w:val="Prrafodelista"/>
              <w:numPr>
                <w:ilvl w:val="0"/>
                <w:numId w:val="7"/>
              </w:numPr>
              <w:ind w:right="-29"/>
              <w:rPr>
                <w:b/>
                <w:sz w:val="20"/>
                <w:szCs w:val="20"/>
                <w:lang w:val="en-US"/>
              </w:rPr>
            </w:pPr>
            <w:r w:rsidRPr="00161EAF">
              <w:rPr>
                <w:b/>
                <w:sz w:val="20"/>
                <w:szCs w:val="20"/>
                <w:lang w:val="en-US"/>
              </w:rPr>
              <w:t>RELATED DOCUMENTS</w:t>
            </w:r>
          </w:p>
        </w:tc>
      </w:tr>
      <w:tr w:rsidR="00CB2C8E" w:rsidRPr="00161EAF" w14:paraId="60D9306A" w14:textId="77777777" w:rsidTr="00B1718F">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B1718F">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B1718F">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4B51B5">
            <w:pPr>
              <w:pStyle w:val="Prrafodelista"/>
              <w:numPr>
                <w:ilvl w:val="0"/>
                <w:numId w:val="7"/>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lastRenderedPageBreak/>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12"/>
      <w:footerReference w:type="even" r:id="rId13"/>
      <w:footerReference w:type="default" r:id="rId14"/>
      <w:headerReference w:type="first" r:id="rId15"/>
      <w:footerReference w:type="first" r:id="rId16"/>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D4579" w14:textId="77777777" w:rsidR="00E5383E" w:rsidRDefault="00E5383E">
      <w:r>
        <w:separator/>
      </w:r>
    </w:p>
  </w:endnote>
  <w:endnote w:type="continuationSeparator" w:id="0">
    <w:p w14:paraId="752F35E5" w14:textId="77777777" w:rsidR="00E5383E" w:rsidRDefault="00E5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Malgun Gothic"/>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BB430F" w:rsidRDefault="007C7914" w:rsidP="00FB7DDB">
    <w:pPr>
      <w:pStyle w:val="Piedepgina"/>
      <w:framePr w:wrap="around" w:vAnchor="text" w:hAnchor="margin" w:xAlign="right" w:y="1"/>
      <w:rPr>
        <w:rStyle w:val="Nmerodepgina"/>
      </w:rPr>
    </w:pPr>
    <w:r>
      <w:rPr>
        <w:rStyle w:val="Nmerodepgina"/>
      </w:rPr>
      <w:fldChar w:fldCharType="begin"/>
    </w:r>
    <w:r w:rsidR="00BB430F">
      <w:rPr>
        <w:rStyle w:val="Nmerodepgina"/>
      </w:rPr>
      <w:instrText xml:space="preserve">PAGE  </w:instrText>
    </w:r>
    <w:r>
      <w:rPr>
        <w:rStyle w:val="Nmerodepgina"/>
      </w:rPr>
      <w:fldChar w:fldCharType="separate"/>
    </w:r>
    <w:r w:rsidR="00BB430F">
      <w:rPr>
        <w:rStyle w:val="Nmerodepgina"/>
        <w:noProof/>
      </w:rPr>
      <w:t>6</w:t>
    </w:r>
    <w:r>
      <w:rPr>
        <w:rStyle w:val="Nmerodepgina"/>
      </w:rPr>
      <w:fldChar w:fldCharType="end"/>
    </w:r>
  </w:p>
  <w:p w14:paraId="300523A8" w14:textId="77777777" w:rsidR="00BB430F" w:rsidRDefault="00BB430F"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BB430F" w:rsidRDefault="00BB430F" w:rsidP="008E0FB9">
    <w:pPr>
      <w:pStyle w:val="Piedepgina"/>
      <w:framePr w:wrap="around" w:vAnchor="text" w:hAnchor="margin" w:xAlign="right" w:y="1"/>
      <w:jc w:val="right"/>
      <w:rPr>
        <w:rStyle w:val="Nmerodepgina"/>
        <w:rFonts w:ascii="Arial" w:hAnsi="Arial" w:cs="Arial"/>
        <w:sz w:val="20"/>
        <w:szCs w:val="20"/>
      </w:rPr>
    </w:pPr>
  </w:p>
  <w:p w14:paraId="725DE9CD" w14:textId="58403DAB" w:rsidR="003E2996" w:rsidRPr="003E2996" w:rsidRDefault="003E2996"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sidR="00DE7E85">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8A0DDF" w:rsidRPr="003E2996" w:rsidRDefault="008A0DDF" w:rsidP="008A0DDF">
    <w:pPr>
      <w:pStyle w:val="Piedepgina"/>
      <w:rPr>
        <w:rStyle w:val="Nmerodepgina"/>
        <w:rFonts w:ascii="Spranq eco sans" w:hAnsi="Spranq eco sans" w:cs="Arial"/>
        <w:sz w:val="16"/>
        <w:szCs w:val="16"/>
        <w:lang w:val="en-US"/>
      </w:rPr>
    </w:pPr>
  </w:p>
  <w:p w14:paraId="620D3B4E" w14:textId="77777777" w:rsidR="008A0DDF" w:rsidRPr="00333606" w:rsidRDefault="008A0DDF" w:rsidP="008A0DDF">
    <w:pPr>
      <w:pStyle w:val="Piedepgina"/>
      <w:jc w:val="right"/>
      <w:rPr>
        <w:rStyle w:val="Nmerodepgina"/>
        <w:sz w:val="16"/>
        <w:szCs w:val="16"/>
      </w:rPr>
    </w:pPr>
    <w:r w:rsidRPr="00333606">
      <w:rPr>
        <w:rStyle w:val="Nmerodepgina"/>
        <w:sz w:val="16"/>
        <w:szCs w:val="16"/>
      </w:rPr>
      <w:t>F-SOP-0872-2 V03</w:t>
    </w:r>
  </w:p>
  <w:p w14:paraId="300523AB" w14:textId="77777777" w:rsidR="00BB430F" w:rsidRDefault="00BB430F"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8A0DDF" w:rsidRPr="003E2996" w:rsidRDefault="003E2996" w:rsidP="008A0DDF">
    <w:pPr>
      <w:pStyle w:val="Piedepgina"/>
      <w:ind w:right="360"/>
      <w:jc w:val="center"/>
      <w:rPr>
        <w:color w:val="000000" w:themeColor="text1"/>
        <w:sz w:val="12"/>
        <w:szCs w:val="12"/>
        <w:lang w:val="en-US"/>
      </w:rPr>
    </w:pPr>
    <w:r w:rsidRPr="003E2996">
      <w:rPr>
        <w:color w:val="000000" w:themeColor="text1"/>
        <w:sz w:val="12"/>
        <w:szCs w:val="12"/>
        <w:lang w:val="en-US"/>
      </w:rPr>
      <w:t xml:space="preserve">THIS </w:t>
    </w:r>
    <w:r w:rsidR="00182814" w:rsidRPr="003E2996">
      <w:rPr>
        <w:color w:val="000000" w:themeColor="text1"/>
        <w:sz w:val="12"/>
        <w:szCs w:val="12"/>
        <w:lang w:val="en-US"/>
      </w:rPr>
      <w:t xml:space="preserve">DOCUMENT </w:t>
    </w:r>
    <w:r w:rsidRPr="003E2996">
      <w:rPr>
        <w:color w:val="000000" w:themeColor="text1"/>
        <w:sz w:val="12"/>
        <w:szCs w:val="12"/>
        <w:lang w:val="en-US"/>
      </w:rPr>
      <w:t>IS</w:t>
    </w:r>
    <w:r w:rsidR="00110D18">
      <w:rPr>
        <w:color w:val="000000" w:themeColor="text1"/>
        <w:sz w:val="12"/>
        <w:szCs w:val="12"/>
        <w:lang w:val="en-US"/>
      </w:rPr>
      <w:t xml:space="preserve"> THE</w:t>
    </w:r>
    <w:r w:rsidRPr="003E2996">
      <w:rPr>
        <w:color w:val="000000" w:themeColor="text1"/>
        <w:sz w:val="12"/>
        <w:szCs w:val="12"/>
        <w:lang w:val="en-US"/>
      </w:rPr>
      <w:t xml:space="preserve"> </w:t>
    </w:r>
    <w:r w:rsidR="00182814" w:rsidRPr="003E2996">
      <w:rPr>
        <w:color w:val="000000" w:themeColor="text1"/>
        <w:sz w:val="12"/>
        <w:szCs w:val="12"/>
        <w:lang w:val="en-US"/>
      </w:rPr>
      <w:t xml:space="preserve">PROPERTY </w:t>
    </w:r>
    <w:r w:rsidRPr="003E2996">
      <w:rPr>
        <w:color w:val="000000" w:themeColor="text1"/>
        <w:sz w:val="12"/>
        <w:szCs w:val="12"/>
        <w:lang w:val="en-US"/>
      </w:rPr>
      <w:t xml:space="preserve">OF </w:t>
    </w:r>
    <w:r w:rsidR="008A0DDF" w:rsidRPr="003E2996">
      <w:rPr>
        <w:color w:val="000000" w:themeColor="text1"/>
        <w:sz w:val="12"/>
        <w:szCs w:val="12"/>
        <w:lang w:val="en-US"/>
      </w:rPr>
      <w:t xml:space="preserve">PROCAPS S.A.  </w:t>
    </w:r>
    <w:r w:rsidRPr="003E2996">
      <w:rPr>
        <w:color w:val="000000" w:themeColor="text1"/>
        <w:sz w:val="12"/>
        <w:szCs w:val="12"/>
        <w:lang w:val="en-US"/>
      </w:rPr>
      <w:t>TOTAL OR PARTIALL REPRODUCTION I</w:t>
    </w:r>
    <w:r>
      <w:rPr>
        <w:color w:val="000000" w:themeColor="text1"/>
        <w:sz w:val="12"/>
        <w:szCs w:val="12"/>
        <w:lang w:val="en-US"/>
      </w:rPr>
      <w:t>S PROHIBITED-</w:t>
    </w:r>
  </w:p>
  <w:p w14:paraId="300523CA" w14:textId="77777777" w:rsidR="00BB430F" w:rsidRPr="003E2996" w:rsidRDefault="00BB430F" w:rsidP="000E17CA">
    <w:pPr>
      <w:pStyle w:val="Piedepgina"/>
      <w:rPr>
        <w:rStyle w:val="Nmerodepgina"/>
        <w:rFonts w:ascii="Spranq eco sans" w:hAnsi="Spranq eco sans" w:cs="Arial"/>
        <w:sz w:val="16"/>
        <w:szCs w:val="16"/>
        <w:lang w:val="en-US"/>
      </w:rPr>
    </w:pPr>
  </w:p>
  <w:p w14:paraId="300523CB" w14:textId="4928420B" w:rsidR="00BB430F" w:rsidRPr="003E2996" w:rsidRDefault="00A9759E" w:rsidP="005B1387">
    <w:pPr>
      <w:pStyle w:val="Piedepgina"/>
      <w:jc w:val="right"/>
      <w:rPr>
        <w:rStyle w:val="Nmerodepgina"/>
        <w:sz w:val="16"/>
        <w:szCs w:val="16"/>
        <w:lang w:val="es-CO"/>
      </w:rPr>
    </w:pPr>
    <w:r w:rsidRPr="003E2996">
      <w:rPr>
        <w:rStyle w:val="Nmerodepgina"/>
        <w:sz w:val="16"/>
        <w:szCs w:val="16"/>
        <w:lang w:val="es-CO"/>
      </w:rPr>
      <w:t>F-SOP-0872-2</w:t>
    </w:r>
    <w:r w:rsidR="00333606" w:rsidRPr="003E2996">
      <w:rPr>
        <w:rStyle w:val="Nmerodepgina"/>
        <w:sz w:val="16"/>
        <w:szCs w:val="16"/>
        <w:lang w:val="es-CO"/>
      </w:rPr>
      <w:t xml:space="preserve"> </w:t>
    </w:r>
    <w:r w:rsidRPr="003E2996">
      <w:rPr>
        <w:rStyle w:val="Nmerodepgina"/>
        <w:sz w:val="16"/>
        <w:szCs w:val="16"/>
        <w:lang w:val="es-CO"/>
      </w:rPr>
      <w:t>V0</w:t>
    </w:r>
    <w:r w:rsidR="00333606" w:rsidRPr="003E2996">
      <w:rPr>
        <w:rStyle w:val="Nmerodepgina"/>
        <w:sz w:val="16"/>
        <w:szCs w:val="16"/>
        <w:lang w:val="es-CO"/>
      </w:rPr>
      <w:t>3</w:t>
    </w:r>
  </w:p>
  <w:p w14:paraId="300523CC" w14:textId="77777777" w:rsidR="00BB430F" w:rsidRPr="003E2996" w:rsidRDefault="00BB430F"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4F91E" w14:textId="77777777" w:rsidR="00E5383E" w:rsidRDefault="00E5383E">
      <w:r>
        <w:separator/>
      </w:r>
    </w:p>
  </w:footnote>
  <w:footnote w:type="continuationSeparator" w:id="0">
    <w:p w14:paraId="615D74ED" w14:textId="77777777" w:rsidR="00E5383E" w:rsidRDefault="00E538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CF5903" w:rsidRPr="00746F5A" w14:paraId="6AA7E0C4" w14:textId="77777777" w:rsidTr="00CF5903">
      <w:trPr>
        <w:cantSplit/>
        <w:trHeight w:val="340"/>
      </w:trPr>
      <w:tc>
        <w:tcPr>
          <w:tcW w:w="1346" w:type="dxa"/>
          <w:vMerge w:val="restart"/>
          <w:vAlign w:val="center"/>
        </w:tcPr>
        <w:p w14:paraId="21F00BEE" w14:textId="77777777" w:rsidR="00CF5903" w:rsidRPr="00746F5A" w:rsidRDefault="00CF5903"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CF5903" w:rsidRDefault="00CF5903"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3133B2" w:rsidRPr="00746F5A" w:rsidRDefault="003133B2"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CF5903" w:rsidRPr="00746F5A" w:rsidRDefault="00CF5903"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CF5903" w:rsidRPr="00746F5A" w:rsidRDefault="00CF5903" w:rsidP="00CF5903">
          <w:pPr>
            <w:pStyle w:val="Encabezado"/>
            <w:rPr>
              <w:bCs/>
              <w:sz w:val="16"/>
              <w:szCs w:val="16"/>
              <w:lang w:val="en-US"/>
            </w:rPr>
          </w:pPr>
          <w:r w:rsidRPr="00746F5A">
            <w:rPr>
              <w:bCs/>
              <w:sz w:val="16"/>
              <w:szCs w:val="16"/>
              <w:lang w:val="en-US"/>
            </w:rPr>
            <w:t>CO-S-210</w:t>
          </w:r>
          <w:r w:rsidR="00182814" w:rsidRPr="00746F5A">
            <w:rPr>
              <w:bCs/>
              <w:sz w:val="16"/>
              <w:szCs w:val="16"/>
              <w:lang w:val="en-US"/>
            </w:rPr>
            <w:t xml:space="preserve">70</w:t>
          </w:r>
        </w:p>
      </w:tc>
    </w:tr>
    <w:tr w:rsidR="00BE2332" w:rsidRPr="00746F5A" w14:paraId="3D5A82C1" w14:textId="77777777" w:rsidTr="003133B2">
      <w:trPr>
        <w:cantSplit/>
        <w:trHeight w:val="229"/>
      </w:trPr>
      <w:tc>
        <w:tcPr>
          <w:tcW w:w="1346" w:type="dxa"/>
          <w:vMerge/>
          <w:vAlign w:val="center"/>
        </w:tcPr>
        <w:p w14:paraId="2D3482D3" w14:textId="77777777" w:rsidR="00BE2332" w:rsidRPr="00746F5A" w:rsidRDefault="00BE2332"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BE2332" w:rsidRPr="00746F5A" w:rsidRDefault="00BE2332" w:rsidP="00BE2332">
          <w:pPr>
            <w:pStyle w:val="Encabezado"/>
            <w:jc w:val="center"/>
            <w:rPr>
              <w:b/>
              <w:sz w:val="20"/>
              <w:szCs w:val="20"/>
              <w:lang w:val="en-US"/>
            </w:rPr>
          </w:pPr>
          <w:r>
            <w:rPr>
              <w:b/>
              <w:sz w:val="20"/>
              <w:szCs w:val="20"/>
              <w:lang w:val="en-US"/>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523A753E" w14:textId="615D7384" w:rsidR="00BE2332" w:rsidRPr="00746F5A" w:rsidRDefault="00BE2332"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BE2332" w:rsidRPr="00746F5A" w:rsidRDefault="00BE2332" w:rsidP="00BE2332">
          <w:pPr>
            <w:pStyle w:val="Encabezado"/>
            <w:rPr>
              <w:bCs/>
              <w:sz w:val="16"/>
              <w:szCs w:val="16"/>
              <w:lang w:val="en-US"/>
            </w:rPr>
          </w:pPr>
        </w:p>
      </w:tc>
    </w:tr>
    <w:tr w:rsidR="00BE2332" w:rsidRPr="00746F5A" w14:paraId="03892ADF" w14:textId="77777777" w:rsidTr="00CF5903">
      <w:trPr>
        <w:cantSplit/>
        <w:trHeight w:val="340"/>
      </w:trPr>
      <w:tc>
        <w:tcPr>
          <w:tcW w:w="1346" w:type="dxa"/>
          <w:vMerge/>
        </w:tcPr>
        <w:p w14:paraId="5456EDAB" w14:textId="77777777" w:rsidR="00BE2332" w:rsidRPr="00746F5A" w:rsidRDefault="00BE2332" w:rsidP="00BE2332">
          <w:pPr>
            <w:pStyle w:val="Encabezado"/>
            <w:rPr>
              <w:b/>
              <w:sz w:val="19"/>
              <w:szCs w:val="19"/>
              <w:lang w:val="en-US"/>
            </w:rPr>
          </w:pPr>
        </w:p>
      </w:tc>
      <w:tc>
        <w:tcPr>
          <w:tcW w:w="6593" w:type="dxa"/>
          <w:vMerge/>
          <w:tcBorders>
            <w:right w:val="single" w:sz="4" w:space="0" w:color="auto"/>
          </w:tcBorders>
          <w:vAlign w:val="center"/>
        </w:tcPr>
        <w:p w14:paraId="25E8A4DF" w14:textId="77777777" w:rsidR="00BE2332" w:rsidRPr="00746F5A" w:rsidRDefault="00BE2332"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BE2332" w:rsidRPr="00746F5A" w:rsidRDefault="00BE2332"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46A2E61A" w:rsidR="00BE2332" w:rsidRPr="00746F5A" w:rsidRDefault="00BE2332"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893595">
            <w:rPr>
              <w:bCs/>
              <w:noProof/>
              <w:sz w:val="16"/>
              <w:szCs w:val="16"/>
              <w:lang w:val="en-US"/>
            </w:rPr>
            <w:t>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893595">
            <w:rPr>
              <w:bCs/>
              <w:noProof/>
              <w:sz w:val="16"/>
              <w:szCs w:val="16"/>
              <w:lang w:val="en-US"/>
            </w:rPr>
            <w:t>3</w:t>
          </w:r>
          <w:r w:rsidRPr="00746F5A">
            <w:rPr>
              <w:bCs/>
              <w:sz w:val="16"/>
              <w:szCs w:val="16"/>
              <w:lang w:val="en-US"/>
            </w:rPr>
            <w:fldChar w:fldCharType="end"/>
          </w:r>
        </w:p>
      </w:tc>
    </w:tr>
  </w:tbl>
  <w:p w14:paraId="300523A6" w14:textId="77777777" w:rsidR="00BB430F" w:rsidRPr="00746F5A" w:rsidRDefault="00BB430F"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5A45F5" w:rsidRPr="00746F5A" w14:paraId="300523B0" w14:textId="7B117DCB" w:rsidTr="003133B2">
      <w:trPr>
        <w:cantSplit/>
        <w:trHeight w:val="274"/>
      </w:trPr>
      <w:tc>
        <w:tcPr>
          <w:tcW w:w="1346" w:type="dxa"/>
          <w:vMerge w:val="restart"/>
          <w:vAlign w:val="center"/>
        </w:tcPr>
        <w:p w14:paraId="300523AC" w14:textId="13B1BFF3" w:rsidR="005A45F5" w:rsidRPr="00746F5A" w:rsidRDefault="005A45F5"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5A45F5" w:rsidRDefault="00AF6532"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3133B2" w:rsidRPr="00746F5A" w:rsidRDefault="003133B2"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5A45F5" w:rsidRPr="00746F5A" w:rsidRDefault="00794A87" w:rsidP="00794A87">
          <w:pPr>
            <w:pStyle w:val="Encabezado"/>
            <w:rPr>
              <w:bCs/>
              <w:sz w:val="16"/>
              <w:szCs w:val="16"/>
              <w:lang w:val="en-US"/>
            </w:rPr>
          </w:pPr>
          <w:r w:rsidRPr="00746F5A">
            <w:rPr>
              <w:bCs/>
              <w:sz w:val="16"/>
              <w:szCs w:val="16"/>
              <w:lang w:val="en-US"/>
            </w:rPr>
            <w:t>C</w:t>
          </w:r>
          <w:r w:rsidR="00AF6532" w:rsidRPr="00746F5A">
            <w:rPr>
              <w:bCs/>
              <w:sz w:val="16"/>
              <w:szCs w:val="16"/>
              <w:lang w:val="en-US"/>
            </w:rPr>
            <w:t>ode</w:t>
          </w:r>
          <w:r w:rsidRPr="00746F5A">
            <w:rPr>
              <w:bCs/>
              <w:sz w:val="16"/>
              <w:szCs w:val="16"/>
              <w:lang w:val="en-US"/>
            </w:rPr>
            <w:t>:</w:t>
          </w:r>
        </w:p>
      </w:tc>
      <w:tc>
        <w:tcPr>
          <w:tcW w:w="1701" w:type="dxa"/>
          <w:tcBorders>
            <w:top w:val="single" w:sz="4" w:space="0" w:color="auto"/>
            <w:left w:val="nil"/>
            <w:bottom w:val="nil"/>
            <w:right w:val="single" w:sz="4" w:space="0" w:color="auto"/>
          </w:tcBorders>
          <w:vAlign w:val="center"/>
        </w:tcPr>
        <w:p w14:paraId="6913C729" w14:textId="141C5FD4" w:rsidR="005A45F5" w:rsidRPr="00746F5A" w:rsidRDefault="00AF6532" w:rsidP="00794A87">
          <w:pPr>
            <w:pStyle w:val="Encabezado"/>
            <w:rPr>
              <w:bCs/>
              <w:sz w:val="16"/>
              <w:szCs w:val="16"/>
              <w:lang w:val="en-US"/>
            </w:rPr>
          </w:pPr>
          <w:r w:rsidRPr="00746F5A">
            <w:rPr>
              <w:bCs/>
              <w:sz w:val="16"/>
              <w:szCs w:val="16"/>
              <w:lang w:val="en-US"/>
            </w:rPr>
            <w:t>CO-S-210</w:t>
          </w:r>
          <w:r w:rsidR="00491272" w:rsidRPr="00746F5A">
            <w:rPr>
              <w:bCs/>
              <w:sz w:val="16"/>
              <w:szCs w:val="16"/>
              <w:lang w:val="en-US"/>
            </w:rPr>
            <w:t xml:space="preserve">70</w:t>
          </w:r>
        </w:p>
      </w:tc>
    </w:tr>
    <w:tr w:rsidR="005A45F5" w:rsidRPr="00746F5A" w14:paraId="5C48AC34" w14:textId="039818A6" w:rsidTr="003133B2">
      <w:trPr>
        <w:cantSplit/>
        <w:trHeight w:val="229"/>
      </w:trPr>
      <w:tc>
        <w:tcPr>
          <w:tcW w:w="1346" w:type="dxa"/>
          <w:vMerge/>
          <w:vAlign w:val="center"/>
        </w:tcPr>
        <w:p w14:paraId="4CA03044" w14:textId="77777777" w:rsidR="005A45F5" w:rsidRPr="00746F5A" w:rsidRDefault="005A45F5"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B082F" w:rsidRPr="00746F5A" w:rsidRDefault="00C26A02" w:rsidP="001F05D8">
          <w:pPr>
            <w:pStyle w:val="Encabezado"/>
            <w:jc w:val="center"/>
            <w:rPr>
              <w:b/>
              <w:sz w:val="20"/>
              <w:szCs w:val="20"/>
              <w:lang w:val="en-US"/>
            </w:rPr>
          </w:pPr>
          <w:r>
            <w:rPr>
              <w:b/>
              <w:sz w:val="20"/>
              <w:szCs w:val="20"/>
              <w:lang w:val="en-US"/>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1D2EC148" w14:textId="61A7F113" w:rsidR="005A45F5" w:rsidRPr="00746F5A" w:rsidRDefault="00AF6532" w:rsidP="00794A87">
          <w:pPr>
            <w:pStyle w:val="Encabezado"/>
            <w:rPr>
              <w:bCs/>
              <w:sz w:val="16"/>
              <w:szCs w:val="16"/>
              <w:lang w:val="en-US"/>
            </w:rPr>
          </w:pPr>
          <w:r w:rsidRPr="00746F5A">
            <w:rPr>
              <w:bCs/>
              <w:sz w:val="16"/>
              <w:szCs w:val="16"/>
              <w:lang w:val="en-US"/>
            </w:rPr>
            <w:t>Effective date</w:t>
          </w:r>
          <w:r w:rsidR="00794A87" w:rsidRPr="00746F5A">
            <w:rPr>
              <w:bCs/>
              <w:sz w:val="16"/>
              <w:szCs w:val="16"/>
              <w:lang w:val="en-US"/>
            </w:rPr>
            <w:t>:</w:t>
          </w:r>
        </w:p>
      </w:tc>
      <w:tc>
        <w:tcPr>
          <w:tcW w:w="1701" w:type="dxa"/>
          <w:tcBorders>
            <w:top w:val="nil"/>
            <w:left w:val="nil"/>
            <w:bottom w:val="nil"/>
            <w:right w:val="single" w:sz="4" w:space="0" w:color="auto"/>
          </w:tcBorders>
          <w:vAlign w:val="center"/>
        </w:tcPr>
        <w:p w14:paraId="7CF63B5E" w14:textId="23993CB0" w:rsidR="005A45F5" w:rsidRPr="00746F5A" w:rsidRDefault="005A45F5" w:rsidP="00794A87">
          <w:pPr>
            <w:pStyle w:val="Encabezado"/>
            <w:rPr>
              <w:bCs/>
              <w:sz w:val="16"/>
              <w:szCs w:val="16"/>
              <w:lang w:val="en-US"/>
            </w:rPr>
          </w:pPr>
        </w:p>
      </w:tc>
    </w:tr>
    <w:tr w:rsidR="005A45F5" w:rsidRPr="00746F5A" w14:paraId="300523B5" w14:textId="35C339F9" w:rsidTr="00AF6532">
      <w:trPr>
        <w:cantSplit/>
        <w:trHeight w:val="340"/>
      </w:trPr>
      <w:tc>
        <w:tcPr>
          <w:tcW w:w="1346" w:type="dxa"/>
          <w:vMerge/>
        </w:tcPr>
        <w:p w14:paraId="300523B1" w14:textId="77777777" w:rsidR="005A45F5" w:rsidRPr="00746F5A" w:rsidRDefault="005A45F5" w:rsidP="00A5701B">
          <w:pPr>
            <w:pStyle w:val="Encabezado"/>
            <w:rPr>
              <w:b/>
              <w:sz w:val="19"/>
              <w:szCs w:val="19"/>
              <w:lang w:val="en-US"/>
            </w:rPr>
          </w:pPr>
        </w:p>
      </w:tc>
      <w:tc>
        <w:tcPr>
          <w:tcW w:w="6593" w:type="dxa"/>
          <w:vMerge/>
          <w:tcBorders>
            <w:right w:val="single" w:sz="4" w:space="0" w:color="auto"/>
          </w:tcBorders>
          <w:vAlign w:val="center"/>
        </w:tcPr>
        <w:p w14:paraId="300523B3" w14:textId="2C4A1F3B" w:rsidR="005A45F5" w:rsidRPr="00746F5A" w:rsidRDefault="005A45F5"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5A45F5" w:rsidRPr="00746F5A" w:rsidRDefault="00794A87" w:rsidP="00794A87">
          <w:pPr>
            <w:pStyle w:val="Encabezado"/>
            <w:rPr>
              <w:bCs/>
              <w:sz w:val="16"/>
              <w:szCs w:val="16"/>
              <w:lang w:val="en-US"/>
            </w:rPr>
          </w:pPr>
          <w:r w:rsidRPr="00746F5A">
            <w:rPr>
              <w:bCs/>
              <w:sz w:val="16"/>
              <w:szCs w:val="16"/>
              <w:lang w:val="en-US"/>
            </w:rPr>
            <w:t>P</w:t>
          </w:r>
          <w:r w:rsidR="00AF6532" w:rsidRPr="00746F5A">
            <w:rPr>
              <w:bCs/>
              <w:sz w:val="16"/>
              <w:szCs w:val="16"/>
              <w:lang w:val="en-US"/>
            </w:rPr>
            <w:t>age</w:t>
          </w:r>
          <w:r w:rsidRPr="00746F5A">
            <w:rPr>
              <w:bCs/>
              <w:sz w:val="16"/>
              <w:szCs w:val="16"/>
              <w:lang w:val="en-US"/>
            </w:rPr>
            <w:t>:</w:t>
          </w:r>
        </w:p>
      </w:tc>
      <w:tc>
        <w:tcPr>
          <w:tcW w:w="1701" w:type="dxa"/>
          <w:tcBorders>
            <w:top w:val="nil"/>
            <w:left w:val="nil"/>
            <w:bottom w:val="single" w:sz="4" w:space="0" w:color="auto"/>
            <w:right w:val="single" w:sz="4" w:space="0" w:color="auto"/>
          </w:tcBorders>
          <w:vAlign w:val="center"/>
        </w:tcPr>
        <w:p w14:paraId="1D93D110" w14:textId="7A204025" w:rsidR="005A45F5" w:rsidRPr="00746F5A" w:rsidRDefault="00596798"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893595">
            <w:rPr>
              <w:bCs/>
              <w:noProof/>
              <w:sz w:val="16"/>
              <w:szCs w:val="16"/>
              <w:lang w:val="en-US"/>
            </w:rPr>
            <w:t>1</w:t>
          </w:r>
          <w:r w:rsidRPr="00746F5A">
            <w:rPr>
              <w:bCs/>
              <w:sz w:val="16"/>
              <w:szCs w:val="16"/>
              <w:lang w:val="en-US"/>
            </w:rPr>
            <w:fldChar w:fldCharType="end"/>
          </w:r>
          <w:r w:rsidRPr="00746F5A">
            <w:rPr>
              <w:bCs/>
              <w:sz w:val="16"/>
              <w:szCs w:val="16"/>
              <w:lang w:val="en-US"/>
            </w:rPr>
            <w:t xml:space="preserve"> </w:t>
          </w:r>
          <w:r w:rsidR="00AF6532" w:rsidRPr="00746F5A">
            <w:rPr>
              <w:bCs/>
              <w:sz w:val="16"/>
              <w:szCs w:val="16"/>
              <w:lang w:val="en-US"/>
            </w:rPr>
            <w:t>of</w:t>
          </w: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893595">
            <w:rPr>
              <w:bCs/>
              <w:noProof/>
              <w:sz w:val="16"/>
              <w:szCs w:val="16"/>
              <w:lang w:val="en-US"/>
            </w:rPr>
            <w:t>3</w:t>
          </w:r>
          <w:r w:rsidRPr="00746F5A">
            <w:rPr>
              <w:bCs/>
              <w:sz w:val="16"/>
              <w:szCs w:val="16"/>
              <w:lang w:val="en-US"/>
            </w:rPr>
            <w:fldChar w:fldCharType="end"/>
          </w:r>
        </w:p>
      </w:tc>
    </w:tr>
  </w:tbl>
  <w:p w14:paraId="300523B6" w14:textId="77777777" w:rsidR="00BB430F" w:rsidRPr="00746F5A" w:rsidRDefault="00BB430F"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2"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4"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9"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2"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2"/>
  </w:num>
  <w:num w:numId="4">
    <w:abstractNumId w:val="2"/>
  </w:num>
  <w:num w:numId="5">
    <w:abstractNumId w:val="9"/>
  </w:num>
  <w:num w:numId="6">
    <w:abstractNumId w:val="5"/>
  </w:num>
  <w:num w:numId="7">
    <w:abstractNumId w:val="4"/>
  </w:num>
  <w:num w:numId="8">
    <w:abstractNumId w:val="6"/>
  </w:num>
  <w:num w:numId="9">
    <w:abstractNumId w:val="13"/>
  </w:num>
  <w:num w:numId="10">
    <w:abstractNumId w:val="1"/>
  </w:num>
  <w:num w:numId="11">
    <w:abstractNumId w:val="0"/>
  </w:num>
  <w:num w:numId="12">
    <w:abstractNumId w:val="14"/>
  </w:num>
  <w:num w:numId="13">
    <w:abstractNumId w:val="11"/>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activeWritingStyle w:appName="MSWord" w:lang="es-CO"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6DCB"/>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27E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3595"/>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4F61"/>
    <w:rsid w:val="00B95B1B"/>
    <w:rsid w:val="00BA16B3"/>
    <w:rsid w:val="00BA1E09"/>
    <w:rsid w:val="00BA4F67"/>
    <w:rsid w:val="00BA519C"/>
    <w:rsid w:val="00BA5D7A"/>
    <w:rsid w:val="00BA6F2F"/>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3E"/>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F1753C3"/>
    <w:rsid w:val="53B83934"/>
    <w:rsid w:val="5F93D3EF"/>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2.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4.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5.xml><?xml version="1.0" encoding="utf-8"?>
<ds:datastoreItem xmlns:ds="http://schemas.openxmlformats.org/officeDocument/2006/customXml" ds:itemID="{30A73154-0D2B-40A5-A588-8C4F54CDC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429</Words>
  <Characters>2365</Characters>
  <Application>Microsoft Office Word</Application>
  <DocSecurity>0</DocSecurity>
  <Lines>19</Lines>
  <Paragraphs>5</Paragraphs>
  <ScaleCrop>false</ScaleCrop>
  <Company>Patheon UK Limited</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subject/>
  <dc:creator>odells</dc:creator>
  <dc:description/>
  <cp:lastModifiedBy>ivan romero yepes</cp:lastModifiedBy>
  <cp:revision>49</cp:revision>
  <cp:lastPrinted>2022-01-24T13:04:00Z</cp:lastPrinted>
  <dcterms:created xsi:type="dcterms:W3CDTF">2025-01-31T13:08:00Z</dcterms:created>
  <dcterms:modified xsi:type="dcterms:W3CDTF">2025-02-12T14:56:00Z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