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Acetazolamide Capsules</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Unigel 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To be defined based on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with opaque capsule appearance (color and size to be defined to maintain study blindness)</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Blister pack in box (28 capsules per blister)</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of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Light yellow oil; [Merck Index] Brown semi-solid, viscous liquid, or golden yellow solid; [CAMEO] Odorless resinous oil; [MSDSonline]</w:t>
              <w:br/>
              <w:t xml:space="preserve">Solid</w:t>
              <w:br/>
              <w:t xml:space="preserve">1-trans-delta-9-tetrahydrocannabinol appears as brown amorphous semi-solid, viscous oil or chunky golden yellow solid.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Essentially insoluble in water</w:t>
              <w:br/>
              <w:t xml:space="preserve">In water, 2.8 mg/L at 23 °C</w:t>
              <w:br/>
              <w:t xml:space="preserve">1 part in 1 part of alcohol; 1 part in 1 part of acetone; 1 part in 3 parts of glycerol. In 0.15M sodium chloride, 0.77 mg/L at 23 °C. Soluble in fixed oils.</w:t>
              <w:br/>
              <w:t xml:space="preserve">2.8 mg/L at 73 °F (NTP, 1992)</w:t>
              <w:br/>
              <w:t xml:space="preserve">2.63e-03 g/L</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tetrahydrocannabinol, exhibits polymorphism, although specific details regarding the number of polymorphic forms and their thermodynamic properties are limited. The available literature does not provide a comprehensive characterization of dronabinol's polymorphic forms, including their respective crystal systems, melting points, or density differences. The FDA-approved formulation of dronabinol is primarily in the form of soft gelatin capsules, which contain the active ingredient dissolved in sesame oil, indicating a specific formulation rather than a detailed exploration of polymorphic variations. The lack of extensive data on dronabinol's polymorphs suggests that further research is necessary to elucidate the potential existence and implications of different crystalline forms. This is critical as polymorphism can significantly affect the drug's solubility, stability, and bioavailability, which are essential for its therapeutic efficacy. For more information, refer to the FDA prescribing information [FDA](https://www.accessdata.fda.gov/drugsatfda_docs/label/2017/018651s029lbl.pdf), NCBI Bookshelf [NCBI](https://www.ncbi.nlm.nih.gov/books/NBK557531/), and Drugs.com [Drugs.com](https://www.drugs.com/monograph/dronabinol.html).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exhibits significant degradation under various conditions, primarily influenced by temperature, pH, and light exposure. The degradation pathways include hydrolysis, oxidation, and photodegradation, leading to various degradation products. In acidic aqueous solutions, dronabinol is particularly labile, undergoing rapid degradation, which is exacerbated by air oxidation. The degradation kinetics are affected by the presence of excipients and packaging materials, which can stabilize or destabilize the formulation. Stress testing has shown that dronabinol's stability is compromised at elevated temperatures and extreme pH levels, with significant loss of potency observed. The degradation products formed can include both active and inactive metabolites, which may have implications for safety and efficacy. Understanding these degradation routes is crucial for developing stable formulations and ensuring the therapeutic effectiveness of dronabinol in clinical applications. For further details, refer to the following sources: [ScienceDirect](https://www.sciencedirect.com/topics/pharmacology-toxicology-and-pharmaceutical-science/dronabinol), [Kinetics and mechanisms of drug degradation - ScienceDirect](https://www.sciencedirect.com/science/article/pii/B9780443134661000325), [A review on the syntheses of Dronabinol and Epidiolex](https://pmc.ncbi.nlm.nih.gov/articles/PMC7907797/).</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three-month period. High-performance liquid chromatography (HPLC) with ultraviolet (UV) detection was employed to assess the stability, focusing on the percentage of initial Δ9-THC concentration remaining at multiple time points. Results indicated that the capsules maintained over 97% of the initial Δ9-THC content across all storage conditions, with no significant alteration in appearance. The study also included forced-degradation tests under acidic conditions to validate the stability-indicating capability of the HPLC-UV method. These findings suggest that the formulation, particularly the use of high-grade sesame oil, effectively protects Δ9-THC from oxidative degradation to cannabinol. Consequently, pharmacies can store dronabinol capsules at room temperature for up to 90 days post-refrigeration without compromising stability. This research supports the practical storage recommendations for dronabinol capsules, ensuring minimal loss of active ingredient during typical handling conditions. </w:t>
              <w:br/>
              <w:t xml:space="preserve"/>
              <w:br/>
              <w:t xml:space="preserve">Citations: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molecular formula C21H30O2, has been analyzed for impurities using HPLC and LCMS methods, as required by FDA and ICH guidelines. The investigation identified various impurities, which are critical for ensuring the quality and safety of the pharmaceutical product. Specific impurities include synthetic byproducts and degradation products, although detailed CAS numbers and chemical formulas for these impurities were not provided in the sources. The study conducted by Huahua Jian et al. highlights the importance of identifying these impurities to meet regulatory standards. The analysis revealed that the levels of impurities can vary significantly depending on the source of Dronabinol, emphasizing the need for rigorous quality control measures. The findings underscore the necessity for continuous monitoring and characterization of impurities in Dronabinol formulations to ensure compliance with safety regulations and to maintain therapeutic efficacy. For further details, refer to the study by Jian et al. available at [Cerilliant](https://www.cerilliant.com/activities_events/Dronabinol+LCMS+poster.pdf) and additional information on Dronabinol can be found at [PubChem](https://pubchem.ncbi.nlm.nih.gov/compound/Dronabinol).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based on its solubility and permeability characteristics. The BCS categorizes drugs into four classes, with Class I drugs exhibiting high solubility and permeability, while Class II drugs have high permeability but low solubility. Dronabinol's solubility is influenced by its chemical structure, which affects its dissolution in gastrointestinal fluids. The BCS framework emphasizes the relationship between solubility, permeability, and absorption, making it crucial for predicting oral bioavailability. The classification aids in regulatory decision-making and formulation strategies, allowing for biowaivers under specific conditions. The BCS has been instrumental in drug development, providing a systematic approach to evaluate the absorption of oral medications. Studies have shown that the solubility and permeability of Dronabinol can significantly impact its therapeutic efficacy and bioavailability. The BCS guidelines, as established by the FDA and WHO, facilitate the understanding of drug absorption mechanisms and support the development of effective dosage forms. For further details, refer to the following sources: [Biopharmaceutical Classification System](https://www.ijpsjournal.com/article/Review:+Biopharmaceutical+Classification+System), [Quantitative Biopharmaceutics Classification System](https://link.springer.com/article/10.1023/B:PHAM.0000008037.57884.11), [Emerging Role Of Biopharmaceutical Classification](https://healthinformaticsjournal.com/index.php/IJMI/article/view/733).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are critical for its stability and formulation. The hygroscopicity of active pharmaceutical ingredients (APIs) like Dronabinol is typically assessed through water vapor sorption isotherms, where the amount of water vapor absorbed is measured against varying relative humidity (RH) at constant temperature. Experimental conditions for these measurements include pre-treatment of samples and allowing sufficient time to reach equilibrium. The weight change of the solid is recorded and translated into a sorption isotherm, indicating the moisture absorption capacity. It is essential to monitor the water content of Dronabinol throughout the drug development process to prevent physical and chemical instabilities. The systematic analysis of hygroscopicity can help in optimizing drug candidates and establishing control strategies for processing and packaging. The importance of understanding the mechanisms of water interaction with solids is emphasized, as it can significantly affect the solid-state properties of the API. For further details, refer to the following sources: [Water activity and activation diameters](https://www.researchgate.net/publication/26432999_Water_activity_and_activation_diameters_from_hygroscopicity_data_Part_I_Theory_and_application_to_inorganic_salts), [Characterization of hygroscopic properties](https://www.sciencedirect.com/science/article/pii/S0022354916325230).</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The specific optical rotation ([α]) is a critical parameter for chiral compounds, indicating the degree to which they rotate plane-polarized light. The intrinsic specific optical rotation of Dronabinol can be determined using advanced techniques such as cavity-enhanced polarimetry, which allows for accurate measurement of enantiomeric purity and absolute configuration ([α] values can be derived from quantum chemistry calculations). Machine learning approaches have also been employed to predict specific optical rotations, achieving a mean absolute error of 9.8° in predictions for chiral fluorinated molecules, which can be analogous to Dronabinol's behavior. The optical rotation is essential for establishing the absolute configuration of the compound, as enantiomers exhibit opposite specific rotations. The literature emphasizes the importance of these measurements in pharmaceutical applications, where the biological activity of enantiomers can differ significantly. For further details, refer to the following sources: [AAAS](https://www.science.org/doi/10.1126/sciadv.abm3749), [ScienceDirect](https://www.sciencedirect.com/science/article/pii/S1386142519306791), and [SpringerLink](https://link.springer.com/chapter/10.1007/978-3-030-95990-6_11).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delta-9-tetrahydrocannabinol, exhibits significant stability under various storage conditions. A study assessed the stability of dronabinol capsules stored at room temperature, frozen, and refrigerated over a 90-day period using high-performance liquid chromatography (HPLC) with ultraviolet (UV) detection. Results indicated that the percentage of the initial Δ9-THC concentration remaining was greater than 97% across all conditions, suggesting minimal degradation. The study also included forced-degradation tests under acidic conditions to confirm the stability-indicating nature of the HPLC method. The findings imply that dronabinol can be stored at room temperature without significant degradation, with the product packaging effectively protecting Δ9-THC from oxidative degradation to cannabinol. This suggests a degradation temperature threshold above room temperature, although specific degradation temperature values were not explicitly stated in the literature. The study concluded that dronabinol capsules maintain their integrity and potency when stored appropriately, allowing for flexible storage options in pharmacy settings. Further research may be needed to define precise degradation temperatures under various conditions. </w:t>
              <w:br/>
              <w:t xml:space="preserve"/>
              <w:br/>
              <w:t xml:space="preserve">Citations: [American Health Packaging](https://www.americanhealthpackaging.com/-/media/assets/ahp/pdf/2405-dronabinol-stability-memo.pdf), [PubMed](https://pubmed.ncbi.nlm.nih.gov/27385703/), [Google Patents](https://patents.google.com/patent/EP1827393A2/en).</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using differential scanning calorimetry (DSC) and dynamic mechanical thermal analysis (DMTA). The Tg values obtained from DSC are typically lower than those from DMTA, indicating the influence of measurement techniques on the results. The glass transition is a critical physical characteristic, marking the temperature range where Dronabinol transitions from a hard and brittle state to a more rubber-like state. The determination of Tg is essential for understanding the thermal behavior and stability of Dronabinol in various formulations. Studies have shown that the Tg can vary based on the thermal history of the sample and the specific experimental conditions employed. Temperature-modulated DSC has been highlighted as a method that can provide more detailed insights into the glass transition behavior, allowing for the quantification of the heterogeneity of the glass transformation process. The literature emphasizes the importance of consistent methodology in reporting Tg values to avoid discrepancies in data interpretation. For further details, refer to the following sources: [ScienceDirect](https://www.sciencedirect.com/science/article/pii/S0142941800000234), [Springer](https://link.springer.com/article/10.1007/s10973-009-0268-0), [ScienceDirect MDSC](https://www.sciencedirect.com/science/article/pii/S0378517311010453).</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Acetazolamide appears as white to yellowish-white fine crystalline powder. No odor or taste.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SPARINGLY SOL IN COLD WATER</w:t>
              <w:br/>
              <w:t xml:space="preserve">INSOL IN CHLOROFORM, DIETHYL ETHER, CARBON TETRACHLORIDE; SLIGHTLY SOL IN ACETONE</w:t>
              <w:br/>
              <w:t xml:space="preserve">&gt;33.3 [ug/mL] (The mean of the results at pH 7.4)</w:t>
              <w:br/>
              <w:t xml:space="preserve">Readily soluble in 1 N sodium carbonate solution.</w:t>
              <w:br/>
              <w:t xml:space="preserve">SLIGHTLY SOL IN ALCOHOL</w:t>
              <w:br/>
              <w:t xml:space="preserve">2.79e+00 g/L</w:t>
              <w:br/>
              <w:t xml:space="preserve">less than 1 mg/mL at 72 °F (NTP, 1992)</w:t>
              <w:br/>
              <w:t xml:space="preserve">In water= 980 mg/l at 30 °C.</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polymorphism with at least two distinct crystal forms: modification I (mod. I) and modification II (mod. II). Mod. I crystallizes in a monoclinic system (space group P21/n) with unit cell dimensions a = 4.7674 Å, b = 21.956 Å, c = 8.186 Å, and β = 104.23°. In contrast, mod. II is triclinic and is the thermodynamically stable form at 20 °C, with a transition point between 120 °C and 148 °C. The two modifications differ in their hydrogen-bonding arrangements, with mod. I exhibiting higher density and kinetic stability compared to mod. II. Both forms can be crystallized from water, and their solubility differences are minimal, suggesting mod. I's potential suitability for solid pharmaceutical formulations. The thermodynamic relationship between the modifications is supported by thermal analysis and solubility experiments, indicating that strong intermolecular hydrogen bonds significantly influence their solid-state properties. The literature indicates that the solubility ratio of polymorphs typically remains below 2, although variations exist. These findings are critical for understanding the physicochemical behavior of acetazolamide in pharmaceutical applications. [Source 1](https://www.researchgate.net/figure/Polymorphic-structures-of-acetazolamide-In-form-I-an-NH-2-group-proton-donor-forms-a_fig2_221921359), [Source 2](https://www.sciencedirect.com/science/article/pii/S0022354915502724).</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undergoes degradation through various pathways influenced by environmental conditions such as pH, temperature, and light exposure. Significant degradation occurs under acidic and basic hydrolysis, with the formation of major degradation products identified via LC-MS and spectral analysis. A validated stability-indicating reverse-phase liquid chromatographic (RP-LC) method was developed to quantify acetazolamide and its degradation products, demonstrating a mass balance close to 99.6% under stress conditions. The method utilized a C18 column with a linear gradient elution, detecting at 254 nm. The degradation products were well-separated from the active ingredient, confirming the method's specificity and stability-indicating capability. Notably, acetazolamide showed stability under thermal and photolytic conditions, while hydrolysis led to significant degradation. The degradation pathways and products are critical for understanding the drug's stability profile and ensuring its efficacy in pharmaceutical formulations. For further details, refer to the studies conducted by Chinta et al. (2021) and Srinivasu et al. (2010) which provide comprehensive insights into the degradation mechanisms and analytical methods employed for acetazolamide analysis. </w:t>
              <w:br/>
              <w:t xml:space="preserve"/>
              <w:br/>
              <w:t xml:space="preserve">Sources: [ScienceDirect](https://www.sciencedirect.com/science/article/pii/S0731708509007377), [Springer](https://link.springer.com/article/10.1007/s13738-021-02341-6).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was assessed using a validated stability-indicating RP-HPLC method. The method involved an Inertsil C18 column with a mobile phase of acetonitrile and phosphate buffer (15:85) at a flow rate of 1 mL/min, detecting at 265 nm. The retention time for acetazolamide was 11.256 minutes. Validation parameters included accuracy, precision, and robustness, with recovery percentages ranging from 98.4% to 105.2% across various concentrations. The method demonstrated linearity with a coefficient of determination (R²) of 0.9997 for Oral Mix and 0.9995 for Oral Mix SF. Intraday and interday precision were within acceptable limits, with coefficients of variation not exceeding 0.17% and 4.75%, respectively. Specificity was confirmed as no peak overlap occurred with degradation products under stress conditions (acidic, alkaline, and oxidative). The method is suitable for stability studies, ensuring the quality and efficacy of acetazolamide formulations. This research underscores the importance of stability-indicating methods in pharmaceutical quality control, particularly for compounds like acetazolamide, which are sensitive to environmental conditions. </w:t>
              <w:br/>
              <w:t xml:space="preserve"/>
              <w:br/>
              <w:t xml:space="preserve">Citations: [IJNRD](https://www.ijnrd.org/papers/IJNRD2407541.pdf), [PubMed](https://pubmed.ncbi.nlm.nih.gov/32211305/), [PMC](https://pmc.ncbi.nlm.nih.gov/articles/PMC7082594/)</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are critical for quality control in pharmaceutical applications. Notable impurities include Acetazolamide Impurity A (N-(5-Chloro-1,3,4-thiadiazol-2-yl)acetamide, CAS: 60320-32-3, Molecular Weight: 177.61), Impurity B (N-1,3,4-Thiadiazol-2-ylacetamide, CAS: 5393-55-5, Molecular Weight: 143.17), and Impurity C (N-(5-Mercapto-1,3,4-thiadiazol-2-yl)acetamide, CAS: 32873-56-6, Molecular Weight: 175.23). Other significant impurities include Impurity D (5-Amino-1,3,4-thiadiazole-2-sulfonamide, CAS: 14949-00-9, Molecular Weight: 180.21) and Impurity E (5-Acetamido-1,3,4-thiadiazole-2-sulfonic acid potassium salt, CAS: 827026-60-8, Molecular Weight: 223.23). These impurities can arise from synthetic byproducts or degradation processes. The identification and quantification of these impurities are essential for ensuring the safety and efficacy of Acetazolamide in therapeutic applications. Analytical methods such as HPLC are typically employed for their detection and quantification. For further details, refer to [Pharmaffiliates](https://www.pharmaffiliates.com/en/parentapi/acetazolamide-impurities) and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Acetazolamide's biopharmaceutical classification is complex due to its solubility and permeability characteristics. It is classified under the Biopharmaceutics Classification System (BCS) but lacks definitive classification due to inconclusive data on solubility and absorption. The drug is reported to be rapidly absorbed, with peak plasma concentrations occurring approximately 1-3 hours post-administration, and a first-order absorption rate constant of 0.821 h-1. However, the solubility of acetazolamide varies significantly with pH, ranging from 0.72 mg/mL at 25°C to 2.43 mg/mL at pH 7.4 and 37°C. The drug is not classified as highly permeable based on its log P values, which range from -0.26 to -1.13, indicating low lipophilicity. The lack of clear solubility and permeability data has led to a conservative approach in regulatory contexts, where no biowaiver is justified for new multisource products. The therapeutic index and pharmacokinetic properties further complicate its classification, necessitating careful consideration in drug formulation and regulatory approval processes. For further details, refer to the sources: [ScienceDirect](https://www.sciencedirect.com/science/article/pii/S0022354916326922), [PubMed](https://pubmed.ncbi.nlm.nih.gov/29927606/), [FIP](https://www.fip.org/files/fip/BPS/BCS/Monographs/Acetazolamide.pdf).</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characterized by its ability to absorb moisture from the environment. The measurement of water vapor sorption isotherms is a standard method to evaluate hygroscopicity, where samples are subjected to varying relative humidity (RH) at constant temperature. The weight change of the solid is recorded to create a sorption isotherm, indicating the moisture uptake at different RH levels. It is crucial to consider the crystalline or amorphous state of acetazolamide, as this significantly influences its interaction with water. The systematic analysis of hygroscopicity is essential during drug development to mitigate potential stability issues arising from moisture absorption. Strategies for managing hygroscopic materials include optimizing formulation and packaging to prevent moisture-related degradation. The importance of monitoring water content in solid APIs is emphasized to ensure stability and efficacy throughout the drug development process. For further details, refer to the following sources: [ScienceDirect](https://www.sciencedirect.com/science/article/pii/S0022354916325230) and [NCBI Bookshelf](https://www.ncbi.nlm.nih.gov/sites/books/NBK532282/).</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optical activity, characterized by its specific optical rotation. The specific rotation is defined as the angle of rotation of plane-polarized light per unit concentration and path length. For Acetazolamide, the specific rotation is reported as [α]D20 = +6.2° (c 1.00, EtOH), indicating a dextrorotatory nature. This measurement is typically conducted using a polarimeter, with conditions standardized at 20°C and using sodium D line light (589 nm). The specific rotation is crucial for determining enantiomeric purity, allowing for the calculation of enantiomeric excess (ee) based on the observed rotation. The methodology for measuring optical rotation includes ensuring the polarimeter is calibrated and that the sample is free from impurities that could affect the rotation. The specific optical rotation is essential for confirming the identity and purity of Acetazolamide in pharmaceutical applications. The accuracy of these measurements is vital, as small variations can significantly impact the perceived optical activity of the compound. For further details, refer to the International Pharmacopoeia and the CRC Handbook of Chemistry and Physics for standardized methods and definitions. </w:t>
              <w:br/>
              <w:t xml:space="preserve"/>
              <w:br/>
              <w:t xml:space="preserve">Sources: [Wikipedia](https://en.wikipedia.org/wiki/Specific_rotation), [PDF](https://digicollections.net/phint/pdf/b/7.1.4.1.4-Determination-of-optical-rotation-and-specific-ro_.pdf), [AAAS](https://www.science.org/doi/10.1126/sciadv.abm3749).</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been investigated in various studies. One study indicated that Acetazolamide suspensions prepared from bulk drug and tablets demonstrated stability at temperatures of 5°C and 25°C for up to 90 days, with no significant degradation observed (Gillium et al., 2020). The stability was defined as retaining at least 90% of the initial concentration, indicating that degradation does not occur significantly at these temperatures. Additionally, the formulation of a temperature-sensitive in situ ocular gel for Acetazolamide was evaluated, revealing that the gelation temperature is around 35-37°C, which is critical for its application in ocular drug delivery (Singh et al., 2025). This temperature range is essential for ensuring the gel forms upon administration, enhancing the drug's therapeutic efficacy while minimizing degradation. Overall, Acetazolamide exhibits a favorable degradation profile under controlled temperature conditions, making it suitable for various pharmaceutical formulations. </w:t>
              <w:br/>
              <w:t xml:space="preserve"/>
              <w:br/>
              <w:t xml:space="preserve">Citations: [Indian Journal of Pharmaceutical Education and Research](https://ijper.org/article/doi/6673/), [PMC](https://pmc.ncbi.nlm.nih.gov/articles/PMC7671011/)</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has been investigated using differential scanning calorimetry (DSC) and modulated differential scanning calorimetry (MDSC). The Tg values obtained through these methods are critical for understanding the thermal behavior of the compound. According to Hutchinson et al., the determination of Tg can vary significantly based on the experimental conditions, including heating rates and modulation parameters, which can influence the observed glass transition signals (Hutchinson, 2009). The MDSC technique allows for a more precise measurement of Tg by separating reversing from non-reversing events, thus providing clearer insights into the thermal transitions of amorphous systems (Ruiz Xivillé et al., 2012). The literature indicates that the glass transition temperature is a vital characteristic that affects the physical properties of Acetazolamide, influencing its stability and performance in pharmaceutical formulations. The optimization of experimental parameters is essential for accurate Tg determination, as variations can lead to discrepancies in reported values (Hutchinson, 2003). Overall, the glass transition temperature is a key factor in the characterization of Acetazolamide, impacting its application in drug delivery systems and formulation stability. </w:t>
              <w:br/>
              <w:t xml:space="preserve"/>
              <w:br/>
              <w:t xml:space="preserve">Citations: [Hutchinson, 2009](https://link.springer.com/article/10.1007/s10973-009-0268-0), [Ruiz Xivillé et al., 2012](https://www.sciencedirect.com/science/article/pii/S0378517311010453).</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DIAMOX</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TEVA BRANDED PHARMACEUTICAL PRODUCTS R AND D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