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990997">
            <w:pPr>
              <w:ind w:left="-108" w:right="-29"/>
              <w:jc w:val="both"/>
              <w:rPr>
                <w:sz w:val="20"/>
                <w:szCs w:val="20"/>
                <w:lang w:val="en-US"/>
              </w:rPr>
            </w:pPr>
            <w:r>
              <w:rPr>
                <w:sz w:val="20"/>
                <w:szCs w:val="20"/>
                <w:lang w:val="en-US"/>
              </w:rPr>
              <w:t xml:space="preserve">RX</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990997">
            <w:pPr>
              <w:ind w:left="-108" w:right="-29"/>
              <w:jc w:val="both"/>
              <w:rPr>
                <w:sz w:val="20"/>
                <w:szCs w:val="20"/>
                <w:lang w:val="en-US"/>
              </w:rPr>
            </w:pPr>
            <w:r>
              <w:rPr>
                <w:sz w:val="20"/>
                <w:szCs w:val="20"/>
                <w:lang w:val="en-US"/>
              </w:rPr>
              <w:t xml:space="preserve">IHL-42X</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Dronabinol</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Acetazolamide</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3D71F8">
            <w:pPr>
              <w:ind w:left="-108" w:right="-29"/>
              <w:jc w:val="both"/>
              <w:rPr>
                <w:sz w:val="20"/>
                <w:szCs w:val="20"/>
                <w:lang w:val="en-US"/>
              </w:rPr>
            </w:pPr>
            <w:r>
              <w:rPr>
                <w:sz w:val="20"/>
                <w:szCs w:val="20"/>
                <w:lang w:val="en-US"/>
              </w:rPr>
              <w:t xml:space="preserve">Dronabinol 2.5 mg - Acetazolamide 125 mg; Dronabinol 5 mg - Acetazolamide 250 mg</w:t>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3D71F8">
            <w:pPr>
              <w:ind w:right="-29"/>
              <w:jc w:val="both"/>
              <w:rPr>
                <w:sz w:val="20"/>
                <w:szCs w:val="20"/>
                <w:lang w:val="en-US"/>
              </w:rPr>
            </w:pPr>
            <w:r>
              <w:rPr>
                <w:sz w:val="20"/>
                <w:szCs w:val="20"/>
                <w:lang w:val="en-US"/>
              </w:rPr>
              <w:t xml:space="preserve">Unigel</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990997">
            <w:pPr>
              <w:ind w:left="-108" w:right="-29"/>
              <w:jc w:val="both"/>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Según resultados del estudio clínico a realizar</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Oblongo – tamaño a ser definido al momento del desarrollo; Capsules and placebos must be opaque to maintain the study blind</w:t>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Caja/blister x 28</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x 28 cápsulas</w:t>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990997">
            <w:pPr>
              <w:ind w:left="-108" w:right="-29"/>
              <w:jc w:val="both"/>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Solid form with variable appearance: may be a brown amorphous semi-solid, a viscous oil, a chunky golden yellow solid, light yellow oil, brown semi-solid viscous liquid, or an odorless resinous oil.</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Poor water solubility (~2.8 mg/L at 23 °C and 0.77 mg/L in 0.15 M sodium chloride at 23 °C); soluble in organic solvents with solvent-specific ratios (e.g., “1 part in 1 part” in alcohol and acetone, “1 part in 3 parts” in glycerol); reported as 2.63e-03 g/L in some measurements.</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No validated crystallographic polymorphic forms have been reported for dronabinol. Although literature on related cannabinoids notes polymorphic impurities, no specific polymorph data is available for dronabinol. [Polymorph evidence](https://www.sciencedirect.com/science/article/pii/S0731708524000785)</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392DFD64" w:rsidR="27FD9B0B" w:rsidRPr="00055909" w:rsidRDefault="27FD9B0B" w:rsidP="27FD9B0B">
            <w:pPr>
              <w:ind w:left="-108" w:right="-29"/>
              <w:jc w:val="both"/>
              <w:rPr>
                <w:sz w:val="20"/>
                <w:szCs w:val="20"/>
              </w:rPr>
            </w:pPr>
            <w:r w:rsidRPr="00055909">
              <w:rPr>
                <w:sz w:val="20"/>
                <w:szCs w:val="20"/>
              </w:rPr>
              <w:t xml:space="preserve"/>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Stability studies indicate that impurity levels should be maintained below 1% (optimized conditions achieving even 0.35%); refrigeration (storage between 8 °C and 15 °C) is recommended to counteract instability at room temperature. Detailed assay recovery data by HPLC is not provided. [Stability indicators evidence](https://www.sciencedirect.com/science/article/pii/S0376871611000317)</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Identified impurities include degradation products such as cannabinol and other unspecified degradants (e.g., labeled as Deg a, Deg b). Additional impurities may arise from excipients, although numerical levels and exact chemical identities are not detailed. [Impurities evidence](https://www.sciencedirect.com/science/article/pii/S0273230024001569)</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Based on its high lipophilicity (log Kow = 6.97) and extremely low aqueous solubility, dronabinol is categorized as BCS Class II, implying low solubility with high permeability. [Biopharmaceutical classification evidence](https://www.sciencedirect.com/science/article/pii/S0022354923001818)</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3A2A16">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3A2A16">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3A2A16">
            <w:pPr>
              <w:ind w:left="-108" w:right="-29"/>
              <w:rPr>
                <w:sz w:val="20"/>
                <w:szCs w:val="20"/>
              </w:rPr>
            </w:pPr>
            <w:r w:rsidRPr="00055909">
              <w:rPr>
                <w:b/>
                <w:bCs/>
                <w:sz w:val="20"/>
                <w:szCs w:val="20"/>
              </w:rPr>
              <w:t xml:space="preserve">Partition coefficient:</w:t>
            </w:r>
            <w:r w:rsidRPr="00055909">
              <w:rPr>
                <w:sz w:val="20"/>
                <w:szCs w:val="20"/>
              </w:rPr>
              <w:t xml:space="preserve"> 6.97 (log Kow)</w:t>
            </w:r>
          </w:p>
          <w:p w14:paraId="65E2F56C" w14:textId="222EBAA7" w:rsidR="27FD9B0B" w:rsidRPr="00055909"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experimental data on hygroscopic properties or moisture uptake is available from the validated sources.</w:t>
            </w:r>
          </w:p>
          <w:p w14:paraId="767F5ED5" w14:textId="49A23D9B" w:rsidR="27FD9B0B" w:rsidRPr="00055909"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IUPAC name evidences defined stereocenters; however, specific optical rotation values and enantiomeric purity data have not been provided in the available validated data.</w:t>
            </w: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 specific degradation temperature is not provided. The melting point of 200 °C may be considered an upper thermal limit, but degradation is primarily driven by oxidative factors rather than thermal decomposition.</w:t>
            </w:r>
          </w:p>
          <w:p w14:paraId="749E79F7" w14:textId="60B32DAA" w:rsidR="27FD9B0B" w:rsidRPr="00055909" w:rsidRDefault="27FD9B0B" w:rsidP="003A2A16">
            <w:pPr>
              <w:ind w:left="-108" w:right="-29"/>
              <w:rPr>
                <w:sz w:val="20"/>
                <w:szCs w:val="20"/>
              </w:rPr>
            </w:pPr>
            <w:r w:rsidRPr="00055909">
              <w:rPr>
                <w:sz w:val="20"/>
                <w:szCs w:val="20"/>
                <w:lang w:val="en-US"/>
              </w:rPr>
              <w:t xml:space="preserve">No explicit glass transition temperature (Tg) value has been reported; literature mentions its importance in formulation, particularly in relation to freezing processes, but no numerical Tg is available. [Glass transition temperature evidence](https://www.sciencedirect.com/science/article/pii/S0022354924006063)</w:t>
            </w:r>
          </w:p>
          <w:p w14:paraId="57F3B2DE" w14:textId="59EC67BA" w:rsidR="27FD9B0B" w:rsidRPr="00055909" w:rsidRDefault="27FD9B0B" w:rsidP="003A2A16">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Appears as a fine crystalline powder that is white to yellowish-white.</w:t>
              <w:br/>
              <w:t xml:space="preserve">• Odorless and tasteless.</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No specific solubility data provided.</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at least two polymorphic forms. The metastable modification I is noted for having a higher density and very high kinetic stability at 20 °C compared to modification II. Both forms can be crystallized from water with only minimal differences in solubility. Although detailed parameters such as exact melting points, crystal systems, or density values are not provided, strong intermolecular hydrogen bonding is identified as the driving force behind these properties. [ScienceDirect](https://www.sciencedirect.com/science/article/pii/S0022354915502724)</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392DFD64" w:rsidR="27FD9B0B" w:rsidRPr="00055909" w:rsidRDefault="27FD9B0B" w:rsidP="27FD9B0B">
            <w:pPr>
              <w:ind w:left="-108" w:right="-29"/>
              <w:jc w:val="both"/>
              <w:rPr>
                <w:sz w:val="20"/>
                <w:szCs w:val="20"/>
              </w:rPr>
            </w:pPr>
            <w:r w:rsidRPr="00055909">
              <w:rPr>
                <w:sz w:val="20"/>
                <w:szCs w:val="20"/>
              </w:rPr>
              <w:t xml:space="preserve"/>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Stability studies using buffered solutions at pH 4 demonstrate that the final dosage forms remain stable for at least 90 days at 37 °C with a potency loss of only 5%. Additionally, FDA guidelines support a tentative expiry of 2 years at 25 °C. Stability-indicating HPLC methods confirm robust separation (resolution &gt;2) between acetazolamide and its degradation products, with a mass balance close to 99.6%. [ScienceDirect](https://www.sciencedirect.com/science/article/pii/S0731708509007377)</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Degradation and stability studies have identified process-related impurities. The reference standard of acetazolamide is reported at 99.1% purity, while related impurities (imp-1, imp-2, imp-3, and imp-4) range from 99.4% to 99.7% purity. Specific CAS numbers and chemical structures for these impurities were not provided. [ScienceDirect](https://www.sciencedirect.com/science/article/pii/S0731708509007377)</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Based on the Biopharmaceutics Classification System (BCS), acetazolamide cannot be definitively classified due to insufficient solubility and permeability data. The lack of conclusive in vitro and in vivo absorption studies necessitates bioequivalence testing and precludes a biowaiver. [ScienceDirect](https://www.sciencedirect.com/science/article/pii/S0022354916326922)</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3A2A16">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3A2A16">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C4H6N4O3S2</w:t>
            </w:r>
          </w:p>
          <w:p w14:paraId="767FCAAA" w14:textId="1764C565" w:rsidR="27FD9B0B" w:rsidRPr="00055909"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3A2A16">
            <w:pPr>
              <w:ind w:left="-108" w:right="-29"/>
              <w:rPr>
                <w:sz w:val="20"/>
                <w:szCs w:val="20"/>
              </w:rPr>
            </w:pPr>
            <w:r w:rsidRPr="00055909">
              <w:rPr>
                <w:b/>
                <w:bCs/>
                <w:sz w:val="20"/>
                <w:szCs w:val="20"/>
              </w:rPr>
              <w:t xml:space="preserve">Partition coefficient:</w:t>
            </w:r>
            <w:r w:rsidRPr="00055909">
              <w:rPr>
                <w:sz w:val="20"/>
                <w:szCs w:val="20"/>
              </w:rPr>
              <w:t xml:space="preserve"> –0.45</w:t>
            </w:r>
          </w:p>
          <w:p w14:paraId="65E2F56C" w14:textId="222EBAA7" w:rsidR="27FD9B0B" w:rsidRPr="00055909"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experimental data on hygroscopicity or moisture uptake are available. Further research is required to elucidate its impact on formulation and storage stability.</w:t>
            </w:r>
          </w:p>
          <w:p w14:paraId="767F5ED5" w14:textId="49A23D9B" w:rsidR="27FD9B0B" w:rsidRPr="00055909"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No data on chirality or specific optical rotation have been reported. Additional stereochemical studies are warranted.</w:t>
            </w: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While degradation under hydrolytic stress conditions has been observed, specific degradation temperature thresholds or kinetic data are not provided. Additional research is needed to determine these parameters.</w:t>
            </w:r>
          </w:p>
          <w:p w14:paraId="749E79F7" w14:textId="60B32DAA" w:rsidR="27FD9B0B" w:rsidRPr="00055909" w:rsidRDefault="27FD9B0B" w:rsidP="003A2A16">
            <w:pPr>
              <w:ind w:left="-108" w:right="-29"/>
              <w:rPr>
                <w:sz w:val="20"/>
                <w:szCs w:val="20"/>
              </w:rPr>
            </w:pPr>
            <w:r w:rsidRPr="00055909">
              <w:rPr>
                <w:sz w:val="20"/>
                <w:szCs w:val="20"/>
                <w:lang w:val="en-US"/>
              </w:rPr>
              <w:t xml:space="preserve">No data regarding the glass transition temperature (Tg) determined by techniques such as DSC are available. Further studies are recommended.</w:t>
            </w:r>
          </w:p>
          <w:p w14:paraId="57F3B2DE" w14:textId="59EC67BA" w:rsidR="27FD9B0B" w:rsidRPr="00055909" w:rsidRDefault="27FD9B0B" w:rsidP="003A2A16">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11509" w14:textId="77777777" w:rsidR="00692C71" w:rsidRDefault="00692C71">
      <w:r>
        <w:separator/>
      </w:r>
    </w:p>
  </w:endnote>
  <w:endnote w:type="continuationSeparator" w:id="0">
    <w:p w14:paraId="445ABE59" w14:textId="77777777" w:rsidR="00692C71" w:rsidRDefault="0069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85A08" w14:textId="77777777" w:rsidR="00692C71" w:rsidRDefault="00692C71">
      <w:r>
        <w:separator/>
      </w:r>
    </w:p>
  </w:footnote>
  <w:footnote w:type="continuationSeparator" w:id="0">
    <w:p w14:paraId="3329B225" w14:textId="77777777" w:rsidR="00692C71" w:rsidRDefault="00692C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2E940D36"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5F548DBC"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4013653F-D15D-4CF9-A673-8F8E0061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46</cp:revision>
  <cp:lastPrinted>2022-01-24T13:04:00Z</cp:lastPrinted>
  <dcterms:created xsi:type="dcterms:W3CDTF">2025-01-31T13:08:00Z</dcterms:created>
  <dcterms:modified xsi:type="dcterms:W3CDTF">2025-02-11T23:23:00Z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