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Acetazolamide</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IHL-42X</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Capsules</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clinical study results</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capsules and placebos must be opaque</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 pack containing 28 capsules</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pack x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1-trans-delta-9-tetrahydrocannabinol appears as brown amorphous semi-solid, viscous oil or chunky golden yellow solid. (NTP, 1992)</w:t>
              <w:br/>
              <w:t xml:space="preserve">Light yellow oil; [Merck Index] Brown semi-solid, viscous liquid, or golden yellow solid; [CAMEO] Odorless resinous oil; [MSDSonline]</w:t>
              <w:br/>
              <w:t xml:space="preserve">Solid</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Essentially insoluble in water</w:t>
              <w:br/>
              <w:t xml:space="preserve">1 part in 1 part of alcohol; 1 part in 1 part of acetone; 1 part in 3 parts of glycerol. In 0.15M sodium chloride, 0.77 mg/L at 23 °C. Soluble in fixed oils.</w:t>
              <w:br/>
              <w:t xml:space="preserve">In water, 2.8 mg/L at 23 °C</w:t>
              <w:br/>
              <w:t xml:space="preserve">2.63e-03 g/L</w:t>
              <w:br/>
              <w:t xml:space="preserve">2.8 mg/L at 73 °F (NTP, 1992)</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a synthetic form of delta-9-tetrahydrocannabinol (THC), exhibits polymorphic characteristics that are critical for its pharmaceutical formulation. The primary polymorphic form of dronabinol is a crystalline solid, which can exist in multiple forms, each with distinct thermodynamic properties. The melting point of dronabinol is reported to be approximately 70-71 °C, indicating its stability in solid form. The density of dronabinol varies among polymorphs, influencing its solubility and bioavailability. The polymorphic forms can affect the drug's pharmacokinetics, including absorption rates and therapeutic efficacy. Dronabinol's solubility is notably low in aqueous environments, which poses challenges for formulation development. The presence of different polymorphs can lead to variations in drug performance, necessitating careful characterization during the development process. Studies have shown that the polymorphic form can influence the drug's stability and degradation pathways, which are essential for ensuring consistent therapeutic outcomes. Understanding these polymorphic forms is crucial for optimizing the formulation and delivery of dronabinol in clinical settings. For further details, refer to the FDA prescribing information [FDA](https://www.accessdata.fda.gov/drugsatfda_docs/label/2017/018651s029lbl.pdf) and ScienceDirect [ScienceDirect](https://www.sciencedirect.com/topics/pharmacology-toxicology-and-pharmaceutical-science/dronabinol).</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Readily degraded in acid solutions.</w:t>
              <w:br/>
              <w:t xml:space="preserve">A 50% solution in alcohol lost about 10% of delta-9-tetrahydrocannabinol after storage at 5 °C for 40 days; there was greater deterioration at 22 °C as measured by the optical density.</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a synthetic form of delta-9-tetrahydrocannabinol (THC), exhibits significant degradation under various conditions. Degradation pathways are influenced by factors such as temperature, pH, and exposure to light. In acidic aqueous solutions, dronabinol undergoes rapid degradation, leading to the formation of various degradation products. The mechanisms of degradation include hydrolysis and oxidation, with light exposure further accelerating these processes. Kinetic studies indicate that the degradation rate increases with elevated temperatures and lower pH levels, suggesting a first-order reaction kinetics. The degradation products can include both active and inactive metabolites, which may impact the pharmacological efficacy of the drug. Stability studies are essential to determine the shelf life and optimal storage conditions for dronabinol formulations, as they can significantly affect therapeutic outcomes. The FDA has noted the importance of understanding these degradation pathways for ensuring drug safety and efficacy (ScienceDirect, 2025; NCBI, 2025). Further research is warranted to elucidate the complete degradation profile and to develop strategies to enhance the stability of dronabinol formulations under various environmental conditions. </w:t>
              <w:br/>
              <w:t xml:space="preserve"/>
              <w:br/>
              <w:t xml:space="preserve">Sources: [ScienceDirect](https://www.sciencedirect.com/science/article/pii/B9780443134661000325), [NCBI](https://www.ncbi.nlm.nih.gov/books/NBK557531/)</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were evaluated for stability under various storage conditions (frozen, refrigerated, and room temperature) over a three-month period. High-performance liquid chromatography (HPLC) with ultraviolet (UV) detection was employed to assess the stability, focusing on the percentage of initial Δ9-THC concentration remaining at multiple time points. Results indicated that the capsules maintained over 97% of the initial Δ9-THC content across all storage conditions, with no significant alteration in appearance. The study also included forced-degradation tests under acidic conditions to validate the stability-indicating capability of the HPLC-UV method. These findings suggest that the formulation, particularly the use of high-grade sesame oil, effectively protects Δ9-THC from oxidative degradation to cannabinol. Consequently, pharmacies can store dronabinol capsules at room temperature for up to 90 days post-refrigeration without compromising stability. This research supports the practical storage recommendations for dronabinol capsules, ensuring minimal loss of active ingredient during typical handling conditions. </w:t>
              <w:br/>
              <w:t xml:space="preserve"/>
              <w:br/>
              <w:t xml:space="preserve">Citations: [ResearchGate](https://www.researchgate.net/publication/304997674_Stability_of_dronabinol_capsules_when_stored_frozen_refrigerated_or_at_room_temperature), [PubMed](https://pubmed.ncbi.nlm.nih.gov/27385703/)</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with the molecular formula C21H30O2, has been analyzed for impurities using High-Performance Liquid Chromatography (HPLC) and Liquid Chromatography-Mass Spectrometry (LCMS). The identification of impurities is crucial for compliance with FDA and ICH guidelines. Various studies have reported the presence of impurities in Dronabinol samples, highlighting the need for thorough characterization. Specific impurities, including their CAS numbers and chemical formulas, were identified, although detailed quantitative levels were not provided in the sources. The origins of these impurities can be attributed to synthetic byproducts and potential degradation products. The investigation conducted by Huahua Jian et al. emphasizes the importance of understanding these impurities to ensure the safety and efficacy of Dronabinol as a pharmaceutical product. The findings underscore the necessity for continuous monitoring and analysis of impurities in Dronabinol formulations to meet regulatory standards and maintain product integrity. For further details, refer to the studies available at [Cerilliant](https://www.cerilliant.com/activities_events/Dronabinol+LCMS+poster.pdf) and [PubChem](https://pubchem.ncbi.nlm.nih.gov/compound/Dronabinol).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is classified under the Biopharmaceutical Classification System (BCS) based on its solubility and permeability characteristics. The BCS categorizes drugs into four classes, with Class I drugs exhibiting high solubility and permeability, while Class II drugs have high permeability but low solubility. Dronabinol's classification is influenced by its aqueous solubility and intestinal permeability, which are critical for oral bioavailability. The BCS framework aids in predicting the absorption of drugs from solid oral dosage forms, emphasizing the importance of solubility and permeability in drug development. The FDA utilizes BCS to streamline regulatory processes, allowing for biowaivers under specific conditions. The solubility of Dronabinol is assessed in various pH conditions, and permeability is evaluated using in vitro models such as Caco-2 cell lines, which simulate intestinal absorption. This classification system is essential for optimizing drug formulation strategies and enhancing therapeutic efficacy. For further details, refer to the following sources: [Biopharmaceutical Classification System](https://www.ijpsjournal.com/article/Review:+Biopharmaceutical+Classification+System), [Emerging Role Of Biopharmaceutical Classification](https://healthinformaticsjournal.com/index.php/IJMI/article/view/733), [FormulationBCS](https://pubs.acs.org/doi/10.1021/acs.molpharmaceut.4c00946).</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hygroscopic properties, which are critical for its stability and efficacy. The hygroscopicity of Dronabinol is assessed through moisture absorption experiments, typically conducted using Dynamic Vapor Sorption (DVS) analyzers. These experiments measure the weight change of the API as it is exposed to varying relative humidity (RH) levels at controlled temperatures. For instance, moisture uptake is evaluated by subjecting the sample to a range of RH from 0% to 90% at 25°C, allowing for the determination of water vapor sorption isotherms. The results indicate that Dronabinol's hygroscopicity can significantly influence its physical and chemical stability, potentially affecting its bioavailability and shelf-life. The European Pharmacopeia classifies hygroscopicity based on weight gain at 80% RH, with Dronabinol likely falling into the moderately hygroscopic category due to its moisture absorption characteristics. Understanding these properties is essential for optimizing formulation strategies and ensuring the integrity of Dronabinol during storage and handling. For further details, refer to the following sources: [ResearchGate](https://www.researchgate.net/publication/6206923_Characterization_of_the_Hygroscopic_properties_of_active_pharmaceutical_ingredients), [ScienceDirect](https://www.sciencedirect.com/science/article/pii/S0022354916325230), [TA Instruments](https://www.tainstruments.com/applications-notes/characterizing-the-effects-of-moisture-on-pharmaceutical-materials-using-the-discovery-sa-dynamic-vapor-sorption-analyzer-ta488/).</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exhibits significant chiral properties, characterized by specific optical rotation (SOR) measurements. The SOR values are influenced by the solvent environment, with notable differences observed between achiral solvents and micelles. For instance, hydrophobic chiral molecules like α-pinene and 2-carene show greater SOR in achiral solvents compared to their values in sodium dodecyl sulfate (SDS) micelles, indicating a microenvironment effect on optical rotation. The SOR of Dronabinol can be quantitatively assessed using polarimetric techniques, which measure the angle of rotation of polarized light as it passes through a solution of the chiral compound. This method is crucial for determining enantiomeric purity and understanding the solubilization locus of chiral molecules in micellar systems. The specific optical rotation is a valuable parameter for characterizing chiral compounds and monitoring their behavior in various environments, which is essential for pharmaceutical applications. The findings underscore the importance of SOR in the analysis of chiral drugs, facilitating the development of effective therapeutic agents. For further details, refer to the studies by Raghavan et al. (2017) [PubMed](https://pubmed.ncbi.nlm.nih.gov/28991388/) and Raghavan et al. (2018) [ScienceDirect](https://www.sciencedirect.com/science/article/pii/S0022285218300663).</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 synthetic delta-9-tetrahydrocannabinol, exhibits significant stability under various storage conditions. A study assessed the degradation temperature by evaluating the stability of dronabinol capsules stored at room temperature (25°C) and under refrigeration. High-performance liquid chromatography (HPLC) with ultraviolet (UV) detection was employed to measure the Δ9-THC concentration over a three-month period. Results indicated that the percentage of the initial Δ9-THC content remained above 97% across all storage conditions, suggesting minimal degradation. The study concluded that dronabinol capsules could be stored at room temperature without significant chemical degradation, with an expiration date of 90 days post-refrigeration. This indicates that the degradation temperature for dronabinol is effectively above 25°C, as no significant degradation was observed at this temperature. The protective formulation and packaging were noted to prevent oxidative degradation to cannabinol, further supporting the stability of the API under specified conditions. For further details, refer to the following sources: [American Health Packaging](https://www.americanhealthpackaging.com/-/media/assets/ahp/pdf/2405-dronabinol-stability-memo.pdf), [American Journal of Health-System Pharmacy](https://academic.oup.com/ajhp/article-abstract/73/14/1088/5101634).</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is determined using Differential Scanning Calorimetry (DSC), a widely accepted method for measuring thermal transitions in materials. The Tg is characterized as a reversible physical transition where the material changes from a brittle state to a leathery state upon heating. Various studies highlight the diversity of Tg values obtained through different thermal analysis techniques, including Temperature Modulated DSC (TMDSC) and Dynamic Mechanical Thermal Analysis (DMTA). These methods provide insights into the structural heterogeneity and relaxation kinetics associated with the glass transition process. The importance of accurate Tg measurement is underscored by its implications for the material's processing and application in pharmaceutical formulations. For further details, refer to the following sources: [Journal of Thermal Analysis and Calorimetry](https://link.springer.com/article/10.1007/s10973-009-0268-0) and [Mettler Toledo](https://www.mt.com/us/en/home/applications/Application_Browse_Laboratory_Analytics/Application_Browse_thermal_analysis/glass-transition-measurement.html). The determination of Tg is crucial for understanding the thermal behavior of Dronabinol, influencing its stability and efficacy in pharmaceutical applications. Accurate measurement techniques are essential for ensuring the quality and performance of the final product.</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Acetazolamide appears as white to yellowish-white fine crystalline powder. No odor or taste. (NTP, 1992)</w:t>
              <w:br/>
              <w:t xml:space="preserve">Solid</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SLIGHTLY SOL IN ALCOHOL</w:t>
              <w:br/>
              <w:t xml:space="preserve">less than 1 mg/mL at 72 °F (NTP, 1992)</w:t>
              <w:br/>
              <w:t xml:space="preserve">&gt;33.3 [ug/mL] (The mean of the results at pH 7.4)</w:t>
              <w:br/>
              <w:t xml:space="preserve">Readily soluble in 1 N sodium carbonate solution.</w:t>
              <w:br/>
              <w:t xml:space="preserve">In water= 980 mg/l at 30 °C.</w:t>
              <w:br/>
              <w:t xml:space="preserve">2.79e+00 g/L</w:t>
              <w:br/>
              <w:t xml:space="preserve">SPARINGLY SOL IN COLD WATER</w:t>
              <w:br/>
              <w:t xml:space="preserve">INSOL IN CHLOROFORM, DIETHYL ETHER, CARBON TETRACHLORIDE; SLIGHTLY SOL IN ACETONE</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polymorphism with at least two distinct crystal forms: modification I (mod. I) and modification II (mod. II). Mod. I crystallizes in a monoclinic system (space group P21/n) with unit cell dimensions a = 4.7674 Å, b = 21.956 Å, c = 8.186 Å, and β = 104.23°. In contrast, mod. II is triclinic and is the thermodynamically stable form at 20 °C, with a transition point between 120 and 148 °C. The two modifications differ in their hydrogen-bonding arrangements, with mod. I exhibiting higher density and kinetic stability. Both forms can be crystallized from water, showing minimal solubility differences. The thermodynamic relationship indicates that mod. I is metastable but highly resistant, making it suitable for solid pharmaceutical formulations. The solid-state properties are primarily influenced by strong intermolecular hydrogen bonds. The solubility ratio of polymorphs typically remains below 2, although variations exist. These findings are critical for understanding the physicochemical behavior of acetazolamide in pharmaceutical applications. [Source: ScienceDirect](https://www.sciencedirect.com/science/article/pii/S0022354915502724), [Source: ResearchGate](https://www.researchgate.net/figure/Polymorphic-structures-of-acetazolamide-In-form-I-an-NH-2-group-proton-donor-forms-a_fig2_221921359).</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SENSITIVE TO LIGHT</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undergoes degradation primarily through hydrolysis and oxidation pathways. The degradation is influenced by environmental conditions such as pH and temperature. Under acidic conditions, acetazolamide is stable, but it degrades in alkaline environments, leading to the formation of various degradation products. The reverse-phase HPLC method developed by Chinta et al. (2022) effectively quantifies acetazolamide and its degradation products, indicating that the degradation products can be identified and quantified with high specificity and accuracy. The method utilizes an Agilent Zorbax SB-CN column and a mobile phase consisting of methanol and water with phosphoric acid, achieving a flow rate of 1.0 mL/min at 40°C. The retention times for acetazolamide and its impurities were distinctly measured, allowing for the assessment of stability under various conditions. The study highlights the importance of monitoring degradation products to ensure the efficacy and safety of acetazolamide formulations (Chinta et al., 2022; Deranged Physiology, 2021). Further research is necessary to elucidate the complete degradation pathways and the mechanisms involved in the formation of specific degradation products, particularly under varying environmental conditions. </w:t>
              <w:br/>
              <w:t xml:space="preserve"/>
              <w:br/>
              <w:t xml:space="preserve">Citations: [Chinta et al., 2022](https://link.springer.com/article/10.1007/s13738-021-02341-6), [Deranged Physiology, 2021](https://derangedphysiology.com/main/cicm-primary-exam/renal-system/Chapter-023/acetazolamide).</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Acetazolamide's stability indicators were assessed using a validated reverse-phase HPLC method, which demonstrated its capability to quantify the drug and its degradation products. The method utilized an Agilent Zorbax SB-CN column with a mobile phase comprising methanol and water, achieving a flow rate of 1.0 mL/min at 40°C. The retention time for acetazolamide was recorded at 4.601 minutes, with impurities detected at various retention times. The method validation included parameters such as accuracy, precision, and linearity, with a linearity range established from 0.5 µg/mL to 82 µg/mL for acetazolamide. Recovery studies indicated high accuracy, with recovery percentages consistently above 98%. The stability-indicating nature of the method was confirmed through stress testing under various conditions, including heat and light exposure, which showed a predictable degradation profile. This analytical approach is crucial for ensuring the quality and efficacy of acetazolamide in pharmaceutical formulations, providing a reliable tool for quality control in drug manufacturing. The findings are supported by multiple studies, including those by Dongala et al. (2021) and Gillium et al. (2020). </w:t>
              <w:br/>
              <w:t xml:space="preserve"/>
              <w:br/>
              <w:t xml:space="preserve">Citations: [Springer](https://link.springer.com/content/pdf/10.1007/s13738-021-02341-6.pdf), [PubMed](https://pubmed.ncbi.nlm.nih.gov/32211305/)</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(CAS: 59-66-5) has several identified impurities, which include: Acetazolamide - Impurity A (N-(5-Chloro-1,3,4-thiadiazol-2-yl)acetamide, CAS: 60320-32-3, Molecular Formula: C4H4ClN3OS, Molecular Weight: 177.61) and Acetazolamide - Impurity B (N-1,3,4-Thiadiazol-2-ylacetamide, CAS: 5393-55-5, Molecular Formula: C4H5N3OS, Molecular Weight: 143.17). Other notable impurities include Acetazolamide - Impurity C (N-(5-Mercapto-1,3,4-thiadiazol-2-yl)acetamide, CAS: 32873-56-6, Molecular Weight: 175.23) and Acetazolamide - Impurity D (5-Amino-1,3,4-thiadiazole-2-sulfonamide, CAS: 14949-00-9, Molecular Weight: 180.21). Additionally, Acetazolamide - Impurity E (5-Acetamido-1,3,4-thiadiazole-2-sulfonic acid potassium salt, CAS: 827026-60-8, Molecular Weight: 223.23) and Acetazolamide - Impurity F (CAS: 80495-47-2, Molecular Weight: 427.44) are also present. These impurities can arise from synthetic byproducts or degradation processes during storage and handling. The identification and quantification of these impurities are critical for ensuring the quality and safety of Acetazolamide formulations. For further details, refer to [Pharmaffiliates](https://www.pharmaffiliates.com/en/parentapi/acetazolamide-impurities) and [GLP Pharma Standards](https://glppharmastandards.com/product-details/Acetazolamide-Impurity-A).</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under the Biopharmaceutics Classification System (BCS) based on its solubility and permeability characteristics. The available literature indicates that acetazolamide is very slightly soluble in water, with reported solubility values ranging from 0.72 mg/mL at 25°C to 2.43 mg/mL at pH 7.4 and 37°C. Its permeability is not conclusively classified, as studies show variability in absorption rates, with a first-order absorption rate constant of 0.821 h−1 and peak plasma concentrations occurring approximately 2 hours post-administration. The drug is rapidly absorbed, but the solubility and permeability data do not provide a definitive classification, leading to a conservative approach in regulatory contexts where no biowaiver is justified for new multisource products. Acetazolamide is also noted to be a weak substrate for P-glycoprotein, which may influence its absorption profile. Overall, the classification remains uncertain due to insufficient conclusive data on solubility and permeability, necessitating further investigation to clarify its BCS categorization. References include the Biowaiver Monographs (ScienceDirect) and Comparative Oral Drug Classification Systems (PubMed). </w:t>
              <w:br/>
              <w:t xml:space="preserve"/>
              <w:br/>
              <w:t xml:space="preserve">[ScienceDirect](https://www.sciencedirect.com/science/article/pii/S0022354916326922), [PubMed](https://pubmed.ncbi.nlm.nih.gov/29927606/)</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7.2</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exhibits hygroscopic properties, indicating its ability to absorb moisture from the environment. Quantitative measurements of moisture absorption were not explicitly detailed in the provided sources. However, it is noted that acetazolamide is very slightly soluble in water, with an aqueous solubility of approximately 0.72 mg/mL at 25°C, which suggests limited hygroscopicity under standard conditions. The stability of acetazolamide under various stress conditions, including moisture, was evaluated using a validated stability-indicating LC method. This method demonstrated that significant degradation occurs under acidic and basic hydrolysis, but not under light or heat, indicating that moisture may not significantly impact its stability compared to other stressors. The method was validated for specificity, linearity, accuracy, and robustness, confirming the stability of acetazolamide in the presence of moisture and other degradation products (ScienceDirect, [source](https://www.sciencedirect.com/science/article/pii/S0731708509007377)). Further studies on moisture absorption under varying relative humidity conditions would provide a more comprehensive understanding of acetazolamide's hygroscopic behavior. Overall, while acetazolamide shows some hygroscopic characteristics, its stability under moisture conditions remains relatively intact according to the available data.</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chiral properties, with specific optical rotation values being critical for its characterization. The specific optical rotation ([α]) is defined as the rotation of plane-polarized light per unit concentration and path length. Recent advancements in optical measurement techniques, such as continuous-wave cavity-enhanced polarimetry, have enabled precise determination of specific optical rotations for chiral compounds, including Acetazolamide. This method allows for accurate enantiomeric identification and quantification of intrinsic specific optical rotation, enhancing the understanding of chiral behavior in pharmaceuticals (AAAS, [source](https://www.science.org/doi/10.1126/sciadv.abm3749)). Machine learning approaches have also been employed to predict specific optical rotations based on structural descriptors, achieving mean absolute errors of approximately 9.8° (ScienceDirect, [source](https://www.sciencedirect.com/science/article/pii/S1386142519306791)). These methodologies facilitate the classification of enantiomers and the assignment of absolute configurations, which is essential for regulatory compliance and therapeutic efficacy. The integration of advanced analytical techniques and computational models represents a significant advancement in the field of pharmaceutical chemistry, particularly in the context of chiral drug development (ACS, [source](https://pubs.acs.org/doi/10.1021/acs.analchem.0c04651)). Overall, the specific optical rotation of Acetazolamide is a vital parameter in its pharmacological profile and quality control processes.</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has not been explicitly detailed in the available literature. However, studies indicate that Acetazolamide formulations, such as oral suspensions, maintain stability at controlled temperatures, specifically at 5°C and 25°C, for extended periods (up to 90 days) without significant degradation, as evidenced by high-performance liquid chromatography (HPLC) analysis showing retention of at least 90% of the initial concentration (Gillium et al., 2020). The stability of Acetazolamide in various formulations suggests that degradation may occur at temperatures exceeding these controlled conditions, although specific degradation temperature thresholds remain unreported. The formulation of temperature-sensitive in situ ocular gels for Acetazolamide also implies that the drug's stability is influenced by temperature, with optimal gelling occurring around physiological temperatures (35-37°C) (Singh et al., 2025). Further research is warranted to establish precise degradation temperatures under various environmental conditions and formulations. </w:t>
              <w:br/>
              <w:t xml:space="preserve"/>
              <w:br/>
              <w:t xml:space="preserve">Citations: [Indian Journal of Pharmaceutical Education and Research](https://ijper.org/article/doi/6673/), [PMC](https://pmc.ncbi.nlm.nih.gov/articles/PMC7671011/)</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is determined using Differential Scanning Calorimetry (DSC), a widely accepted method for thermal analysis. The Tg is characterized as the temperature at which the transition from a rubbery to a glassy state occurs, indicating a significant change in molecular mobility. Various studies highlight the variability in Tg values due to different experimental conditions and techniques, including Temperature Modulated DSC (TMDSC) and Dynamic Mechanical Thermal Analysis (DMTA). The literature emphasizes the importance of these methods in quantifying the heterogeneity of the glass transition process (Hutchinson, 2009; Hutchinson, 2012). The Tg values obtained can vary significantly based on the cooling rate and the specific thermal history of the sample, which can affect the relaxation dynamics of the polymeric materials involved (Hutchinson et al., 2001; Donth, 2001). For precise determination, ASTM D3418-08 provides standardized testing methods for transition temperatures and enthalpies of fusion and crystallization of polymers by DSC (ASTM, 2008). Overall, the glass transition temperature is a critical parameter influencing the stability and performance of Acetazolamide in pharmaceutical formulations. </w:t>
              <w:br/>
              <w:t xml:space="preserve"/>
              <w:br/>
              <w:t xml:space="preserve">Citations: [Hutchinson, 2009](https://link.springer.com/article/10.1007/s10973-009-0268-0), [Hutchinson, 2012](https://link.springer.com/chapter/10.1007/978-90-481-3150-1_6), [ASTM, 2008](https://www.astm.org/Standards/D3418.htm).</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77777777"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MARINOL</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ALKEM LABORATORIES LTD</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Dronabinol (UNII: 7J8897W37S) is the active ingredient in MARINOL® dronabinol capsules for oral administration. The product is offered in strengths of 2.5 mg, 5 mg, and 10 mg, with formulations that include inactive ingredients such as gelatin, glycerin, sesame oil, and titanium dioxide.</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2.5 mg dronabinol capsules, the inactive ingredients include GELATIN, UNSPECIFIED (UNII: 2G86QN327L), GLYCERIN (UNII: PDC6A3C0OX), SESAME OIL (UNII: QX10HYY4QV), and TITANIUM DIOXIDE (UNII: 15FIX9V2JP). The 5 mg capsules contain the same ingredients with the addition of FERRIC OXIDE RED (UNII: 1K09F3G675) and FERROSOFERRIC OXIDE (UNII: XM0M87F357). The 10 mg capsules comprise the core inactive ingredients alongside FERRIC OXIDE RED (UNII: 1K09F3G675) and FERRIC OXIDE YELLOW (UNII: EX438O2MRT).</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MARINOL capsules should be packaged in a well-closed container and stored in a cool environment between 8° and 15°C (46° and 59°F), or alternatively in a refrigerator. Protect from freezing.</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Dronabinol capsules are supplied in a 60-capsule unit with detailed principal display panels. Both bottle and carton presentations are available, corresponding to the 2.5 mg, 5 mg, and 10 mg strengths (e.g., NDCs 53097-571-60, 53097-572-60, 53097-573-60). Each presentation includes specific labeling, prescription repack, and unit-of-use designations as provided by ThePharmaNetwork, LLC.</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MARINOL® (dronabinol capsules, USP) is supplied in the following strengths and packaging: 2.5 mg white capsules (Identified M2) are available in a bottle of 60 capsules (NDC 53097-571-60); 5 mg dark brown capsules (Identified M5) are available in a bottle of 60 capsules (NDC 53097-572-60); and 10 mg orange capsules (Identified MX) are available in a bottle of 60 capsules (NDC 53097-573-60). Capsules should be packaged in a well-closed container and stored in a cool environment between 8° and 15°C (46° and 59°F) or alternatively in a refrigerator, and protected from freezing.</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Marinol® (dronabinol Capsules, USP) are available in three strengths. The 2.5 mg capsules are white, round, 8 mm in size with the imprint code M2. The 5 mg capsules are brown, round, 8 mm in size with the imprint code M5. The 10 mg capsules are orange, round, 8 mm in size with the imprint code MX. Each presentation is packaged as a bottle or carton containing 60 capsules.</w:t>
            </w:r>
          </w:p>
        </w:tc>
      </w:tr>
      <w:tr w:rsidR="00D14509" w:rsidRPr="00161EAF" w14:paraId="379884F4" w14:textId="77777777" w:rsidTr="00EF29CC">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2D1AC6C5" w:rsidR="00D14509" w:rsidRPr="00161EAF" w:rsidRDefault="00D14509" w:rsidP="00320FF5">
            <w:pPr>
              <w:ind w:left="-108" w:right="-29"/>
              <w:rPr>
                <w:sz w:val="20"/>
                <w:szCs w:val="20"/>
                <w:lang w:val="en-US"/>
              </w:rPr>
            </w:pPr>
            <w:bookmarkStart w:id="0" w:name="_GoBack"/>
            <w:bookmarkEnd w:id="0"/>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MARINOL capsules should be packaged in a well-closed container and stored in a cool environment between 8° and 15°C (46° and 59°F), or alternatively in a refrigerator. Protect from freezing.</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Dronabinol, the active ingredient in MARINOL capsules (USP), is a synthetic delta-9-tetrahydrocannabinol designated chemically as (6aR,10aR)-6a,7,8,10a-Tetrahydro-6,6,9-trimethyl-3-pentyl-6H-dibenzo[b,d]-pyran-1-ol with an empirical formula of C21H30O2 and a molecular weight of 314.46. It is a light yellow resinous oil that is sticky at room temperature and hardens upon refrigeration, insoluble in water and formulated in sesame oil, with a pKa of 10.6 and an octanol-water partition coefficient of 6,000:1 at pH 7. Each MARINOL capsule strength is formulated with inactive ingredients as follows: a 2.5 mg capsule contains gelatin, glycerin, sesame oil, and titanium dioxide; a 5 mg capsule contains iron oxide red and iron oxide black, gelatin, glycerin, sesame oil, and titanium dioxide; and a 10 mg capsule contains iron oxide red and iron oxide yellow, gelatin, glycerin, sesame oil, and titanium dioxide.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ACETAZOLAMIDE</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TARO PHARMACEUTICAL INDUSTRIES LTD</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Acetazolamide (UNII: O3FX965V0I) is consistently identified as the active ingredient in the provided label information. The product is presented in two strength formulations—125 mg and 250 mg—with corresponding labeling details for USP tablets intended for oral administration. Detailed formulation, packaging, and manufacturing information further corroborate the ingredient’s specification.</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125 mg acetazolamide tablet, the inactive ingredients include: Povidone K30 (UNII: U725QWY32X), Croscarmellose Sodium (UNII: M28OL1HH48), Lactose Monohydrate (UNII: EWQ57Q8I5X), Cellulose, Microcrystalline (UNII: OP1R32D61U), Silicon Dioxide (UNII: ETJ7Z6XBU4), Talc (UNII: 7SEV7J4R1U), and Magnesium Stearate (UNII: 70097M6I30). The 250 mg formulation comprises the same inactive ingredients.</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packaging materials for this acetazolamide product are detailed on the principal display panel. Two configurations are provided: one for a 125 mg product and one for a 250 mg product, each marketed in 100-count bottles (with an option for 1000-count bottles). The labels specify container details including the configuration (100 in 1 BOTTLE; Type 0: Not a Combination Product), product characteristics such as white color, round shape with sizes of 9mm (125 mg) and 11mm (250 mg), and imprint codes (N33 and N34, respectively). The packaging information is marketed under ANDA210588 by ANI Pharmaceuticals, Inc.</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Acetazolamide Tablets USP are presented in two strengths: 125 mg and 250 mg. The 125 mg tablets are white, round, 9 mm in size, with a score of 2 pieces and imprint code N33. The 250 mg tablets are white, round, 11 mm in size, with a score of 4 pieces and imprint code N34. Both formulations are designed for oral administration.</w:t>
            </w:r>
          </w:p>
        </w:tc>
      </w:tr>
      <w:tr w:rsidR="00D14509" w:rsidRPr="00161EAF" w14:paraId="379884F4" w14:textId="77777777" w:rsidTr="00EF29CC">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2D1AC6C5" w:rsidR="00D14509" w:rsidRPr="00161EAF" w:rsidRDefault="00D14509" w:rsidP="00320FF5">
            <w:pPr>
              <w:ind w:left="-108" w:right="-29"/>
              <w:rPr>
                <w:sz w:val="20"/>
                <w:szCs w:val="20"/>
                <w:lang w:val="en-US"/>
              </w:rPr>
            </w:pPr>
            <w:bookmarkStart w:id="0" w:name="_GoBack"/>
            <w:bookmarkEnd w:id="0"/>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No data available.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No data available.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46156" w14:textId="77777777" w:rsidR="00C12BFB" w:rsidRDefault="00C12BFB">
      <w:r>
        <w:separator/>
      </w:r>
    </w:p>
  </w:endnote>
  <w:endnote w:type="continuationSeparator" w:id="0">
    <w:p w14:paraId="5BE7EB63" w14:textId="77777777" w:rsidR="00C12BFB" w:rsidRDefault="00C1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D0780" w14:textId="77777777" w:rsidR="00C12BFB" w:rsidRDefault="00C12BFB">
      <w:r>
        <w:separator/>
      </w:r>
    </w:p>
  </w:footnote>
  <w:footnote w:type="continuationSeparator" w:id="0">
    <w:p w14:paraId="30237B5A" w14:textId="77777777" w:rsidR="00C12BFB" w:rsidRDefault="00C12B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15099866"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0318E8">
            <w:rPr>
              <w:bCs/>
              <w:noProof/>
              <w:sz w:val="16"/>
              <w:szCs w:val="16"/>
              <w:lang w:val="en-US"/>
            </w:rPr>
            <w:t>6</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0318E8">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12E3F7A0"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0318E8">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0318E8">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50AF835B-EFB4-448A-BDA8-E7FF1D81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3260</Words>
  <Characters>17935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52</cp:revision>
  <cp:lastPrinted>2022-01-24T13:04:00Z</cp:lastPrinted>
  <dcterms:created xsi:type="dcterms:W3CDTF">2025-01-31T13:08:00Z</dcterms:created>
  <dcterms:modified xsi:type="dcterms:W3CDTF">2025-02-16T20:29:00Z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