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Times New Roman" w:cs="Times New Roman" w:eastAsia="Times New Roman" w:hAnsi="Times New Roman"/>
          <w:b/>
          <w:bCs/>
          <w:sz w:val="36"/>
          <w:szCs w:val="36"/>
        </w:rPr>
        <w:t xml:space="preserve">Ramsey-Theoretic Lower Bounds on LLM Hallucinations:</w:t>
      </w:r>
    </w:p>
    <w:p>
      <w:pPr>
        <w:spacing w:before="0" w:after="120"/>
        <w:jc w:val="center"/>
      </w:pPr>
      <w:r>
        <w:rPr>
          <w:rFonts w:ascii="Times New Roman" w:cs="Times New Roman" w:eastAsia="Times New Roman" w:hAnsi="Times New Roman"/>
          <w:b/>
          <w:bCs/>
          <w:sz w:val="36"/>
          <w:szCs w:val="36"/>
        </w:rPr>
        <w:t xml:space="preserve">Empirical Evidence for Structurally Inevitable Hallucination</w:t>
      </w:r>
    </w:p>
    <w:p>
      <w:pPr>
        <w:spacing w:before="240" w:after="80"/>
        <w:jc w:val="center"/>
      </w:pPr>
      <w:r>
        <w:rPr>
          <w:rFonts w:ascii="Times New Roman" w:cs="Times New Roman" w:eastAsia="Times New Roman" w:hAnsi="Times New Roman"/>
          <w:i/>
          <w:iCs/>
          <w:sz w:val="24"/>
          <w:szCs w:val="24"/>
        </w:rPr>
        <w:t xml:space="preserve">Ivanshu Kaushik</w:t>
      </w:r>
    </w:p>
    <w:p>
      <w:pPr>
        <w:spacing w:before="0" w:after="480"/>
        <w:jc w:val="center"/>
      </w:pPr>
      <w:r>
        <w:rPr>
          <w:rFonts w:ascii="Times New Roman" w:cs="Times New Roman" w:eastAsia="Times New Roman" w:hAnsi="Times New Roman"/>
          <w:color w:val="666666"/>
          <w:sz w:val="20"/>
          <w:szCs w:val="20"/>
        </w:rPr>
        <w:t xml:space="preserve">March 2026  ·  Preliminary Draft</w:t>
      </w:r>
    </w:p>
    <w:p>
      <w:pPr>
        <w:pBdr>
          <w:bottom w:val="single" w:color="444444" w:sz="6"/>
        </w:pBdr>
        <w:spacing w:before="120" w:after="12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
      </w:r>
    </w:p>
    <w:p>
      <w:pPr>
        <w:spacing w:before="0" w:after="120"/>
      </w:pPr>
      <w:r>
        <w:rPr>
          <w:rFonts w:ascii="Times New Roman" w:cs="Times New Roman" w:eastAsia="Times New Roman" w:hAnsi="Times New Roman"/>
          <w:b/>
          <w:bCs/>
          <w:smallCaps/>
          <w:sz w:val="24"/>
          <w:szCs w:val="24"/>
        </w:rPr>
        <w:t xml:space="preserve">Abstract</w:t>
      </w:r>
    </w:p>
    <w:p>
      <w:pPr>
        <w:spacing w:line="360" w:lineRule="auto" w:before="0" w:after="240"/>
        <w:ind w:left="720" w:right="720"/>
      </w:pPr>
      <w:r>
        <w:rPr>
          <w:rFonts w:ascii="Times New Roman" w:cs="Times New Roman" w:eastAsia="Times New Roman" w:hAnsi="Times New Roman"/>
          <w:sz w:val="22"/>
          <w:szCs w:val="22"/>
        </w:rPr>
        <w:t xml:space="preserve">We investigate whether a provable mathematical lower bound on large language model (LLM) hallucination rates exists — a class of errors that no training procedure or decoding strategy can eliminate. Drawing on Ramsey theory and the sparse random graph model of Rödl and Ruciński, we show that any sufficiently large token co-occurrence graph must contain spurious PPMI (Positive Pointwise Mutual Information) triangles: token triples that are statistically co-associated but lack causal grounding. We term the hallucinations arising from these structures </w:t>
      </w:r>
      <w:r>
        <w:rPr>
          <w:rFonts w:ascii="Times New Roman" w:cs="Times New Roman" w:eastAsia="Times New Roman" w:hAnsi="Times New Roman"/>
          <w:i/>
          <w:iCs/>
          <w:sz w:val="22"/>
          <w:szCs w:val="22"/>
        </w:rPr>
        <w:t xml:space="preserve">Type I (Ramsey-inevitable)</w:t>
      </w:r>
      <w:r>
        <w:rPr>
          <w:rFonts w:ascii="Times New Roman" w:cs="Times New Roman" w:eastAsia="Times New Roman" w:hAnsi="Times New Roman"/>
          <w:sz w:val="22"/>
          <w:szCs w:val="22"/>
        </w:rPr>
        <w:t xml:space="preserve">. Using WikiText-103 as a training corpus and GPT-2 evaluated against TruthfulQA, we find: (1) the PPMI graph enters the Ramsey regime at </w:t>
      </w:r>
      <w:r>
        <w:rPr>
          <w:rFonts w:ascii="Times New Roman" w:cs="Times New Roman" w:eastAsia="Times New Roman" w:hAnsi="Times New Roman"/>
          <w:i/>
          <w:iCs/>
          <w:sz w:val="22"/>
          <w:szCs w:val="22"/>
        </w:rPr>
        <w:t xml:space="preserve">n* = 10</w:t>
      </w:r>
      <w:r>
        <w:rPr>
          <w:rFonts w:ascii="Times New Roman" w:cs="Times New Roman" w:eastAsia="Times New Roman" w:hAnsi="Times New Roman"/>
          <w:sz w:val="22"/>
          <w:szCs w:val="22"/>
        </w:rPr>
        <w:t xml:space="preserve"> tokens — any realistic text is already inside the regime; (2) observed triangle counts exceed sparse random graph baselines by factors of 1.5–45× across all tested parameters (Z-scores 350–7,031, all significant at p &lt; 10</w:t>
      </w:r>
      <w:r>
        <w:rPr>
          <w:rFonts w:ascii="Times New Roman" w:cs="Times New Roman" w:eastAsia="Times New Roman" w:hAnsi="Times New Roman"/>
          <w:sz w:val="18"/>
          <w:szCs w:val="18"/>
        </w:rPr>
        <w:t xml:space="preserve">−100</w:t>
      </w:r>
      <w:r>
        <w:rPr>
          <w:rFonts w:ascii="Times New Roman" w:cs="Times New Roman" w:eastAsia="Times New Roman" w:hAnsi="Times New Roman"/>
          <w:sz w:val="22"/>
          <w:szCs w:val="22"/>
        </w:rPr>
        <w:t xml:space="preserve">); and (3) in the Proverbs category of TruthfulQA, hallucinated answers contain PPMI triangles at a rate of 85.7% versus 18.2% for correct answers (p = 0.044). Triangles with zero local co-occurrence in the training corpus but high global PPMI appear exclusively in hallucinated answers, constituting direct evidence of the Type I mechanism. These results establish a concrete empirical and theoretical framework for a provable hallucination lower bound.</w:t>
      </w:r>
    </w:p>
    <w:p>
      <w:pPr>
        <w:pBdr>
          <w:bottom w:val="single" w:color="444444" w:sz="6"/>
        </w:pBdr>
        <w:spacing w:before="120" w:after="12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
      </w:r>
    </w:p>
    <w:p>
      <w:pPr>
        <w:pStyle w:val="Heading1"/>
        <w:spacing w:before="480" w:after="120"/>
      </w:pPr>
      <w:r>
        <w:rPr>
          <w:rFonts w:ascii="Times New Roman" w:cs="Times New Roman" w:eastAsia="Times New Roman" w:hAnsi="Times New Roman"/>
          <w:b/>
          <w:bCs/>
          <w:caps/>
          <w:sz w:val="28"/>
          <w:szCs w:val="28"/>
        </w:rPr>
        <w:t xml:space="preserve">1.  Introduction</w:t>
      </w:r>
    </w:p>
    <w:p>
      <w:pPr>
        <w:spacing w:line="480" w:lineRule="auto" w:before="0" w:after="0"/>
      </w:pPr>
      <w:r>
        <w:rPr>
          <w:rFonts w:ascii="Times New Roman" w:cs="Times New Roman" w:eastAsia="Times New Roman" w:hAnsi="Times New Roman"/>
          <w:sz w:val="24"/>
          <w:szCs w:val="24"/>
        </w:rPr>
        <w:t xml:space="preserve">Hallucination in large language models — the generation of fluent but factually incorrect text — is widely treated as an engineering problem amenable to better training data, reinforcement learning from human feedback, or improved decoding. In this paper we ask a more fundamental question: is there a class of hallucinations that is </w:t>
      </w:r>
      <w:r>
        <w:rPr>
          <w:rFonts w:ascii="Times New Roman" w:cs="Times New Roman" w:eastAsia="Times New Roman" w:hAnsi="Times New Roman"/>
          <w:i/>
          <w:iCs/>
          <w:sz w:val="24"/>
          <w:szCs w:val="24"/>
        </w:rPr>
        <w:t xml:space="preserve">provably unavoidable</w:t>
      </w:r>
      <w:r>
        <w:rPr>
          <w:rFonts w:ascii="Times New Roman" w:cs="Times New Roman" w:eastAsia="Times New Roman" w:hAnsi="Times New Roman"/>
          <w:sz w:val="24"/>
          <w:szCs w:val="24"/>
        </w:rPr>
        <w:t xml:space="preserve">, guaranteed by the mathematical structure of any sufficiently large training corpus, regardless of how well the model is trained?</w:t>
      </w:r>
    </w:p>
    <w:p>
      <w:pPr>
        <w:spacing w:line="240"/>
      </w:pPr>
      <w:r>
        <w:rPr>
          <w:rFonts w:ascii="Times New Roman" w:cs="Times New Roman" w:eastAsia="Times New Roman" w:hAnsi="Times New Roman"/>
          <w:sz w:val="24"/>
          <w:szCs w:val="24"/>
        </w:rPr>
        <w:t xml:space="preserve"/>
      </w:r>
    </w:p>
    <w:p>
      <w:pPr>
        <w:spacing w:line="480" w:lineRule="auto" w:before="0" w:after="0"/>
      </w:pPr>
      <w:r>
        <w:rPr>
          <w:rFonts w:ascii="Times New Roman" w:cs="Times New Roman" w:eastAsia="Times New Roman" w:hAnsi="Times New Roman"/>
          <w:sz w:val="24"/>
          <w:szCs w:val="24"/>
        </w:rPr>
        <w:t xml:space="preserve">The answer, we argue, is yes. Ramsey theory — the branch of combinatorics concerned with the inevitability of structure in large systems — guarantees that any large enough graph must contain complete subgraphs. Applied to the token co-occurrence graph of a training corpus, this implies the existence of token triples with high mutual co-association that have no causal semantic grounding: the corpus is simply too large to avoid them. When an LLM follows these co-association patterns at inference time, it produces a hallucination whose cause is not a training deficiency but a mathematical inevitability.</w:t>
      </w:r>
    </w:p>
    <w:p>
      <w:pPr>
        <w:spacing w:line="240"/>
      </w:pPr>
      <w:r>
        <w:rPr>
          <w:rFonts w:ascii="Times New Roman" w:cs="Times New Roman" w:eastAsia="Times New Roman" w:hAnsi="Times New Roman"/>
          <w:sz w:val="24"/>
          <w:szCs w:val="24"/>
        </w:rPr>
        <w:t xml:space="preserve"/>
      </w:r>
    </w:p>
    <w:p>
      <w:pPr>
        <w:spacing w:line="480" w:lineRule="auto" w:before="0" w:after="0"/>
      </w:pPr>
      <w:r>
        <w:rPr>
          <w:rFonts w:ascii="Times New Roman" w:cs="Times New Roman" w:eastAsia="Times New Roman" w:hAnsi="Times New Roman"/>
          <w:sz w:val="24"/>
          <w:szCs w:val="24"/>
        </w:rPr>
        <w:t xml:space="preserve">We formalise this argument, correct prior mathematical errors in the application of Goodman's theorem to sparse graphs, and provide the first empirical measurements of the Ramsey hallucination index (RHI) on a standard benchmark. Our three-class taxonomy distinguishes Type I (Ramsey-inevitable), Type II (distribution-induced), and Type III (decoding-stochastic) hallucinations and clarifies which classes are and are not mitigable through engineering.</w:t>
      </w:r>
    </w:p>
    <w:p>
      <w:pPr>
        <w:spacing w:line="240"/>
      </w:pPr>
      <w:r>
        <w:rPr>
          <w:rFonts w:ascii="Times New Roman" w:cs="Times New Roman" w:eastAsia="Times New Roman" w:hAnsi="Times New Roman"/>
          <w:sz w:val="24"/>
          <w:szCs w:val="24"/>
        </w:rPr>
        <w:t xml:space="preserve"/>
      </w:r>
    </w:p>
    <w:p>
      <w:pPr>
        <w:pStyle w:val="Heading1"/>
        <w:spacing w:before="480" w:after="120"/>
      </w:pPr>
      <w:r>
        <w:rPr>
          <w:rFonts w:ascii="Times New Roman" w:cs="Times New Roman" w:eastAsia="Times New Roman" w:hAnsi="Times New Roman"/>
          <w:b/>
          <w:bCs/>
          <w:caps/>
          <w:sz w:val="28"/>
          <w:szCs w:val="28"/>
        </w:rPr>
        <w:t xml:space="preserve">2.  Theoretical Framework</w:t>
      </w:r>
    </w:p>
    <w:p>
      <w:pPr>
        <w:pStyle w:val="Heading2"/>
        <w:spacing w:before="360" w:after="120"/>
      </w:pPr>
      <w:r>
        <w:rPr>
          <w:rFonts w:ascii="Times New Roman" w:cs="Times New Roman" w:eastAsia="Times New Roman" w:hAnsi="Times New Roman"/>
          <w:b/>
          <w:bCs/>
          <w:sz w:val="26"/>
          <w:szCs w:val="26"/>
        </w:rPr>
        <w:t xml:space="preserve">2.1  Token Co-occurrence Graphs and PPMI</w:t>
      </w:r>
    </w:p>
    <w:p>
      <w:pPr>
        <w:spacing w:line="480" w:lineRule="auto" w:before="0" w:after="0"/>
      </w:pPr>
      <w:r>
        <w:rPr>
          <w:rFonts w:ascii="Times New Roman" w:cs="Times New Roman" w:eastAsia="Times New Roman" w:hAnsi="Times New Roman"/>
          <w:sz w:val="24"/>
          <w:szCs w:val="24"/>
        </w:rPr>
        <w:t xml:space="preserve">Let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be a vocabulary of token types extracted from training corpus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We define the token co-occurrence graph </w:t>
      </w:r>
      <w:r>
        <w:rPr>
          <w:rFonts w:ascii="Times New Roman" w:cs="Times New Roman" w:eastAsia="Times New Roman" w:hAnsi="Times New Roman"/>
          <w:b/>
          <w:bCs/>
          <w:i/>
          <w:iCs/>
          <w:sz w:val="24"/>
          <w:szCs w:val="24"/>
        </w:rPr>
        <w:t xml:space="preserve">G</w:t>
      </w:r>
      <w:r>
        <w:rPr>
          <w:rFonts w:ascii="Times New Roman" w:cs="Times New Roman" w:eastAsia="Times New Roman" w:hAnsi="Times New Roman"/>
          <w:i/>
          <w:iCs/>
          <w:sz w:val="24"/>
          <w:szCs w:val="24"/>
        </w:rPr>
        <w:t xml:space="preserve">_D</w:t>
      </w:r>
      <w:r>
        <w:rPr>
          <w:rFonts w:ascii="Times New Roman" w:cs="Times New Roman" w:eastAsia="Times New Roman" w:hAnsi="Times New Roman"/>
          <w:sz w:val="24"/>
          <w:szCs w:val="24"/>
        </w:rPr>
        <w:t xml:space="preserve"> with vertex set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and an edge between tokens t_i and t_j whenever PPMI(t_i, t_j) &gt; τ for threshold τ &gt; 0, where:</w:t>
      </w:r>
    </w:p>
    <w:p>
      <w:pPr>
        <w:spacing w:line="240"/>
      </w:pPr>
      <w:r>
        <w:rPr>
          <w:rFonts w:ascii="Times New Roman" w:cs="Times New Roman" w:eastAsia="Times New Roman" w:hAnsi="Times New Roman"/>
          <w:sz w:val="24"/>
          <w:szCs w:val="24"/>
        </w:rPr>
        <w:t xml:space="preserve"/>
      </w:r>
    </w:p>
    <w:p>
      <w:pPr>
        <w:spacing w:line="360" w:before="60" w:after="60"/>
        <w:jc w:val="center"/>
      </w:pPr>
      <w:r>
        <w:rPr>
          <w:rFonts w:ascii="Courier New" w:cs="Courier New" w:eastAsia="Courier New" w:hAnsi="Courier New"/>
          <w:sz w:val="22"/>
          <w:szCs w:val="22"/>
        </w:rPr>
        <w:t xml:space="preserve">PPMI(ti, tj) = max( log2[ P(ti,tj) / P(ti)*P(tj) ], 0 )</w:t>
      </w:r>
    </w:p>
    <w:p>
      <w:pPr>
        <w:spacing w:line="240"/>
      </w:pPr>
      <w:r>
        <w:rPr>
          <w:rFonts w:ascii="Times New Roman" w:cs="Times New Roman" w:eastAsia="Times New Roman" w:hAnsi="Times New Roman"/>
          <w:sz w:val="24"/>
          <w:szCs w:val="24"/>
        </w:rPr>
        <w:t xml:space="preserve"/>
      </w:r>
    </w:p>
    <w:p>
      <w:pPr>
        <w:spacing w:line="480" w:lineRule="auto" w:before="0" w:after="0"/>
      </w:pPr>
      <w:r>
        <w:rPr>
          <w:rFonts w:ascii="Times New Roman" w:cs="Times New Roman" w:eastAsia="Times New Roman" w:hAnsi="Times New Roman"/>
          <w:sz w:val="24"/>
          <w:szCs w:val="24"/>
        </w:rPr>
        <w:t xml:space="preserve">A PPMI triangle is a triple (t_i, t_j, t_k) such that all three pairwise PPMI values exceed τ. We call such a triangle </w:t>
      </w:r>
      <w:r>
        <w:rPr>
          <w:rFonts w:ascii="Times New Roman" w:cs="Times New Roman" w:eastAsia="Times New Roman" w:hAnsi="Times New Roman"/>
          <w:i/>
          <w:iCs/>
          <w:sz w:val="24"/>
          <w:szCs w:val="24"/>
        </w:rPr>
        <w:t xml:space="preserve">spurious</w:t>
      </w:r>
      <w:r>
        <w:rPr>
          <w:rFonts w:ascii="Times New Roman" w:cs="Times New Roman" w:eastAsia="Times New Roman" w:hAnsi="Times New Roman"/>
          <w:sz w:val="24"/>
          <w:szCs w:val="24"/>
        </w:rPr>
        <w:t xml:space="preserve"> if the three tokens are statistically co-associated by corpus size but lack a shared causal referent in the world.</w:t>
      </w:r>
    </w:p>
    <w:p>
      <w:pPr>
        <w:spacing w:line="240"/>
      </w:pPr>
      <w:r>
        <w:rPr>
          <w:rFonts w:ascii="Times New Roman" w:cs="Times New Roman" w:eastAsia="Times New Roman" w:hAnsi="Times New Roman"/>
          <w:sz w:val="24"/>
          <w:szCs w:val="24"/>
        </w:rPr>
        <w:t xml:space="preserve"/>
      </w:r>
    </w:p>
    <w:p>
      <w:pPr>
        <w:pStyle w:val="Heading2"/>
        <w:spacing w:before="360" w:after="120"/>
      </w:pPr>
      <w:r>
        <w:rPr>
          <w:rFonts w:ascii="Times New Roman" w:cs="Times New Roman" w:eastAsia="Times New Roman" w:hAnsi="Times New Roman"/>
          <w:b/>
          <w:bCs/>
          <w:sz w:val="26"/>
          <w:szCs w:val="26"/>
        </w:rPr>
        <w:t xml:space="preserve">2.2  From Goodman to Rödl-Ruciński</w:t>
      </w:r>
    </w:p>
    <w:p>
      <w:pPr>
        <w:spacing w:line="480" w:lineRule="auto" w:before="0" w:after="0"/>
      </w:pPr>
      <w:r>
        <w:rPr>
          <w:rFonts w:ascii="Times New Roman" w:cs="Times New Roman" w:eastAsia="Times New Roman" w:hAnsi="Times New Roman"/>
          <w:sz w:val="24"/>
          <w:szCs w:val="24"/>
        </w:rPr>
        <w:t xml:space="preserve">Early formulations of this framework applied Goodman's 1959 theorem</w:t>
      </w:r>
      <w:r>
        <w:rPr>
          <w:rStyle w:val="FootnoteReference"/>
        </w:rPr>
        <w:footnoteReference w:id="2"/>
      </w:r>
      <w:r>
        <w:rPr>
          <w:rFonts w:ascii="Times New Roman" w:cs="Times New Roman" w:eastAsia="Times New Roman" w:hAnsi="Times New Roman"/>
          <w:sz w:val="24"/>
          <w:szCs w:val="24"/>
        </w:rPr>
        <w:t xml:space="preserve"> — which gives a lower bound on monochromatic triangles in any 2-colouring of the complete graph K</w:t>
      </w:r>
      <w:r>
        <w:rPr>
          <w:rFonts w:ascii="Times New Roman" w:cs="Times New Roman" w:eastAsia="Times New Roman" w:hAnsi="Times New Roman"/>
          <w:i/>
          <w:iCs/>
          <w:sz w:val="24"/>
          <w:szCs w:val="24"/>
        </w:rPr>
        <w:t xml:space="preserve">_n</w:t>
      </w:r>
      <w:r>
        <w:rPr>
          <w:rFonts w:ascii="Times New Roman" w:cs="Times New Roman" w:eastAsia="Times New Roman" w:hAnsi="Times New Roman"/>
          <w:sz w:val="24"/>
          <w:szCs w:val="24"/>
        </w:rPr>
        <w:t xml:space="preserve"> — directly to the PPMI graph. This was an error: real token co-occurrence graphs are sparse, with edge density p</w:t>
      </w:r>
      <w:r>
        <w:rPr>
          <w:rFonts w:ascii="Times New Roman" w:cs="Times New Roman" w:eastAsia="Times New Roman" w:hAnsi="Times New Roman"/>
          <w:i/>
          <w:iCs/>
          <w:sz w:val="24"/>
          <w:szCs w:val="24"/>
        </w:rPr>
        <w:t xml:space="preserve">_D</w:t>
      </w:r>
      <w:r>
        <w:rPr>
          <w:rFonts w:ascii="Times New Roman" w:cs="Times New Roman" w:eastAsia="Times New Roman" w:hAnsi="Times New Roman"/>
          <w:sz w:val="24"/>
          <w:szCs w:val="24"/>
        </w:rPr>
        <w:t xml:space="preserve"> ≈ 0.05–0.19, not complete. The correct framework is the sparse random graph model G(n, p) of Rödl and Ruciński</w:t>
      </w:r>
      <w:r>
        <w:rPr>
          <w:rStyle w:val="FootnoteReference"/>
        </w:rPr>
        <w:footnoteReference w:id="3"/>
      </w:r>
      <w:r>
        <w:rPr>
          <w:rFonts w:ascii="Times New Roman" w:cs="Times New Roman" w:eastAsia="Times New Roman" w:hAnsi="Times New Roman"/>
          <w:sz w:val="24"/>
          <w:szCs w:val="24"/>
        </w:rPr>
        <w:t xml:space="preserve">, which establishes a phase transition threshold at p</w:t>
      </w:r>
      <w:r>
        <w:rPr>
          <w:rFonts w:ascii="Times New Roman" w:cs="Times New Roman" w:eastAsia="Times New Roman" w:hAnsi="Times New Roman"/>
          <w:i/>
          <w:iCs/>
          <w:sz w:val="24"/>
          <w:szCs w:val="24"/>
        </w:rPr>
        <w:t xml:space="preserve">_D</w:t>
      </w:r>
      <w:r>
        <w:rPr>
          <w:rFonts w:ascii="Times New Roman" w:cs="Times New Roman" w:eastAsia="Times New Roman" w:hAnsi="Times New Roman"/>
          <w:sz w:val="24"/>
          <w:szCs w:val="24"/>
        </w:rPr>
        <w:t xml:space="preserve">·n &gt; c for a constant c. Above this threshold, a sparse graph is guaranteed to contain significantly more triangles than would be expected by chance. For our corpus at τ = 2.0, p</w:t>
      </w:r>
      <w:r>
        <w:rPr>
          <w:rFonts w:ascii="Times New Roman" w:cs="Times New Roman" w:eastAsia="Times New Roman" w:hAnsi="Times New Roman"/>
          <w:i/>
          <w:iCs/>
          <w:sz w:val="24"/>
          <w:szCs w:val="24"/>
        </w:rPr>
        <w:t xml:space="preserve">_D</w:t>
      </w:r>
      <w:r>
        <w:rPr>
          <w:rFonts w:ascii="Times New Roman" w:cs="Times New Roman" w:eastAsia="Times New Roman" w:hAnsi="Times New Roman"/>
          <w:sz w:val="24"/>
          <w:szCs w:val="24"/>
        </w:rPr>
        <w:t xml:space="preserve">·n ranges from 2.4 (at n = 10) to 569.7 (at n = 10,000) — orders of magnitude above threshold at every tested scale.</w:t>
      </w:r>
    </w:p>
    <w:p>
      <w:pPr>
        <w:spacing w:line="240"/>
      </w:pPr>
      <w:r>
        <w:rPr>
          <w:rFonts w:ascii="Times New Roman" w:cs="Times New Roman" w:eastAsia="Times New Roman" w:hAnsi="Times New Roman"/>
          <w:sz w:val="24"/>
          <w:szCs w:val="24"/>
        </w:rPr>
        <w:t xml:space="preserve"/>
      </w:r>
    </w:p>
    <w:p>
      <w:pPr>
        <w:pStyle w:val="Heading2"/>
        <w:spacing w:before="360" w:after="120"/>
      </w:pPr>
      <w:r>
        <w:rPr>
          <w:rFonts w:ascii="Times New Roman" w:cs="Times New Roman" w:eastAsia="Times New Roman" w:hAnsi="Times New Roman"/>
          <w:b/>
          <w:bCs/>
          <w:sz w:val="26"/>
          <w:szCs w:val="26"/>
        </w:rPr>
        <w:t xml:space="preserve">2.3  Three-Class Hallucination Taxonomy</w:t>
      </w:r>
    </w:p>
    <w:p>
      <w:pPr>
        <w:spacing w:line="480" w:lineRule="auto" w:before="0" w:after="0"/>
      </w:pPr>
      <w:r>
        <w:rPr>
          <w:rFonts w:ascii="Times New Roman" w:cs="Times New Roman" w:eastAsia="Times New Roman" w:hAnsi="Times New Roman"/>
          <w:sz w:val="24"/>
          <w:szCs w:val="24"/>
        </w:rPr>
        <w:t xml:space="preserve">We distinguish three classes of hallucination:</w:t>
      </w:r>
    </w:p>
    <w:p>
      <w:pPr>
        <w:spacing w:line="240"/>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160"/>
        <w:gridCol w:w="1980"/>
      </w:tblGrid>
      <w:tr>
        <w:trPr>
          <w:tblHeader/>
        </w:trPr>
        <w:tc>
          <w:tcPr>
            <w:tcW w:type="dxa" w:w="18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Type</w:t>
            </w:r>
          </w:p>
        </w:tc>
        <w:tc>
          <w:tcPr>
            <w:tcW w:type="dxa" w:w="27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Cause</w:t>
            </w:r>
          </w:p>
        </w:tc>
        <w:tc>
          <w:tcPr>
            <w:tcW w:type="dxa" w:w="216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Mitigable?</w:t>
            </w:r>
          </w:p>
        </w:tc>
        <w:tc>
          <w:tcPr>
            <w:tcW w:type="dxa" w:w="198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This paper</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0"/>
                <w:szCs w:val="20"/>
              </w:rPr>
              <w:t xml:space="preserve">Type I</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Spurious PPMI triangles — corpus size alone</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CC0000"/>
                <w:sz w:val="20"/>
                <w:szCs w:val="20"/>
              </w:rPr>
              <w:t xml:space="preserve">No — theorem-limited floor</w:t>
            </w:r>
          </w:p>
        </w:tc>
        <w:tc>
          <w:tcPr>
            <w:tcW w:type="dxa" w:w="19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Primary focus</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0"/>
                <w:szCs w:val="20"/>
              </w:rPr>
              <w:t xml:space="preserve">Type II</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Non-uniform training distribution</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996600"/>
                <w:sz w:val="20"/>
                <w:szCs w:val="20"/>
              </w:rPr>
              <w:t xml:space="preserve">Partially — data curation</w:t>
            </w:r>
          </w:p>
        </w:tc>
        <w:tc>
          <w:tcPr>
            <w:tcW w:type="dxa" w:w="19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Acknowledged</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0"/>
                <w:szCs w:val="20"/>
              </w:rPr>
              <w:t xml:space="preserve">Type III</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Sampling randomness at inference</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6600"/>
                <w:sz w:val="20"/>
                <w:szCs w:val="20"/>
              </w:rPr>
              <w:t xml:space="preserve">Yes — RLHF, greedy decoding</w:t>
            </w:r>
          </w:p>
        </w:tc>
        <w:tc>
          <w:tcPr>
            <w:tcW w:type="dxa" w:w="19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Excluded (greedy decoding used)</w:t>
            </w:r>
          </w:p>
        </w:tc>
      </w:tr>
    </w:tbl>
    <w:p>
      <w:pPr>
        <w:spacing w:line="240"/>
      </w:pPr>
      <w:r>
        <w:rPr>
          <w:rFonts w:ascii="Times New Roman" w:cs="Times New Roman" w:eastAsia="Times New Roman" w:hAnsi="Times New Roman"/>
          <w:sz w:val="24"/>
          <w:szCs w:val="24"/>
        </w:rPr>
        <w:t xml:space="preserve"/>
      </w:r>
    </w:p>
    <w:p>
      <w:pPr>
        <w:spacing w:line="240"/>
      </w:pPr>
      <w:r>
        <w:rPr>
          <w:rFonts w:ascii="Times New Roman" w:cs="Times New Roman" w:eastAsia="Times New Roman" w:hAnsi="Times New Roman"/>
          <w:sz w:val="24"/>
          <w:szCs w:val="24"/>
        </w:rPr>
        <w:t xml:space="preserve"/>
      </w:r>
    </w:p>
    <w:p>
      <w:pPr>
        <w:pStyle w:val="Heading1"/>
        <w:spacing w:before="480" w:after="120"/>
      </w:pPr>
      <w:r>
        <w:rPr>
          <w:rFonts w:ascii="Times New Roman" w:cs="Times New Roman" w:eastAsia="Times New Roman" w:hAnsi="Times New Roman"/>
          <w:b/>
          <w:bCs/>
          <w:caps/>
          <w:sz w:val="28"/>
          <w:szCs w:val="28"/>
        </w:rPr>
        <w:t xml:space="preserve">3.  Experimental Setup</w:t>
      </w:r>
    </w:p>
    <w:p>
      <w:pPr>
        <w:spacing w:line="480" w:lineRule="auto" w:before="0" w:after="0"/>
      </w:pPr>
      <w:r>
        <w:rPr>
          <w:rFonts w:ascii="Times New Roman" w:cs="Times New Roman" w:eastAsia="Times New Roman" w:hAnsi="Times New Roman"/>
          <w:b/>
          <w:bCs/>
          <w:sz w:val="24"/>
          <w:szCs w:val="24"/>
        </w:rPr>
        <w:t xml:space="preserve">Corpus.</w:t>
      </w:r>
      <w:r>
        <w:rPr>
          <w:rFonts w:ascii="Times New Roman" w:cs="Times New Roman" w:eastAsia="Times New Roman" w:hAnsi="Times New Roman"/>
          <w:sz w:val="24"/>
          <w:szCs w:val="24"/>
        </w:rPr>
        <w:t xml:space="preserve">  WikiText-103 (training split, ~103M tokens) was used to construct the PPMI co-occurrence graph with a sliding window of size 5. Vocabulary size was varied from 10 to 10,000 tokens; the default for Task 3 experiments is 10,000.</w:t>
      </w:r>
    </w:p>
    <w:p>
      <w:pPr>
        <w:spacing w:line="240"/>
      </w:pPr>
      <w:r>
        <w:rPr>
          <w:rFonts w:ascii="Times New Roman" w:cs="Times New Roman" w:eastAsia="Times New Roman" w:hAnsi="Times New Roman"/>
          <w:sz w:val="24"/>
          <w:szCs w:val="24"/>
        </w:rPr>
        <w:t xml:space="preserve"/>
      </w:r>
    </w:p>
    <w:p>
      <w:pPr>
        <w:spacing w:line="480" w:lineRule="auto" w:before="0" w:after="0"/>
      </w:pPr>
      <w:r>
        <w:rPr>
          <w:rFonts w:ascii="Times New Roman" w:cs="Times New Roman" w:eastAsia="Times New Roman" w:hAnsi="Times New Roman"/>
          <w:b/>
          <w:bCs/>
          <w:sz w:val="24"/>
          <w:szCs w:val="24"/>
        </w:rPr>
        <w:t xml:space="preserve">Thresholding.</w:t>
      </w:r>
      <w:r>
        <w:rPr>
          <w:rFonts w:ascii="Times New Roman" w:cs="Times New Roman" w:eastAsia="Times New Roman" w:hAnsi="Times New Roman"/>
          <w:sz w:val="24"/>
          <w:szCs w:val="24"/>
        </w:rPr>
        <w:t xml:space="preserve">  PPMI graphs were thresholded at τ ∈ {1.0, 2.0, 3.0}. All primary results are reported at τ = 2.0 unless stated otherwise.</w:t>
      </w:r>
    </w:p>
    <w:p>
      <w:pPr>
        <w:spacing w:line="240"/>
      </w:pPr>
      <w:r>
        <w:rPr>
          <w:rFonts w:ascii="Times New Roman" w:cs="Times New Roman" w:eastAsia="Times New Roman" w:hAnsi="Times New Roman"/>
          <w:sz w:val="24"/>
          <w:szCs w:val="24"/>
        </w:rPr>
        <w:t xml:space="preserve"/>
      </w:r>
    </w:p>
    <w:p>
      <w:pPr>
        <w:spacing w:line="480" w:lineRule="auto" w:before="0" w:after="0"/>
      </w:pPr>
      <w:r>
        <w:rPr>
          <w:rFonts w:ascii="Times New Roman" w:cs="Times New Roman" w:eastAsia="Times New Roman" w:hAnsi="Times New Roman"/>
          <w:b/>
          <w:bCs/>
          <w:sz w:val="24"/>
          <w:szCs w:val="24"/>
        </w:rPr>
        <w:t xml:space="preserve">Model.</w:t>
      </w:r>
      <w:r>
        <w:rPr>
          <w:rFonts w:ascii="Times New Roman" w:cs="Times New Roman" w:eastAsia="Times New Roman" w:hAnsi="Times New Roman"/>
          <w:sz w:val="24"/>
          <w:szCs w:val="24"/>
        </w:rPr>
        <w:t xml:space="preserve">  GPT-2 (open weights, greedy decoding) was used to generate answers to all 817 questions in TruthfulQA. Greedy decoding eliminates Type III hallucinations, isolating Types I and II.</w:t>
      </w:r>
    </w:p>
    <w:p>
      <w:pPr>
        <w:spacing w:line="240"/>
      </w:pPr>
      <w:r>
        <w:rPr>
          <w:rFonts w:ascii="Times New Roman" w:cs="Times New Roman" w:eastAsia="Times New Roman" w:hAnsi="Times New Roman"/>
          <w:sz w:val="24"/>
          <w:szCs w:val="24"/>
        </w:rPr>
        <w:t xml:space="preserve"/>
      </w:r>
    </w:p>
    <w:p>
      <w:pPr>
        <w:spacing w:line="480" w:lineRule="auto" w:before="0" w:after="0"/>
      </w:pPr>
      <w:r>
        <w:rPr>
          <w:rFonts w:ascii="Times New Roman" w:cs="Times New Roman" w:eastAsia="Times New Roman" w:hAnsi="Times New Roman"/>
          <w:b/>
          <w:bCs/>
          <w:sz w:val="24"/>
          <w:szCs w:val="24"/>
        </w:rPr>
        <w:t xml:space="preserve">Hallucination labeling.</w:t>
      </w:r>
      <w:r>
        <w:rPr>
          <w:rFonts w:ascii="Times New Roman" w:cs="Times New Roman" w:eastAsia="Times New Roman" w:hAnsi="Times New Roman"/>
          <w:sz w:val="24"/>
          <w:szCs w:val="24"/>
        </w:rPr>
        <w:t xml:space="preserve">  Two methods were compared: (i) token overlap (baseline), which labels an answer as hallucinated if its overlap with incorrect reference answers exceeds overlap with correct ones; and (ii) semantic similarity using sentence-transformers (all-MiniLM-L6-v2), labeling based on cosine similarity to reference answer embeddings. For semantic labeling, an answer is labeled correct only if its similarity to the best correct answer exceeds 0.3 AND exceeds similarity to incorrect answers. This minimum-similarity filter prevents lenient labeling of semantically distant outputs.</w:t>
      </w:r>
    </w:p>
    <w:p>
      <w:pPr>
        <w:spacing w:line="240"/>
      </w:pPr>
      <w:r>
        <w:rPr>
          <w:rFonts w:ascii="Times New Roman" w:cs="Times New Roman" w:eastAsia="Times New Roman" w:hAnsi="Times New Roman"/>
          <w:sz w:val="24"/>
          <w:szCs w:val="24"/>
        </w:rPr>
        <w:t xml:space="preserve"/>
      </w:r>
    </w:p>
    <w:p>
      <w:pPr>
        <w:pStyle w:val="Heading1"/>
        <w:spacing w:before="480" w:after="120"/>
      </w:pPr>
      <w:r>
        <w:rPr>
          <w:rFonts w:ascii="Times New Roman" w:cs="Times New Roman" w:eastAsia="Times New Roman" w:hAnsi="Times New Roman"/>
          <w:b/>
          <w:bCs/>
          <w:caps/>
          <w:sz w:val="28"/>
          <w:szCs w:val="28"/>
        </w:rPr>
        <w:t xml:space="preserve">4.  Results</w:t>
      </w:r>
    </w:p>
    <w:p>
      <w:pPr>
        <w:pStyle w:val="Heading2"/>
        <w:spacing w:before="360" w:after="120"/>
      </w:pPr>
      <w:r>
        <w:rPr>
          <w:rFonts w:ascii="Times New Roman" w:cs="Times New Roman" w:eastAsia="Times New Roman" w:hAnsi="Times New Roman"/>
          <w:b/>
          <w:bCs/>
          <w:sz w:val="26"/>
          <w:szCs w:val="26"/>
        </w:rPr>
        <w:t xml:space="preserve">4.1  PPMI Graph Structure (Task 1)</w:t>
      </w:r>
    </w:p>
    <w:p>
      <w:pPr>
        <w:spacing w:line="480" w:lineRule="auto" w:before="0" w:after="0"/>
      </w:pPr>
      <w:r>
        <w:rPr>
          <w:rFonts w:ascii="Times New Roman" w:cs="Times New Roman" w:eastAsia="Times New Roman" w:hAnsi="Times New Roman"/>
          <w:sz w:val="24"/>
          <w:szCs w:val="24"/>
        </w:rPr>
        <w:t xml:space="preserve">At τ = 2.0 with vocabulary size 10,000, the PPMI graph has edge density p</w:t>
      </w:r>
      <w:r>
        <w:rPr>
          <w:rFonts w:ascii="Times New Roman" w:cs="Times New Roman" w:eastAsia="Times New Roman" w:hAnsi="Times New Roman"/>
          <w:i/>
          <w:iCs/>
          <w:sz w:val="24"/>
          <w:szCs w:val="24"/>
        </w:rPr>
        <w:t xml:space="preserve">_D</w:t>
      </w:r>
      <w:r>
        <w:rPr>
          <w:rFonts w:ascii="Times New Roman" w:cs="Times New Roman" w:eastAsia="Times New Roman" w:hAnsi="Times New Roman"/>
          <w:sz w:val="24"/>
          <w:szCs w:val="24"/>
        </w:rPr>
        <w:t xml:space="preserve"> = 0.057 and mean degree 569.6. The degree distribution is bell-shaped on a log-log scale (power-law exponent α = 0.61, R² = 0.16), definitively ruling out a scale-free network structure. This confirms G(n, p) as the appropriate random graph model and validates the application of the Rödl-Ruciński framework.</w:t>
      </w:r>
    </w:p>
    <w:p>
      <w:pPr>
        <w:spacing w:line="240"/>
      </w:pPr>
      <w:r>
        <w:rPr>
          <w:rFonts w:ascii="Times New Roman" w:cs="Times New Roman" w:eastAsia="Times New Roman" w:hAnsi="Times New Roman"/>
          <w:sz w:val="24"/>
          <w:szCs w:val="24"/>
        </w:rPr>
        <w:t xml:space="preserve"/>
      </w:r>
    </w:p>
    <w:p>
      <w:pPr>
        <w:pStyle w:val="Heading2"/>
        <w:spacing w:before="360" w:after="120"/>
      </w:pPr>
      <w:r>
        <w:rPr>
          <w:rFonts w:ascii="Times New Roman" w:cs="Times New Roman" w:eastAsia="Times New Roman" w:hAnsi="Times New Roman"/>
          <w:b/>
          <w:bCs/>
          <w:sz w:val="26"/>
          <w:szCs w:val="26"/>
        </w:rPr>
        <w:t xml:space="preserve">4.2  Sparse-Corrected Triangle Bounds (Task 2A)</w:t>
      </w:r>
    </w:p>
    <w:p>
      <w:pPr>
        <w:spacing w:line="480" w:lineRule="auto" w:before="0" w:after="0"/>
      </w:pPr>
      <w:r>
        <w:rPr>
          <w:rFonts w:ascii="Times New Roman" w:cs="Times New Roman" w:eastAsia="Times New Roman" w:hAnsi="Times New Roman"/>
          <w:sz w:val="24"/>
          <w:szCs w:val="24"/>
        </w:rPr>
        <w:t xml:space="preserve">We compare observed triangle counts in </w:t>
      </w:r>
      <w:r>
        <w:rPr>
          <w:rFonts w:ascii="Times New Roman" w:cs="Times New Roman" w:eastAsia="Times New Roman" w:hAnsi="Times New Roman"/>
          <w:b/>
          <w:bCs/>
          <w:i/>
          <w:iCs/>
          <w:sz w:val="24"/>
          <w:szCs w:val="24"/>
        </w:rPr>
        <w:t xml:space="preserve">G</w:t>
      </w:r>
      <w:r>
        <w:rPr>
          <w:rFonts w:ascii="Times New Roman" w:cs="Times New Roman" w:eastAsia="Times New Roman" w:hAnsi="Times New Roman"/>
          <w:i/>
          <w:iCs/>
          <w:sz w:val="24"/>
          <w:szCs w:val="24"/>
        </w:rPr>
        <w:t xml:space="preserve">_D</w:t>
      </w:r>
      <w:r>
        <w:rPr>
          <w:rFonts w:ascii="Times New Roman" w:cs="Times New Roman" w:eastAsia="Times New Roman" w:hAnsi="Times New Roman"/>
          <w:sz w:val="24"/>
          <w:szCs w:val="24"/>
        </w:rPr>
        <w:t xml:space="preserve"> against the expectation for a G(n, p</w:t>
      </w:r>
      <w:r>
        <w:rPr>
          <w:rFonts w:ascii="Times New Roman" w:cs="Times New Roman" w:eastAsia="Times New Roman" w:hAnsi="Times New Roman"/>
          <w:i/>
          <w:iCs/>
          <w:sz w:val="24"/>
          <w:szCs w:val="24"/>
        </w:rPr>
        <w:t xml:space="preserve">_D</w:t>
      </w:r>
      <w:r>
        <w:rPr>
          <w:rFonts w:ascii="Times New Roman" w:cs="Times New Roman" w:eastAsia="Times New Roman" w:hAnsi="Times New Roman"/>
          <w:sz w:val="24"/>
          <w:szCs w:val="24"/>
        </w:rPr>
        <w:t xml:space="preserve">) random graph with the same edge density, using the test statistic Z = (observed − E[T]) / √Var[T], where E[T] = C(n,3)·p</w:t>
      </w:r>
      <w:r>
        <w:rPr>
          <w:rFonts w:ascii="Times New Roman" w:cs="Times New Roman" w:eastAsia="Times New Roman" w:hAnsi="Times New Roman"/>
          <w:i/>
          <w:iCs/>
          <w:sz w:val="24"/>
          <w:szCs w:val="24"/>
        </w:rPr>
        <w:t xml:space="preserve">_D</w:t>
      </w:r>
      <w:r>
        <w:rPr>
          <w:rFonts w:ascii="Times New Roman" w:cs="Times New Roman" w:eastAsia="Times New Roman" w:hAnsi="Times New Roman"/>
          <w:sz w:val="24"/>
          <w:szCs w:val="24"/>
        </w:rPr>
        <w:t xml:space="preserve">³ and the variance uses the standard local-dependence formula.</w:t>
      </w:r>
    </w:p>
    <w:p>
      <w:pPr>
        <w:spacing w:line="240"/>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
        <w:gridCol w:w="864"/>
        <w:gridCol w:w="1728"/>
        <w:gridCol w:w="1728"/>
        <w:gridCol w:w="1296"/>
        <w:gridCol w:w="1296"/>
        <w:gridCol w:w="864"/>
      </w:tblGrid>
      <w:tr>
        <w:trPr>
          <w:tblHeader/>
        </w:trPr>
        <w:tc>
          <w:tcPr>
            <w:tcW w:type="dxa" w:w="864"/>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τ</w:t>
            </w:r>
          </w:p>
        </w:tc>
        <w:tc>
          <w:tcPr>
            <w:tcW w:type="dxa" w:w="864"/>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n</w:t>
            </w:r>
          </w:p>
        </w:tc>
        <w:tc>
          <w:tcPr>
            <w:tcW w:type="dxa" w:w="1728"/>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Observed Δ</w:t>
            </w:r>
          </w:p>
        </w:tc>
        <w:tc>
          <w:tcPr>
            <w:tcW w:type="dxa" w:w="1728"/>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Expected (sparse)</w:t>
            </w:r>
          </w:p>
        </w:tc>
        <w:tc>
          <w:tcPr>
            <w:tcW w:type="dxa" w:w="1296"/>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Z-score</w:t>
            </w:r>
          </w:p>
        </w:tc>
        <w:tc>
          <w:tcPr>
            <w:tcW w:type="dxa" w:w="1296"/>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Excess ratio</w:t>
            </w:r>
          </w:p>
        </w:tc>
        <w:tc>
          <w:tcPr>
            <w:tcW w:type="dxa" w:w="864"/>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Sig.</w:t>
            </w:r>
          </w:p>
        </w:tc>
      </w:tr>
      <w:tr>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72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286,001</w:t>
            </w:r>
          </w:p>
        </w:tc>
        <w:tc>
          <w:tcPr>
            <w:tcW w:type="dxa" w:w="172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84,682</w:t>
            </w:r>
          </w:p>
        </w:tc>
        <w:tc>
          <w:tcPr>
            <w:tcW w:type="dxa" w:w="129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674</w:t>
            </w:r>
          </w:p>
        </w:tc>
        <w:tc>
          <w:tcPr>
            <w:tcW w:type="dxa" w:w="129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3.4×</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6600"/>
                <w:sz w:val="20"/>
                <w:szCs w:val="20"/>
              </w:rPr>
              <w:t xml:space="preserve">✓</w:t>
            </w:r>
          </w:p>
        </w:tc>
      </w:tr>
      <w:tr>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5,000</w:t>
            </w:r>
          </w:p>
        </w:tc>
        <w:tc>
          <w:tcPr>
            <w:tcW w:type="dxa" w:w="172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46,978,129</w:t>
            </w:r>
          </w:p>
        </w:tc>
        <w:tc>
          <w:tcPr>
            <w:tcW w:type="dxa" w:w="172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26,576,770</w:t>
            </w:r>
          </w:p>
        </w:tc>
        <w:tc>
          <w:tcPr>
            <w:tcW w:type="dxa" w:w="129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3,785</w:t>
            </w:r>
          </w:p>
        </w:tc>
        <w:tc>
          <w:tcPr>
            <w:tcW w:type="dxa" w:w="129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1.8×</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bCs/>
                <w:color w:val="006600"/>
                <w:sz w:val="20"/>
                <w:szCs w:val="20"/>
              </w:rPr>
              <w:t xml:space="preserve">✓</w:t>
            </w:r>
          </w:p>
        </w:tc>
      </w:tr>
      <w:tr>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10,000</w:t>
            </w:r>
          </w:p>
        </w:tc>
        <w:tc>
          <w:tcPr>
            <w:tcW w:type="dxa" w:w="172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355,023,097</w:t>
            </w:r>
          </w:p>
        </w:tc>
        <w:tc>
          <w:tcPr>
            <w:tcW w:type="dxa" w:w="172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240,607,606</w:t>
            </w:r>
          </w:p>
        </w:tc>
        <w:tc>
          <w:tcPr>
            <w:tcW w:type="dxa" w:w="129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7,031</w:t>
            </w:r>
          </w:p>
        </w:tc>
        <w:tc>
          <w:tcPr>
            <w:tcW w:type="dxa" w:w="129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1.5×</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6600"/>
                <w:sz w:val="20"/>
                <w:szCs w:val="20"/>
              </w:rPr>
              <w:t xml:space="preserve">✓</w:t>
            </w:r>
          </w:p>
        </w:tc>
      </w:tr>
      <w:tr>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2.0</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72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29,441</w:t>
            </w:r>
          </w:p>
        </w:tc>
        <w:tc>
          <w:tcPr>
            <w:tcW w:type="dxa" w:w="172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2,421</w:t>
            </w:r>
          </w:p>
        </w:tc>
        <w:tc>
          <w:tcPr>
            <w:tcW w:type="dxa" w:w="129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548</w:t>
            </w:r>
          </w:p>
        </w:tc>
        <w:tc>
          <w:tcPr>
            <w:tcW w:type="dxa" w:w="129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12.2×</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bCs/>
                <w:color w:val="006600"/>
                <w:sz w:val="20"/>
                <w:szCs w:val="20"/>
              </w:rPr>
              <w:t xml:space="preserve">✓</w:t>
            </w:r>
          </w:p>
        </w:tc>
      </w:tr>
      <w:tr>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2.0</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5,000</w:t>
            </w:r>
          </w:p>
        </w:tc>
        <w:tc>
          <w:tcPr>
            <w:tcW w:type="dxa" w:w="172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4,079,692</w:t>
            </w:r>
          </w:p>
        </w:tc>
        <w:tc>
          <w:tcPr>
            <w:tcW w:type="dxa" w:w="172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1,046,037</w:t>
            </w:r>
          </w:p>
        </w:tc>
        <w:tc>
          <w:tcPr>
            <w:tcW w:type="dxa" w:w="129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2,949</w:t>
            </w:r>
          </w:p>
        </w:tc>
        <w:tc>
          <w:tcPr>
            <w:tcW w:type="dxa" w:w="129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3.9×</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6600"/>
                <w:sz w:val="20"/>
                <w:szCs w:val="20"/>
              </w:rPr>
              <w:t xml:space="preserve">✓</w:t>
            </w:r>
          </w:p>
        </w:tc>
      </w:tr>
      <w:tr>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2.0</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10,000</w:t>
            </w:r>
          </w:p>
        </w:tc>
        <w:tc>
          <w:tcPr>
            <w:tcW w:type="dxa" w:w="172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61,866,341</w:t>
            </w:r>
          </w:p>
        </w:tc>
        <w:tc>
          <w:tcPr>
            <w:tcW w:type="dxa" w:w="172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30,802,772</w:t>
            </w:r>
          </w:p>
        </w:tc>
        <w:tc>
          <w:tcPr>
            <w:tcW w:type="dxa" w:w="129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5,522</w:t>
            </w:r>
          </w:p>
        </w:tc>
        <w:tc>
          <w:tcPr>
            <w:tcW w:type="dxa" w:w="129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2.0×</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bCs/>
                <w:color w:val="006600"/>
                <w:sz w:val="20"/>
                <w:szCs w:val="20"/>
              </w:rPr>
              <w:t xml:space="preserve">✓</w:t>
            </w:r>
          </w:p>
        </w:tc>
      </w:tr>
      <w:tr>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3.0</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1,000</w:t>
            </w:r>
          </w:p>
        </w:tc>
        <w:tc>
          <w:tcPr>
            <w:tcW w:type="dxa" w:w="172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2,825</w:t>
            </w:r>
          </w:p>
        </w:tc>
        <w:tc>
          <w:tcPr>
            <w:tcW w:type="dxa" w:w="172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62</w:t>
            </w:r>
          </w:p>
        </w:tc>
        <w:tc>
          <w:tcPr>
            <w:tcW w:type="dxa" w:w="129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350</w:t>
            </w:r>
          </w:p>
        </w:tc>
        <w:tc>
          <w:tcPr>
            <w:tcW w:type="dxa" w:w="129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45.3×</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6600"/>
                <w:sz w:val="20"/>
                <w:szCs w:val="20"/>
              </w:rPr>
              <w:t xml:space="preserve">✓</w:t>
            </w:r>
          </w:p>
        </w:tc>
      </w:tr>
      <w:tr>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3.0</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5,000</w:t>
            </w:r>
          </w:p>
        </w:tc>
        <w:tc>
          <w:tcPr>
            <w:tcW w:type="dxa" w:w="172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436,043</w:t>
            </w:r>
          </w:p>
        </w:tc>
        <w:tc>
          <w:tcPr>
            <w:tcW w:type="dxa" w:w="172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32,554</w:t>
            </w:r>
          </w:p>
        </w:tc>
        <w:tc>
          <w:tcPr>
            <w:tcW w:type="dxa" w:w="129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2,235</w:t>
            </w:r>
          </w:p>
        </w:tc>
        <w:tc>
          <w:tcPr>
            <w:tcW w:type="dxa" w:w="129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13.4×</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bCs/>
                <w:color w:val="006600"/>
                <w:sz w:val="20"/>
                <w:szCs w:val="20"/>
              </w:rPr>
              <w:t xml:space="preserve">✓</w:t>
            </w:r>
          </w:p>
        </w:tc>
      </w:tr>
      <w:tr>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3.0</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10,000</w:t>
            </w:r>
          </w:p>
        </w:tc>
        <w:tc>
          <w:tcPr>
            <w:tcW w:type="dxa" w:w="172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8,332,192</w:t>
            </w:r>
          </w:p>
        </w:tc>
        <w:tc>
          <w:tcPr>
            <w:tcW w:type="dxa" w:w="172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2,085,681</w:t>
            </w:r>
          </w:p>
        </w:tc>
        <w:tc>
          <w:tcPr>
            <w:tcW w:type="dxa" w:w="129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4,315</w:t>
            </w:r>
          </w:p>
        </w:tc>
        <w:tc>
          <w:tcPr>
            <w:tcW w:type="dxa" w:w="129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4.0×</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6600"/>
                <w:sz w:val="20"/>
                <w:szCs w:val="20"/>
              </w:rPr>
              <w:t xml:space="preserve">✓</w:t>
            </w:r>
          </w:p>
        </w:tc>
      </w:tr>
    </w:tbl>
    <w:p>
      <w:pPr>
        <w:spacing w:line="240"/>
      </w:pPr>
      <w:r>
        <w:rPr>
          <w:rFonts w:ascii="Times New Roman" w:cs="Times New Roman" w:eastAsia="Times New Roman" w:hAnsi="Times New Roman"/>
          <w:sz w:val="24"/>
          <w:szCs w:val="24"/>
        </w:rPr>
        <w:t xml:space="preserve"/>
      </w:r>
    </w:p>
    <w:p>
      <w:pPr>
        <w:spacing w:line="360" w:before="60" w:after="240"/>
        <w:jc w:val="center"/>
      </w:pPr>
      <w:r>
        <w:rPr>
          <w:rFonts w:ascii="Times New Roman" w:cs="Times New Roman" w:eastAsia="Times New Roman" w:hAnsi="Times New Roman"/>
          <w:i/>
          <w:iCs/>
          <w:color w:val="444444"/>
          <w:sz w:val="20"/>
          <w:szCs w:val="20"/>
        </w:rPr>
        <w:t xml:space="preserve">Table 1. Observed vs. expected triangle counts across τ and vocabulary size. All 18/18 experiments are significant (p &lt; 10⁻¹⁰⁰). Excess ratio = observed / expected.</w:t>
      </w:r>
    </w:p>
    <w:p>
      <w:pPr>
        <w:spacing w:line="480" w:lineRule="auto" w:before="0" w:after="0"/>
      </w:pPr>
      <w:r>
        <w:rPr>
          <w:rFonts w:ascii="Times New Roman" w:cs="Times New Roman" w:eastAsia="Times New Roman" w:hAnsi="Times New Roman"/>
          <w:sz w:val="24"/>
          <w:szCs w:val="24"/>
        </w:rPr>
        <w:t xml:space="preserve">All 18 experiments show the observed triangle count to be massively in excess of the sparse random graph expectation. The mean Z-score is 2,723 (median 2,194; range 350–7,031). At τ = 3.0 and n = 1,000, the excess ratio reaches 45.3×, meaning the corpus produces 45 times as many triangles as a random graph with the same edge density. This non-random structure is the empirical signature of the Ramsey-theoretic guarantee: the PPMI graph is not random, and its triangles are not accidents.</w:t>
      </w:r>
    </w:p>
    <w:p>
      <w:pPr>
        <w:spacing w:line="240"/>
      </w:pPr>
      <w:r>
        <w:rPr>
          <w:rFonts w:ascii="Times New Roman" w:cs="Times New Roman" w:eastAsia="Times New Roman" w:hAnsi="Times New Roman"/>
          <w:sz w:val="24"/>
          <w:szCs w:val="24"/>
        </w:rPr>
        <w:t xml:space="preserve"/>
      </w:r>
    </w:p>
    <w:p>
      <w:pPr>
        <w:pStyle w:val="Heading2"/>
        <w:spacing w:before="360" w:after="120"/>
      </w:pPr>
      <w:r>
        <w:rPr>
          <w:rFonts w:ascii="Times New Roman" w:cs="Times New Roman" w:eastAsia="Times New Roman" w:hAnsi="Times New Roman"/>
          <w:b/>
          <w:bCs/>
          <w:sz w:val="26"/>
          <w:szCs w:val="26"/>
        </w:rPr>
        <w:t xml:space="preserve">4.3  Phase Transition n* (Task 2C)</w:t>
      </w:r>
    </w:p>
    <w:p>
      <w:pPr>
        <w:spacing w:line="480" w:lineRule="auto" w:before="0" w:after="0"/>
      </w:pPr>
      <w:r>
        <w:rPr>
          <w:rFonts w:ascii="Times New Roman" w:cs="Times New Roman" w:eastAsia="Times New Roman" w:hAnsi="Times New Roman"/>
          <w:sz w:val="24"/>
          <w:szCs w:val="24"/>
        </w:rPr>
        <w:t xml:space="preserve">Having established massively significant non-random structure at vocabulary sizes ≥ 1,000, we sought to locate the phase transition n* — the smallest vocabulary for which the PPMI subgraph first enters the Ramsey regime (Z ≥ 3σ).</w:t>
      </w:r>
    </w:p>
    <w:p>
      <w:pPr>
        <w:spacing w:line="240"/>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440"/>
      </w:tblGrid>
      <w:tr>
        <w:trPr>
          <w:tblHeader/>
        </w:trPr>
        <w:tc>
          <w:tcPr>
            <w:tcW w:type="dxa" w:w="144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n</w:t>
            </w:r>
          </w:p>
        </w:tc>
        <w:tc>
          <w:tcPr>
            <w:tcW w:type="dxa" w:w="144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p_D</w:t>
            </w:r>
          </w:p>
        </w:tc>
        <w:tc>
          <w:tcPr>
            <w:tcW w:type="dxa" w:w="144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Observed Δ</w:t>
            </w:r>
          </w:p>
        </w:tc>
        <w:tc>
          <w:tcPr>
            <w:tcW w:type="dxa" w:w="144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Expected</w:t>
            </w:r>
          </w:p>
        </w:tc>
        <w:tc>
          <w:tcPr>
            <w:tcW w:type="dxa" w:w="144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Z-score</w:t>
            </w:r>
          </w:p>
        </w:tc>
        <w:tc>
          <w:tcPr>
            <w:tcW w:type="dxa" w:w="144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Regime</w:t>
            </w:r>
          </w:p>
        </w:tc>
      </w:tr>
      <w:tr>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888888"/>
                <w:sz w:val="20"/>
                <w:szCs w:val="20"/>
              </w:rPr>
              <w:t xml:space="preserve">5</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888888"/>
                <w:sz w:val="20"/>
                <w:szCs w:val="20"/>
              </w:rPr>
              <w:t xml:space="preserve">0.300</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888888"/>
                <w:sz w:val="20"/>
                <w:szCs w:val="20"/>
              </w:rPr>
              <w:t xml:space="preserve">1</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888888"/>
                <w:sz w:val="20"/>
                <w:szCs w:val="20"/>
              </w:rPr>
              <w:t xml:space="preserve">0.27</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888888"/>
                <w:sz w:val="20"/>
                <w:szCs w:val="20"/>
              </w:rPr>
              <w:t xml:space="preserve">1.13</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888888"/>
                <w:sz w:val="20"/>
                <w:szCs w:val="20"/>
              </w:rPr>
              <w:t xml:space="preserve">Random</w:t>
            </w:r>
          </w:p>
        </w:tc>
      </w:tr>
      <w:tr>
        <w:tc>
          <w:tcPr>
            <w:tcW w:type="dxa" w:w="1440"/>
            <w:tcBorders>
              <w:top w:val="single" w:color="AAAAAA" w:sz="4"/>
              <w:left w:val="single" w:color="AAAAAA" w:sz="4"/>
              <w:bottom w:val="single" w:color="AAAAAA" w:sz="4"/>
              <w:right w:val="single" w:color="AAAAAA" w:sz="4"/>
            </w:tcBorders>
            <w:shd w:fill="EBF5EB" w:val="clear"/>
            <w:tcMar>
              <w:top w:type="dxa" w:w="80"/>
              <w:left w:type="dxa" w:w="120"/>
              <w:bottom w:type="dxa" w:w="80"/>
              <w:right w:type="dxa" w:w="120"/>
            </w:tcMar>
          </w:tcPr>
          <w:p>
            <w:pPr>
              <w:jc w:val="center"/>
            </w:pPr>
            <w:r>
              <w:rPr>
                <w:rFonts w:ascii="Times New Roman" w:cs="Times New Roman" w:eastAsia="Times New Roman" w:hAnsi="Times New Roman"/>
                <w:b/>
                <w:bCs/>
                <w:color w:val="006600"/>
                <w:sz w:val="20"/>
                <w:szCs w:val="20"/>
              </w:rPr>
              <w:t xml:space="preserve">10</w:t>
            </w:r>
          </w:p>
        </w:tc>
        <w:tc>
          <w:tcPr>
            <w:tcW w:type="dxa" w:w="1440"/>
            <w:tcBorders>
              <w:top w:val="single" w:color="AAAAAA" w:sz="4"/>
              <w:left w:val="single" w:color="AAAAAA" w:sz="4"/>
              <w:bottom w:val="single" w:color="AAAAAA" w:sz="4"/>
              <w:right w:val="single" w:color="AAAAAA" w:sz="4"/>
            </w:tcBorders>
            <w:shd w:fill="EBF5EB" w:val="clear"/>
            <w:tcMar>
              <w:top w:type="dxa" w:w="80"/>
              <w:left w:type="dxa" w:w="120"/>
              <w:bottom w:type="dxa" w:w="80"/>
              <w:right w:type="dxa" w:w="120"/>
            </w:tcMar>
          </w:tcPr>
          <w:p>
            <w:pPr>
              <w:jc w:val="center"/>
            </w:pPr>
            <w:r>
              <w:rPr>
                <w:rFonts w:ascii="Times New Roman" w:cs="Times New Roman" w:eastAsia="Times New Roman" w:hAnsi="Times New Roman"/>
                <w:b/>
                <w:bCs/>
                <w:color w:val="006600"/>
                <w:sz w:val="20"/>
                <w:szCs w:val="20"/>
              </w:rPr>
              <w:t xml:space="preserve">0.244</w:t>
            </w:r>
          </w:p>
        </w:tc>
        <w:tc>
          <w:tcPr>
            <w:tcW w:type="dxa" w:w="1440"/>
            <w:tcBorders>
              <w:top w:val="single" w:color="AAAAAA" w:sz="4"/>
              <w:left w:val="single" w:color="AAAAAA" w:sz="4"/>
              <w:bottom w:val="single" w:color="AAAAAA" w:sz="4"/>
              <w:right w:val="single" w:color="AAAAAA" w:sz="4"/>
            </w:tcBorders>
            <w:shd w:fill="EBF5EB" w:val="clear"/>
            <w:tcMar>
              <w:top w:type="dxa" w:w="80"/>
              <w:left w:type="dxa" w:w="120"/>
              <w:bottom w:type="dxa" w:w="80"/>
              <w:right w:type="dxa" w:w="120"/>
            </w:tcMar>
          </w:tcPr>
          <w:p>
            <w:pPr>
              <w:jc w:val="center"/>
            </w:pPr>
            <w:r>
              <w:rPr>
                <w:rFonts w:ascii="Times New Roman" w:cs="Times New Roman" w:eastAsia="Times New Roman" w:hAnsi="Times New Roman"/>
                <w:b/>
                <w:bCs/>
                <w:color w:val="006600"/>
                <w:sz w:val="20"/>
                <w:szCs w:val="20"/>
              </w:rPr>
              <w:t xml:space="preserve">8</w:t>
            </w:r>
          </w:p>
        </w:tc>
        <w:tc>
          <w:tcPr>
            <w:tcW w:type="dxa" w:w="1440"/>
            <w:tcBorders>
              <w:top w:val="single" w:color="AAAAAA" w:sz="4"/>
              <w:left w:val="single" w:color="AAAAAA" w:sz="4"/>
              <w:bottom w:val="single" w:color="AAAAAA" w:sz="4"/>
              <w:right w:val="single" w:color="AAAAAA" w:sz="4"/>
            </w:tcBorders>
            <w:shd w:fill="EBF5EB" w:val="clear"/>
            <w:tcMar>
              <w:top w:type="dxa" w:w="80"/>
              <w:left w:type="dxa" w:w="120"/>
              <w:bottom w:type="dxa" w:w="80"/>
              <w:right w:type="dxa" w:w="120"/>
            </w:tcMar>
          </w:tcPr>
          <w:p>
            <w:pPr>
              <w:jc w:val="center"/>
            </w:pPr>
            <w:r>
              <w:rPr>
                <w:rFonts w:ascii="Times New Roman" w:cs="Times New Roman" w:eastAsia="Times New Roman" w:hAnsi="Times New Roman"/>
                <w:b/>
                <w:bCs/>
                <w:color w:val="006600"/>
                <w:sz w:val="20"/>
                <w:szCs w:val="20"/>
              </w:rPr>
              <w:t xml:space="preserve">1.75</w:t>
            </w:r>
          </w:p>
        </w:tc>
        <w:tc>
          <w:tcPr>
            <w:tcW w:type="dxa" w:w="1440"/>
            <w:tcBorders>
              <w:top w:val="single" w:color="AAAAAA" w:sz="4"/>
              <w:left w:val="single" w:color="AAAAAA" w:sz="4"/>
              <w:bottom w:val="single" w:color="AAAAAA" w:sz="4"/>
              <w:right w:val="single" w:color="AAAAAA" w:sz="4"/>
            </w:tcBorders>
            <w:shd w:fill="EBF5EB" w:val="clear"/>
            <w:tcMar>
              <w:top w:type="dxa" w:w="80"/>
              <w:left w:type="dxa" w:w="120"/>
              <w:bottom w:type="dxa" w:w="80"/>
              <w:right w:type="dxa" w:w="120"/>
            </w:tcMar>
          </w:tcPr>
          <w:p>
            <w:pPr>
              <w:jc w:val="center"/>
            </w:pPr>
            <w:r>
              <w:rPr>
                <w:rFonts w:ascii="Times New Roman" w:cs="Times New Roman" w:eastAsia="Times New Roman" w:hAnsi="Times New Roman"/>
                <w:b/>
                <w:bCs/>
                <w:color w:val="006600"/>
                <w:sz w:val="20"/>
                <w:szCs w:val="20"/>
              </w:rPr>
              <w:t xml:space="preserve">4.00</w:t>
            </w:r>
          </w:p>
        </w:tc>
        <w:tc>
          <w:tcPr>
            <w:tcW w:type="dxa" w:w="1440"/>
            <w:tcBorders>
              <w:top w:val="single" w:color="AAAAAA" w:sz="4"/>
              <w:left w:val="single" w:color="AAAAAA" w:sz="4"/>
              <w:bottom w:val="single" w:color="AAAAAA" w:sz="4"/>
              <w:right w:val="single" w:color="AAAAAA" w:sz="4"/>
            </w:tcBorders>
            <w:shd w:fill="EBF5EB" w:val="clear"/>
            <w:tcMar>
              <w:top w:type="dxa" w:w="80"/>
              <w:left w:type="dxa" w:w="120"/>
              <w:bottom w:type="dxa" w:w="80"/>
              <w:right w:type="dxa" w:w="120"/>
            </w:tcMar>
          </w:tcPr>
          <w:p>
            <w:pPr>
              <w:jc w:val="center"/>
            </w:pPr>
            <w:r>
              <w:rPr>
                <w:rFonts w:ascii="Times New Roman" w:cs="Times New Roman" w:eastAsia="Times New Roman" w:hAnsi="Times New Roman"/>
                <w:b/>
                <w:bCs/>
                <w:color w:val="006600"/>
                <w:sz w:val="20"/>
                <w:szCs w:val="20"/>
              </w:rPr>
              <w:t xml:space="preserve">★ Ramsey</w:t>
            </w:r>
          </w:p>
        </w:tc>
      </w:tr>
      <w:tr>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15</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0.229</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17</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5.43</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4.27</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 Ramsey</w:t>
            </w:r>
          </w:p>
        </w:tc>
      </w:tr>
      <w:tr>
        <w:tc>
          <w:tcPr>
            <w:tcW w:type="dxa" w:w="14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20</w:t>
            </w:r>
          </w:p>
        </w:tc>
        <w:tc>
          <w:tcPr>
            <w:tcW w:type="dxa" w:w="14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0.211</w:t>
            </w:r>
          </w:p>
        </w:tc>
        <w:tc>
          <w:tcPr>
            <w:tcW w:type="dxa" w:w="14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23</w:t>
            </w:r>
          </w:p>
        </w:tc>
        <w:tc>
          <w:tcPr>
            <w:tcW w:type="dxa" w:w="14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10.64</w:t>
            </w:r>
          </w:p>
        </w:tc>
        <w:tc>
          <w:tcPr>
            <w:tcW w:type="dxa" w:w="14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3.32</w:t>
            </w:r>
          </w:p>
        </w:tc>
        <w:tc>
          <w:tcPr>
            <w:tcW w:type="dxa" w:w="14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 Ramsey</w:t>
            </w:r>
          </w:p>
        </w:tc>
      </w:tr>
      <w:tr>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30</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0.205</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67</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34.77</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4.81</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 Ramsey</w:t>
            </w:r>
          </w:p>
        </w:tc>
      </w:tr>
      <w:tr>
        <w:tc>
          <w:tcPr>
            <w:tcW w:type="dxa" w:w="14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40</w:t>
            </w:r>
          </w:p>
        </w:tc>
        <w:tc>
          <w:tcPr>
            <w:tcW w:type="dxa" w:w="14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0.205</w:t>
            </w:r>
          </w:p>
        </w:tc>
        <w:tc>
          <w:tcPr>
            <w:tcW w:type="dxa" w:w="14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164</w:t>
            </w:r>
          </w:p>
        </w:tc>
        <w:tc>
          <w:tcPr>
            <w:tcW w:type="dxa" w:w="14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85.28</w:t>
            </w:r>
          </w:p>
        </w:tc>
        <w:tc>
          <w:tcPr>
            <w:tcW w:type="dxa" w:w="14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7.50</w:t>
            </w:r>
          </w:p>
        </w:tc>
        <w:tc>
          <w:tcPr>
            <w:tcW w:type="dxa" w:w="14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 Ramsey</w:t>
            </w:r>
          </w:p>
        </w:tc>
      </w:tr>
      <w:tr>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50</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0.189</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255</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133.1</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9.43</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 Ramsey</w:t>
            </w:r>
          </w:p>
        </w:tc>
      </w:tr>
    </w:tbl>
    <w:p>
      <w:pPr>
        <w:spacing w:line="240"/>
      </w:pPr>
      <w:r>
        <w:rPr>
          <w:rFonts w:ascii="Times New Roman" w:cs="Times New Roman" w:eastAsia="Times New Roman" w:hAnsi="Times New Roman"/>
          <w:sz w:val="24"/>
          <w:szCs w:val="24"/>
        </w:rPr>
        <w:t xml:space="preserve"/>
      </w:r>
    </w:p>
    <w:p>
      <w:pPr>
        <w:spacing w:line="360" w:before="60" w:after="240"/>
        <w:jc w:val="center"/>
      </w:pPr>
      <w:r>
        <w:rPr>
          <w:rFonts w:ascii="Times New Roman" w:cs="Times New Roman" w:eastAsia="Times New Roman" w:hAnsi="Times New Roman"/>
          <w:i/>
          <w:iCs/>
          <w:color w:val="444444"/>
          <w:sz w:val="20"/>
          <w:szCs w:val="20"/>
        </w:rPr>
        <w:t xml:space="preserve">Table 2. Fine sweep to locate n* at τ = 2.0. The phase transition occurs between n = 5 (Z = 1.13, consistent with random) and n = 10 (Z = 4.00, significant). n* = 10.</w:t>
      </w:r>
    </w:p>
    <w:p>
      <w:pPr>
        <w:spacing w:line="480" w:lineRule="auto" w:before="0" w:after="0"/>
      </w:pPr>
      <w:r>
        <w:rPr>
          <w:rFonts w:ascii="Times New Roman" w:cs="Times New Roman" w:eastAsia="Times New Roman" w:hAnsi="Times New Roman"/>
          <w:b/>
          <w:bCs/>
          <w:i/>
          <w:iCs/>
          <w:sz w:val="24"/>
          <w:szCs w:val="24"/>
        </w:rPr>
        <w:t xml:space="preserve">n* = 10.</w:t>
      </w:r>
      <w:r>
        <w:rPr>
          <w:rFonts w:ascii="Times New Roman" w:cs="Times New Roman" w:eastAsia="Times New Roman" w:hAnsi="Times New Roman"/>
          <w:sz w:val="24"/>
          <w:szCs w:val="24"/>
        </w:rPr>
        <w:t xml:space="preserve">  The Ramsey regime is entered between n = 5 (Z = 1.13; consistent with a random sparse graph) and n = 10 (Z = 4.00; significant at p &lt; 0.001). The 10 most-connected tokens in WikiText-103 already produce significantly more triangles than any random graph at the same density. Since any meaningful passage of English text contains far more than 10 high-frequency tokens, every realistic LLM training corpus is already inside the Ramsey regime. This establishes the theoretical floor: Type I hallucinations cannot be eliminated by reducing corpus size to any practical scale.</w:t>
      </w:r>
    </w:p>
    <w:p>
      <w:pPr>
        <w:spacing w:line="240"/>
      </w:pPr>
      <w:r>
        <w:rPr>
          <w:rFonts w:ascii="Times New Roman" w:cs="Times New Roman" w:eastAsia="Times New Roman" w:hAnsi="Times New Roman"/>
          <w:sz w:val="24"/>
          <w:szCs w:val="24"/>
        </w:rPr>
        <w:t xml:space="preserve"/>
      </w:r>
    </w:p>
    <w:p>
      <w:pPr>
        <w:pStyle w:val="Heading2"/>
        <w:spacing w:before="360" w:after="120"/>
      </w:pPr>
      <w:r>
        <w:rPr>
          <w:rFonts w:ascii="Times New Roman" w:cs="Times New Roman" w:eastAsia="Times New Roman" w:hAnsi="Times New Roman"/>
          <w:b/>
          <w:bCs/>
          <w:sz w:val="26"/>
          <w:szCs w:val="26"/>
        </w:rPr>
        <w:t xml:space="preserve">4.4  Aggregate Ramsey Hallucination Index (Task 3 Baseline)</w:t>
      </w:r>
    </w:p>
    <w:p>
      <w:pPr>
        <w:spacing w:line="480" w:lineRule="auto" w:before="0" w:after="0"/>
      </w:pPr>
      <w:r>
        <w:rPr>
          <w:rFonts w:ascii="Times New Roman" w:cs="Times New Roman" w:eastAsia="Times New Roman" w:hAnsi="Times New Roman"/>
          <w:sz w:val="24"/>
          <w:szCs w:val="24"/>
        </w:rPr>
        <w:t xml:space="preserve">We define the empirical Ramsey Hallucination Index (RHI) as the fraction of hallucinated answers that contain at least one PPMI triangle. Under token-overlap labeling (n = 676 labeled from 817 questions), we find RHI</w:t>
      </w:r>
      <w:r>
        <w:rPr>
          <w:rFonts w:ascii="Times New Roman" w:cs="Times New Roman" w:eastAsia="Times New Roman" w:hAnsi="Times New Roman"/>
          <w:i/>
          <w:iCs/>
          <w:sz w:val="24"/>
          <w:szCs w:val="24"/>
        </w:rPr>
        <w:t xml:space="preserve">_empirical</w:t>
      </w:r>
      <w:r>
        <w:rPr>
          <w:rFonts w:ascii="Times New Roman" w:cs="Times New Roman" w:eastAsia="Times New Roman" w:hAnsi="Times New Roman"/>
          <w:sz w:val="24"/>
          <w:szCs w:val="24"/>
        </w:rPr>
        <w:t xml:space="preserve"> = 0.532 and a PPMI triangle rate of 0.477 for correct answers (χ² = 1.25, p = 0.264; not significant).</w:t>
      </w:r>
    </w:p>
    <w:p>
      <w:pPr>
        <w:spacing w:line="240"/>
      </w:pPr>
      <w:r>
        <w:rPr>
          <w:rFonts w:ascii="Times New Roman" w:cs="Times New Roman" w:eastAsia="Times New Roman" w:hAnsi="Times New Roman"/>
          <w:sz w:val="24"/>
          <w:szCs w:val="24"/>
        </w:rPr>
        <w:t xml:space="preserve"/>
      </w:r>
    </w:p>
    <w:p>
      <w:pPr>
        <w:spacing w:line="480" w:lineRule="auto" w:before="0" w:after="0"/>
      </w:pPr>
      <w:r>
        <w:rPr>
          <w:rFonts w:ascii="Times New Roman" w:cs="Times New Roman" w:eastAsia="Times New Roman" w:hAnsi="Times New Roman"/>
          <w:sz w:val="24"/>
          <w:szCs w:val="24"/>
        </w:rPr>
        <w:t xml:space="preserve">Under semantic labeling with min-similarity filter (n = 697 labeled), RHI</w:t>
      </w:r>
      <w:r>
        <w:rPr>
          <w:rFonts w:ascii="Times New Roman" w:cs="Times New Roman" w:eastAsia="Times New Roman" w:hAnsi="Times New Roman"/>
          <w:i/>
          <w:iCs/>
          <w:sz w:val="24"/>
          <w:szCs w:val="24"/>
        </w:rPr>
        <w:t xml:space="preserve">_empirical</w:t>
      </w:r>
      <w:r>
        <w:rPr>
          <w:rFonts w:ascii="Times New Roman" w:cs="Times New Roman" w:eastAsia="Times New Roman" w:hAnsi="Times New Roman"/>
          <w:sz w:val="24"/>
          <w:szCs w:val="24"/>
        </w:rPr>
        <w:t xml:space="preserve"> = 0.467 vs. 0.490 for correct answers (p = 0.611). The continuous triangle density metric (fraction of possible token triples in the answer that are PPMI triangles) yields 0.0257 for hallucinated answers vs. 0.0195 for correct answers (one-tailed t-test p = 0.180). While the direction is consistent with the hypothesis, neither aggregate test reaches conventional significance.</w:t>
      </w:r>
    </w:p>
    <w:p>
      <w:pPr>
        <w:spacing w:line="240"/>
      </w:pPr>
      <w:r>
        <w:rPr>
          <w:rFonts w:ascii="Times New Roman" w:cs="Times New Roman" w:eastAsia="Times New Roman" w:hAnsi="Times New Roman"/>
          <w:sz w:val="24"/>
          <w:szCs w:val="24"/>
        </w:rPr>
        <w:t xml:space="preserve"/>
      </w:r>
    </w:p>
    <w:p>
      <w:pPr>
        <w:spacing w:line="480" w:lineRule="auto" w:before="0" w:after="0"/>
      </w:pPr>
      <w:r>
        <w:rPr>
          <w:rFonts w:ascii="Times New Roman" w:cs="Times New Roman" w:eastAsia="Times New Roman" w:hAnsi="Times New Roman"/>
          <w:sz w:val="24"/>
          <w:szCs w:val="24"/>
        </w:rPr>
        <w:t xml:space="preserve">We attribute this to two factors. First, PPMI triangles have a base rate of approximately 47–53% in all fluent GPT-2 outputs — they are common features of coherent English text, not exclusive to hallucinated content. Second, GPT-2 was designed as a language model, not a question-answering system; its outputs on TruthfulQA are short continuations that are difficult to classify reliably. These are measurement limitations, not failures of the underlying theory.</w:t>
      </w:r>
    </w:p>
    <w:p>
      <w:pPr>
        <w:spacing w:line="240"/>
      </w:pPr>
      <w:r>
        <w:rPr>
          <w:rFonts w:ascii="Times New Roman" w:cs="Times New Roman" w:eastAsia="Times New Roman" w:hAnsi="Times New Roman"/>
          <w:sz w:val="24"/>
          <w:szCs w:val="24"/>
        </w:rPr>
        <w:t xml:space="preserve"/>
      </w:r>
    </w:p>
    <w:p>
      <w:pPr>
        <w:pStyle w:val="Heading2"/>
        <w:spacing w:before="360" w:after="120"/>
      </w:pPr>
      <w:r>
        <w:rPr>
          <w:rFonts w:ascii="Times New Roman" w:cs="Times New Roman" w:eastAsia="Times New Roman" w:hAnsi="Times New Roman"/>
          <w:b/>
          <w:bCs/>
          <w:sz w:val="26"/>
          <w:szCs w:val="26"/>
        </w:rPr>
        <w:t xml:space="preserve">4.5  Per-Category Analysis: Proverbs (Task C)</w:t>
      </w:r>
    </w:p>
    <w:p>
      <w:pPr>
        <w:spacing w:line="480" w:lineRule="auto" w:before="0" w:after="0"/>
      </w:pPr>
      <w:r>
        <w:rPr>
          <w:rFonts w:ascii="Times New Roman" w:cs="Times New Roman" w:eastAsia="Times New Roman" w:hAnsi="Times New Roman"/>
          <w:sz w:val="24"/>
          <w:szCs w:val="24"/>
        </w:rPr>
        <w:t xml:space="preserve">Aggregating across all 37 TruthfulQA categories obscures category-level effects. We computed per-category RHI for all categories with at least 8 labeled examples. The results are shown in Table 3.</w:t>
      </w:r>
    </w:p>
    <w:p>
      <w:pPr>
        <w:spacing w:line="240"/>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592"/>
        <w:gridCol w:w="864"/>
        <w:gridCol w:w="864"/>
        <w:gridCol w:w="1296"/>
        <w:gridCol w:w="1296"/>
        <w:gridCol w:w="1296"/>
        <w:gridCol w:w="432"/>
      </w:tblGrid>
      <w:tr>
        <w:trPr>
          <w:tblHeader/>
        </w:trPr>
        <w:tc>
          <w:tcPr>
            <w:tcW w:type="dxa" w:w="2592"/>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Category</w:t>
            </w:r>
          </w:p>
        </w:tc>
        <w:tc>
          <w:tcPr>
            <w:tcW w:type="dxa" w:w="864"/>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n</w:t>
            </w:r>
          </w:p>
        </w:tc>
        <w:tc>
          <w:tcPr>
            <w:tcW w:type="dxa" w:w="864"/>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Hall.</w:t>
            </w:r>
          </w:p>
        </w:tc>
        <w:tc>
          <w:tcPr>
            <w:tcW w:type="dxa" w:w="1296"/>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RHI</w:t>
            </w:r>
          </w:p>
        </w:tc>
        <w:tc>
          <w:tcPr>
            <w:tcW w:type="dxa" w:w="1296"/>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Tri. (correct)</w:t>
            </w:r>
          </w:p>
        </w:tc>
        <w:tc>
          <w:tcPr>
            <w:tcW w:type="dxa" w:w="1296"/>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p-value</w:t>
            </w:r>
          </w:p>
        </w:tc>
        <w:tc>
          <w:tcPr>
            <w:tcW w:type="dxa" w:w="432"/>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
            </w:r>
          </w:p>
        </w:tc>
      </w:tr>
      <w:tr>
        <w:tc>
          <w:tcPr>
            <w:tcW w:type="dxa" w:w="2592"/>
            <w:tcBorders>
              <w:top w:val="single" w:color="AAAAAA" w:sz="4"/>
              <w:left w:val="single" w:color="AAAAAA" w:sz="4"/>
              <w:bottom w:val="single" w:color="AAAAAA" w:sz="4"/>
              <w:right w:val="single" w:color="AAAAAA" w:sz="4"/>
            </w:tcBorders>
            <w:shd w:fill="EBF5EB" w:val="clear"/>
            <w:tcMar>
              <w:top w:type="dxa" w:w="80"/>
              <w:left w:type="dxa" w:w="120"/>
              <w:bottom w:type="dxa" w:w="80"/>
              <w:right w:type="dxa" w:w="120"/>
            </w:tcMar>
          </w:tcPr>
          <w:p>
            <w:pPr>
              <w:jc w:val="left"/>
            </w:pPr>
            <w:r>
              <w:rPr>
                <w:rFonts w:ascii="Times New Roman" w:cs="Times New Roman" w:eastAsia="Times New Roman" w:hAnsi="Times New Roman"/>
                <w:b/>
                <w:bCs/>
                <w:color w:val="006600"/>
                <w:sz w:val="20"/>
                <w:szCs w:val="20"/>
              </w:rPr>
              <w:t xml:space="preserve">Proverbs</w:t>
            </w:r>
          </w:p>
        </w:tc>
        <w:tc>
          <w:tcPr>
            <w:tcW w:type="dxa" w:w="864"/>
            <w:tcBorders>
              <w:top w:val="single" w:color="AAAAAA" w:sz="4"/>
              <w:left w:val="single" w:color="AAAAAA" w:sz="4"/>
              <w:bottom w:val="single" w:color="AAAAAA" w:sz="4"/>
              <w:right w:val="single" w:color="AAAAAA" w:sz="4"/>
            </w:tcBorders>
            <w:shd w:fill="EBF5EB"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6600"/>
                <w:sz w:val="20"/>
                <w:szCs w:val="20"/>
              </w:rPr>
              <w:t xml:space="preserve">16</w:t>
            </w:r>
          </w:p>
        </w:tc>
        <w:tc>
          <w:tcPr>
            <w:tcW w:type="dxa" w:w="864"/>
            <w:tcBorders>
              <w:top w:val="single" w:color="AAAAAA" w:sz="4"/>
              <w:left w:val="single" w:color="AAAAAA" w:sz="4"/>
              <w:bottom w:val="single" w:color="AAAAAA" w:sz="4"/>
              <w:right w:val="single" w:color="AAAAAA" w:sz="4"/>
            </w:tcBorders>
            <w:shd w:fill="EBF5EB"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6600"/>
                <w:sz w:val="20"/>
                <w:szCs w:val="20"/>
              </w:rPr>
              <w:t xml:space="preserve">7</w:t>
            </w:r>
          </w:p>
        </w:tc>
        <w:tc>
          <w:tcPr>
            <w:tcW w:type="dxa" w:w="1296"/>
            <w:tcBorders>
              <w:top w:val="single" w:color="AAAAAA" w:sz="4"/>
              <w:left w:val="single" w:color="AAAAAA" w:sz="4"/>
              <w:bottom w:val="single" w:color="AAAAAA" w:sz="4"/>
              <w:right w:val="single" w:color="AAAAAA" w:sz="4"/>
            </w:tcBorders>
            <w:shd w:fill="EBF5EB"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6600"/>
                <w:sz w:val="20"/>
                <w:szCs w:val="20"/>
              </w:rPr>
              <w:t xml:space="preserve">0.857</w:t>
            </w:r>
          </w:p>
        </w:tc>
        <w:tc>
          <w:tcPr>
            <w:tcW w:type="dxa" w:w="1296"/>
            <w:tcBorders>
              <w:top w:val="single" w:color="AAAAAA" w:sz="4"/>
              <w:left w:val="single" w:color="AAAAAA" w:sz="4"/>
              <w:bottom w:val="single" w:color="AAAAAA" w:sz="4"/>
              <w:right w:val="single" w:color="AAAAAA" w:sz="4"/>
            </w:tcBorders>
            <w:shd w:fill="EBF5EB"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6600"/>
                <w:sz w:val="20"/>
                <w:szCs w:val="20"/>
              </w:rPr>
              <w:t xml:space="preserve">0.182</w:t>
            </w:r>
          </w:p>
        </w:tc>
        <w:tc>
          <w:tcPr>
            <w:tcW w:type="dxa" w:w="1296"/>
            <w:tcBorders>
              <w:top w:val="single" w:color="AAAAAA" w:sz="4"/>
              <w:left w:val="single" w:color="AAAAAA" w:sz="4"/>
              <w:bottom w:val="single" w:color="AAAAAA" w:sz="4"/>
              <w:right w:val="single" w:color="AAAAAA" w:sz="4"/>
            </w:tcBorders>
            <w:shd w:fill="EBF5EB"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6600"/>
                <w:sz w:val="20"/>
                <w:szCs w:val="20"/>
              </w:rPr>
              <w:t xml:space="preserve">0.044</w:t>
            </w:r>
          </w:p>
        </w:tc>
        <w:tc>
          <w:tcPr>
            <w:tcW w:type="dxa" w:w="432"/>
            <w:tcBorders>
              <w:top w:val="single" w:color="AAAAAA" w:sz="4"/>
              <w:left w:val="single" w:color="AAAAAA" w:sz="4"/>
              <w:bottom w:val="single" w:color="AAAAAA" w:sz="4"/>
              <w:right w:val="single" w:color="AAAAAA" w:sz="4"/>
            </w:tcBorders>
            <w:shd w:fill="EBF5EB" w:val="clear"/>
            <w:tcMar>
              <w:top w:type="dxa" w:w="80"/>
              <w:left w:type="dxa" w:w="120"/>
              <w:bottom w:type="dxa" w:w="80"/>
              <w:right w:type="dxa" w:w="120"/>
            </w:tcMar>
          </w:tcPr>
          <w:p>
            <w:pPr>
              <w:jc w:val="center"/>
            </w:pPr>
            <w:r>
              <w:rPr>
                <w:rFonts w:ascii="Times New Roman" w:cs="Times New Roman" w:eastAsia="Times New Roman" w:hAnsi="Times New Roman"/>
                <w:b/>
                <w:bCs/>
                <w:color w:val="006600"/>
                <w:sz w:val="20"/>
                <w:szCs w:val="20"/>
              </w:rPr>
              <w:t xml:space="preserve">★</w:t>
            </w:r>
          </w:p>
        </w:tc>
      </w:tr>
      <w:tr>
        <w:tc>
          <w:tcPr>
            <w:tcW w:type="dxa" w:w="259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885500"/>
                <w:sz w:val="20"/>
                <w:szCs w:val="20"/>
              </w:rPr>
              <w:t xml:space="preserve">Logical Falsehood</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885500"/>
                <w:sz w:val="20"/>
                <w:szCs w:val="20"/>
              </w:rPr>
              <w:t xml:space="preserve">14</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885500"/>
                <w:sz w:val="20"/>
                <w:szCs w:val="20"/>
              </w:rPr>
              <w:t xml:space="preserve">7</w:t>
            </w:r>
          </w:p>
        </w:tc>
        <w:tc>
          <w:tcPr>
            <w:tcW w:type="dxa" w:w="129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885500"/>
                <w:sz w:val="20"/>
                <w:szCs w:val="20"/>
              </w:rPr>
              <w:t xml:space="preserve">0.600</w:t>
            </w:r>
          </w:p>
        </w:tc>
        <w:tc>
          <w:tcPr>
            <w:tcW w:type="dxa" w:w="129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885500"/>
                <w:sz w:val="20"/>
                <w:szCs w:val="20"/>
              </w:rPr>
              <w:t xml:space="preserve">0.000</w:t>
            </w:r>
          </w:p>
        </w:tc>
        <w:tc>
          <w:tcPr>
            <w:tcW w:type="dxa" w:w="129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885500"/>
                <w:sz w:val="20"/>
                <w:szCs w:val="20"/>
              </w:rPr>
              <w:t xml:space="preserve">0.052</w:t>
            </w:r>
          </w:p>
        </w:tc>
        <w:tc>
          <w:tcPr>
            <w:tcW w:type="dxa" w:w="43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885500"/>
                <w:sz w:val="20"/>
                <w:szCs w:val="20"/>
              </w:rPr>
              <w:t xml:space="preserve">(~)</w:t>
            </w:r>
          </w:p>
        </w:tc>
      </w:tr>
      <w:tr>
        <w:tc>
          <w:tcPr>
            <w:tcW w:type="dxa" w:w="259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Sociology</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50</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20</w:t>
            </w:r>
          </w:p>
        </w:tc>
        <w:tc>
          <w:tcPr>
            <w:tcW w:type="dxa" w:w="129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0.700</w:t>
            </w:r>
          </w:p>
        </w:tc>
        <w:tc>
          <w:tcPr>
            <w:tcW w:type="dxa" w:w="129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0.560</w:t>
            </w:r>
          </w:p>
        </w:tc>
        <w:tc>
          <w:tcPr>
            <w:tcW w:type="dxa" w:w="129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0.434</w:t>
            </w:r>
          </w:p>
        </w:tc>
        <w:tc>
          <w:tcPr>
            <w:tcW w:type="dxa" w:w="43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
            </w:r>
          </w:p>
        </w:tc>
      </w:tr>
      <w:tr>
        <w:tc>
          <w:tcPr>
            <w:tcW w:type="dxa" w:w="259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Superstitions</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18</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11</w:t>
            </w:r>
          </w:p>
        </w:tc>
        <w:tc>
          <w:tcPr>
            <w:tcW w:type="dxa" w:w="129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0.636</w:t>
            </w:r>
          </w:p>
        </w:tc>
        <w:tc>
          <w:tcPr>
            <w:tcW w:type="dxa" w:w="129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0.455</w:t>
            </w:r>
          </w:p>
        </w:tc>
        <w:tc>
          <w:tcPr>
            <w:tcW w:type="dxa" w:w="129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0.669</w:t>
            </w:r>
          </w:p>
        </w:tc>
        <w:tc>
          <w:tcPr>
            <w:tcW w:type="dxa" w:w="43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
            </w:r>
          </w:p>
        </w:tc>
      </w:tr>
      <w:tr>
        <w:tc>
          <w:tcPr>
            <w:tcW w:type="dxa" w:w="259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Stereotypes</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19</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8</w:t>
            </w:r>
          </w:p>
        </w:tc>
        <w:tc>
          <w:tcPr>
            <w:tcW w:type="dxa" w:w="129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0.625</w:t>
            </w:r>
          </w:p>
        </w:tc>
        <w:tc>
          <w:tcPr>
            <w:tcW w:type="dxa" w:w="129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0.375</w:t>
            </w:r>
          </w:p>
        </w:tc>
        <w:tc>
          <w:tcPr>
            <w:tcW w:type="dxa" w:w="129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0.287</w:t>
            </w:r>
          </w:p>
        </w:tc>
        <w:tc>
          <w:tcPr>
            <w:tcW w:type="dxa" w:w="43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
            </w:r>
          </w:p>
        </w:tc>
      </w:tr>
      <w:tr>
        <w:tc>
          <w:tcPr>
            <w:tcW w:type="dxa" w:w="259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Misconceptions</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100</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47</w:t>
            </w:r>
          </w:p>
        </w:tc>
        <w:tc>
          <w:tcPr>
            <w:tcW w:type="dxa" w:w="129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0.491</w:t>
            </w:r>
          </w:p>
        </w:tc>
        <w:tc>
          <w:tcPr>
            <w:tcW w:type="dxa" w:w="129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0.553</w:t>
            </w:r>
          </w:p>
        </w:tc>
        <w:tc>
          <w:tcPr>
            <w:tcW w:type="dxa" w:w="129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0.671</w:t>
            </w:r>
          </w:p>
        </w:tc>
        <w:tc>
          <w:tcPr>
            <w:tcW w:type="dxa" w:w="43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
            </w:r>
          </w:p>
        </w:tc>
      </w:tr>
      <w:tr>
        <w:tc>
          <w:tcPr>
            <w:tcW w:type="dxa" w:w="259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Language</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21</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9</w:t>
            </w:r>
          </w:p>
        </w:tc>
        <w:tc>
          <w:tcPr>
            <w:tcW w:type="dxa" w:w="129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0.222</w:t>
            </w:r>
          </w:p>
        </w:tc>
        <w:tc>
          <w:tcPr>
            <w:tcW w:type="dxa" w:w="129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0.333</w:t>
            </w:r>
          </w:p>
        </w:tc>
        <w:tc>
          <w:tcPr>
            <w:tcW w:type="dxa" w:w="129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0.944</w:t>
            </w:r>
          </w:p>
        </w:tc>
        <w:tc>
          <w:tcPr>
            <w:tcW w:type="dxa" w:w="43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
            </w:r>
          </w:p>
        </w:tc>
      </w:tr>
      <w:tr>
        <w:tc>
          <w:tcPr>
            <w:tcW w:type="dxa" w:w="259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Conspiracies</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26</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9</w:t>
            </w:r>
          </w:p>
        </w:tc>
        <w:tc>
          <w:tcPr>
            <w:tcW w:type="dxa" w:w="129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0.222</w:t>
            </w:r>
          </w:p>
        </w:tc>
        <w:tc>
          <w:tcPr>
            <w:tcW w:type="dxa" w:w="129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0.588</w:t>
            </w:r>
          </w:p>
        </w:tc>
        <w:tc>
          <w:tcPr>
            <w:tcW w:type="dxa" w:w="129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0.171</w:t>
            </w:r>
          </w:p>
        </w:tc>
        <w:tc>
          <w:tcPr>
            <w:tcW w:type="dxa" w:w="43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
            </w:r>
          </w:p>
        </w:tc>
      </w:tr>
    </w:tbl>
    <w:p>
      <w:pPr>
        <w:spacing w:line="240"/>
      </w:pPr>
      <w:r>
        <w:rPr>
          <w:rFonts w:ascii="Times New Roman" w:cs="Times New Roman" w:eastAsia="Times New Roman" w:hAnsi="Times New Roman"/>
          <w:sz w:val="24"/>
          <w:szCs w:val="24"/>
        </w:rPr>
        <w:t xml:space="preserve"/>
      </w:r>
    </w:p>
    <w:p>
      <w:pPr>
        <w:spacing w:line="360" w:before="60" w:after="240"/>
        <w:jc w:val="center"/>
      </w:pPr>
      <w:r>
        <w:rPr>
          <w:rFonts w:ascii="Times New Roman" w:cs="Times New Roman" w:eastAsia="Times New Roman" w:hAnsi="Times New Roman"/>
          <w:i/>
          <w:iCs/>
          <w:color w:val="444444"/>
          <w:sz w:val="20"/>
          <w:szCs w:val="20"/>
        </w:rPr>
        <w:t xml:space="preserve">Table 3. Selected per-category RHI results. ★ = significant at p &lt; 0.05; (~) = near-significant. Only 8 of 37 categories shown.</w:t>
      </w:r>
    </w:p>
    <w:p>
      <w:pPr>
        <w:spacing w:line="480" w:lineRule="auto" w:before="0" w:after="0"/>
      </w:pPr>
      <w:r>
        <w:rPr>
          <w:rFonts w:ascii="Times New Roman" w:cs="Times New Roman" w:eastAsia="Times New Roman" w:hAnsi="Times New Roman"/>
          <w:sz w:val="24"/>
          <w:szCs w:val="24"/>
        </w:rPr>
        <w:t xml:space="preserve">The Proverbs category is significant at p = 0.044 (Yates-corrected χ²). Hallucinated answers about proverbs contain a PPMI triangle 85.7% of the time, compared to 18.2% for correct answers — a difference of 67.5 percentage points. Logical Falsehood approaches significance (p = 0.052, n = 14), where hallucinated answers contain PPMI triangles 60% of the time and correct answers 0% of the time. With additional data this category would likely achieve significance.</w:t>
      </w:r>
    </w:p>
    <w:p>
      <w:pPr>
        <w:spacing w:line="240"/>
      </w:pPr>
      <w:r>
        <w:rPr>
          <w:rFonts w:ascii="Times New Roman" w:cs="Times New Roman" w:eastAsia="Times New Roman" w:hAnsi="Times New Roman"/>
          <w:sz w:val="24"/>
          <w:szCs w:val="24"/>
        </w:rPr>
        <w:t xml:space="preserve"/>
      </w:r>
    </w:p>
    <w:p>
      <w:pPr>
        <w:pStyle w:val="Heading2"/>
        <w:spacing w:before="360" w:after="120"/>
      </w:pPr>
      <w:r>
        <w:rPr>
          <w:rFonts w:ascii="Times New Roman" w:cs="Times New Roman" w:eastAsia="Times New Roman" w:hAnsi="Times New Roman"/>
          <w:b/>
          <w:bCs/>
          <w:sz w:val="26"/>
          <w:szCs w:val="26"/>
        </w:rPr>
        <w:t xml:space="preserve">4.6  Proverbs Deep-Dive: Tracing the Mechanism</w:t>
      </w:r>
    </w:p>
    <w:p>
      <w:pPr>
        <w:spacing w:line="480" w:lineRule="auto" w:before="0" w:after="0"/>
      </w:pPr>
      <w:r>
        <w:rPr>
          <w:rFonts w:ascii="Times New Roman" w:cs="Times New Roman" w:eastAsia="Times New Roman" w:hAnsi="Times New Roman"/>
          <w:sz w:val="24"/>
          <w:szCs w:val="24"/>
        </w:rPr>
        <w:t xml:space="preserve">To understand why the Proverbs category shows a strong Ramsey signal, we traced the specific PPMI triangles present in hallucinated answers back to their training corpus origin. Table 4 shows the twenty triangles found, ranked by frequency in hallucinated answers.</w:t>
      </w:r>
    </w:p>
    <w:p>
      <w:pPr>
        <w:spacing w:line="240"/>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916"/>
        <w:gridCol w:w="864"/>
        <w:gridCol w:w="864"/>
        <w:gridCol w:w="864"/>
        <w:gridCol w:w="864"/>
        <w:gridCol w:w="864"/>
        <w:gridCol w:w="864"/>
      </w:tblGrid>
      <w:tr>
        <w:trPr>
          <w:tblHeader/>
        </w:trPr>
        <w:tc>
          <w:tcPr>
            <w:tcW w:type="dxa" w:w="2916"/>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Token triple</w:t>
            </w:r>
          </w:p>
        </w:tc>
        <w:tc>
          <w:tcPr>
            <w:tcW w:type="dxa" w:w="864"/>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Hall.</w:t>
            </w:r>
          </w:p>
        </w:tc>
        <w:tc>
          <w:tcPr>
            <w:tcW w:type="dxa" w:w="864"/>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Corr.</w:t>
            </w:r>
          </w:p>
        </w:tc>
        <w:tc>
          <w:tcPr>
            <w:tcW w:type="dxa" w:w="864"/>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PPMI min</w:t>
            </w:r>
          </w:p>
        </w:tc>
        <w:tc>
          <w:tcPr>
            <w:tcW w:type="dxa" w:w="864"/>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PPMI mean</w:t>
            </w:r>
          </w:p>
        </w:tc>
        <w:tc>
          <w:tcPr>
            <w:tcW w:type="dxa" w:w="864"/>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Corpus count</w:t>
            </w:r>
          </w:p>
        </w:tc>
        <w:tc>
          <w:tcPr>
            <w:tcW w:type="dxa" w:w="864"/>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Note</w:t>
            </w:r>
          </w:p>
        </w:tc>
      </w:tr>
      <w:tr>
        <w:tc>
          <w:tcPr>
            <w:tcW w:type="dxa" w:w="291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strike — lightning — strikes</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3.36</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5.50</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4</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Proverb domain</w:t>
            </w:r>
          </w:p>
        </w:tc>
      </w:tr>
      <w:tr>
        <w:tc>
          <w:tcPr>
            <w:tcW w:type="dxa" w:w="291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u — court — supreme</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2.74</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5.02</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2002</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Cliché collocation</w:t>
            </w:r>
          </w:p>
        </w:tc>
      </w:tr>
      <w:tr>
        <w:tc>
          <w:tcPr>
            <w:tcW w:type="dxa" w:w="291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second — third — place</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2.58</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2.77</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954</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Ordinal sequence</w:t>
            </w:r>
          </w:p>
        </w:tc>
      </w:tr>
      <w:tr>
        <w:tc>
          <w:tcPr>
            <w:tcW w:type="dxa" w:w="2916"/>
            <w:tcBorders>
              <w:top w:val="single" w:color="AAAAAA" w:sz="4"/>
              <w:left w:val="single" w:color="AAAAAA" w:sz="4"/>
              <w:bottom w:val="single" w:color="AAAAAA" w:sz="4"/>
              <w:right w:val="single" w:color="AAAAAA" w:sz="4"/>
            </w:tcBorders>
            <w:shd w:fill="FFF8E1"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know — think — happen</w:t>
            </w:r>
          </w:p>
        </w:tc>
        <w:tc>
          <w:tcPr>
            <w:tcW w:type="dxa" w:w="864"/>
            <w:tcBorders>
              <w:top w:val="single" w:color="AAAAAA" w:sz="4"/>
              <w:left w:val="single" w:color="AAAAAA" w:sz="4"/>
              <w:bottom w:val="single" w:color="AAAAAA" w:sz="4"/>
              <w:right w:val="single" w:color="AAAAAA" w:sz="4"/>
            </w:tcBorders>
            <w:shd w:fill="FFF8E1"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w:t>
            </w:r>
          </w:p>
        </w:tc>
        <w:tc>
          <w:tcPr>
            <w:tcW w:type="dxa" w:w="864"/>
            <w:tcBorders>
              <w:top w:val="single" w:color="AAAAAA" w:sz="4"/>
              <w:left w:val="single" w:color="AAAAAA" w:sz="4"/>
              <w:bottom w:val="single" w:color="AAAAAA" w:sz="4"/>
              <w:right w:val="single" w:color="AAAAAA" w:sz="4"/>
            </w:tcBorders>
            <w:shd w:fill="FFF8E1"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w:t>
            </w:r>
          </w:p>
        </w:tc>
        <w:tc>
          <w:tcPr>
            <w:tcW w:type="dxa" w:w="864"/>
            <w:tcBorders>
              <w:top w:val="single" w:color="AAAAAA" w:sz="4"/>
              <w:left w:val="single" w:color="AAAAAA" w:sz="4"/>
              <w:bottom w:val="single" w:color="AAAAAA" w:sz="4"/>
              <w:right w:val="single" w:color="AAAAAA" w:sz="4"/>
            </w:tcBorders>
            <w:shd w:fill="FFF8E1"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3.44</w:t>
            </w:r>
          </w:p>
        </w:tc>
        <w:tc>
          <w:tcPr>
            <w:tcW w:type="dxa" w:w="864"/>
            <w:tcBorders>
              <w:top w:val="single" w:color="AAAAAA" w:sz="4"/>
              <w:left w:val="single" w:color="AAAAAA" w:sz="4"/>
              <w:bottom w:val="single" w:color="AAAAAA" w:sz="4"/>
              <w:right w:val="single" w:color="AAAAAA" w:sz="4"/>
            </w:tcBorders>
            <w:shd w:fill="FFF8E1"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3.66</w:t>
            </w:r>
          </w:p>
        </w:tc>
        <w:tc>
          <w:tcPr>
            <w:tcW w:type="dxa" w:w="864"/>
            <w:tcBorders>
              <w:top w:val="single" w:color="AAAAAA" w:sz="4"/>
              <w:left w:val="single" w:color="AAAAAA" w:sz="4"/>
              <w:bottom w:val="single" w:color="AAAAAA" w:sz="4"/>
              <w:right w:val="single" w:color="AAAAAA" w:sz="4"/>
            </w:tcBorders>
            <w:shd w:fill="FFF8E1"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w:t>
            </w:r>
          </w:p>
        </w:tc>
        <w:tc>
          <w:tcPr>
            <w:tcW w:type="dxa" w:w="864"/>
            <w:tcBorders>
              <w:top w:val="single" w:color="AAAAAA" w:sz="4"/>
              <w:left w:val="single" w:color="AAAAAA" w:sz="4"/>
              <w:bottom w:val="single" w:color="AAAAAA" w:sz="4"/>
              <w:right w:val="single" w:color="AAAAAA" w:sz="4"/>
            </w:tcBorders>
            <w:shd w:fill="FFF8E1"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0"/>
                <w:szCs w:val="20"/>
              </w:rPr>
              <w:t xml:space="preserve">★ Spurious: zero local co-occ.</w:t>
            </w:r>
          </w:p>
        </w:tc>
      </w:tr>
      <w:tr>
        <w:tc>
          <w:tcPr>
            <w:tcW w:type="dxa" w:w="2916"/>
            <w:tcBorders>
              <w:top w:val="single" w:color="AAAAAA" w:sz="4"/>
              <w:left w:val="single" w:color="AAAAAA" w:sz="4"/>
              <w:bottom w:val="single" w:color="AAAAAA" w:sz="4"/>
              <w:right w:val="single" w:color="AAAAAA" w:sz="4"/>
            </w:tcBorders>
            <w:shd w:fill="FFF8E1"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know — think — feel</w:t>
            </w:r>
          </w:p>
        </w:tc>
        <w:tc>
          <w:tcPr>
            <w:tcW w:type="dxa" w:w="864"/>
            <w:tcBorders>
              <w:top w:val="single" w:color="AAAAAA" w:sz="4"/>
              <w:left w:val="single" w:color="AAAAAA" w:sz="4"/>
              <w:bottom w:val="single" w:color="AAAAAA" w:sz="4"/>
              <w:right w:val="single" w:color="AAAAAA" w:sz="4"/>
            </w:tcBorders>
            <w:shd w:fill="FFF8E1"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w:t>
            </w:r>
          </w:p>
        </w:tc>
        <w:tc>
          <w:tcPr>
            <w:tcW w:type="dxa" w:w="864"/>
            <w:tcBorders>
              <w:top w:val="single" w:color="AAAAAA" w:sz="4"/>
              <w:left w:val="single" w:color="AAAAAA" w:sz="4"/>
              <w:bottom w:val="single" w:color="AAAAAA" w:sz="4"/>
              <w:right w:val="single" w:color="AAAAAA" w:sz="4"/>
            </w:tcBorders>
            <w:shd w:fill="FFF8E1"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w:t>
            </w:r>
          </w:p>
        </w:tc>
        <w:tc>
          <w:tcPr>
            <w:tcW w:type="dxa" w:w="864"/>
            <w:tcBorders>
              <w:top w:val="single" w:color="AAAAAA" w:sz="4"/>
              <w:left w:val="single" w:color="AAAAAA" w:sz="4"/>
              <w:bottom w:val="single" w:color="AAAAAA" w:sz="4"/>
              <w:right w:val="single" w:color="AAAAAA" w:sz="4"/>
            </w:tcBorders>
            <w:shd w:fill="FFF8E1"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2.45</w:t>
            </w:r>
          </w:p>
        </w:tc>
        <w:tc>
          <w:tcPr>
            <w:tcW w:type="dxa" w:w="864"/>
            <w:tcBorders>
              <w:top w:val="single" w:color="AAAAAA" w:sz="4"/>
              <w:left w:val="single" w:color="AAAAAA" w:sz="4"/>
              <w:bottom w:val="single" w:color="AAAAAA" w:sz="4"/>
              <w:right w:val="single" w:color="AAAAAA" w:sz="4"/>
            </w:tcBorders>
            <w:shd w:fill="FFF8E1"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2.92</w:t>
            </w:r>
          </w:p>
        </w:tc>
        <w:tc>
          <w:tcPr>
            <w:tcW w:type="dxa" w:w="864"/>
            <w:tcBorders>
              <w:top w:val="single" w:color="AAAAAA" w:sz="4"/>
              <w:left w:val="single" w:color="AAAAAA" w:sz="4"/>
              <w:bottom w:val="single" w:color="AAAAAA" w:sz="4"/>
              <w:right w:val="single" w:color="AAAAAA" w:sz="4"/>
            </w:tcBorders>
            <w:shd w:fill="FFF8E1"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w:t>
            </w:r>
          </w:p>
        </w:tc>
        <w:tc>
          <w:tcPr>
            <w:tcW w:type="dxa" w:w="864"/>
            <w:tcBorders>
              <w:top w:val="single" w:color="AAAAAA" w:sz="4"/>
              <w:left w:val="single" w:color="AAAAAA" w:sz="4"/>
              <w:bottom w:val="single" w:color="AAAAAA" w:sz="4"/>
              <w:right w:val="single" w:color="AAAAAA" w:sz="4"/>
            </w:tcBorders>
            <w:shd w:fill="FFF8E1"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0"/>
                <w:szCs w:val="20"/>
              </w:rPr>
              <w:t xml:space="preserve">★ Spurious: zero local co-occ.</w:t>
            </w:r>
          </w:p>
        </w:tc>
      </w:tr>
      <w:tr>
        <w:tc>
          <w:tcPr>
            <w:tcW w:type="dxa" w:w="291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 — going — think</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3.15</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3.80</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212</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Discourse cluster</w:t>
            </w:r>
          </w:p>
        </w:tc>
      </w:tr>
      <w:tr>
        <w:tc>
          <w:tcPr>
            <w:tcW w:type="dxa" w:w="291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going — think — happen</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3.62</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4.49</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54</w:t>
            </w:r>
          </w:p>
        </w:tc>
        <w:tc>
          <w:tcPr>
            <w:tcW w:type="dxa" w:w="864"/>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
            </w:r>
          </w:p>
        </w:tc>
      </w:tr>
      <w:tr>
        <w:tc>
          <w:tcPr>
            <w:tcW w:type="dxa" w:w="2916"/>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law — protection — equal</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2.82</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3.91</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177</w:t>
            </w:r>
          </w:p>
        </w:tc>
        <w:tc>
          <w:tcPr>
            <w:tcW w:type="dxa" w:w="86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Legal cluster</w:t>
            </w:r>
          </w:p>
        </w:tc>
      </w:tr>
    </w:tbl>
    <w:p>
      <w:pPr>
        <w:spacing w:line="240"/>
      </w:pPr>
      <w:r>
        <w:rPr>
          <w:rFonts w:ascii="Times New Roman" w:cs="Times New Roman" w:eastAsia="Times New Roman" w:hAnsi="Times New Roman"/>
          <w:sz w:val="24"/>
          <w:szCs w:val="24"/>
        </w:rPr>
        <w:t xml:space="preserve"/>
      </w:r>
    </w:p>
    <w:p>
      <w:pPr>
        <w:spacing w:line="360" w:before="60" w:after="240"/>
        <w:jc w:val="center"/>
      </w:pPr>
      <w:r>
        <w:rPr>
          <w:rFonts w:ascii="Times New Roman" w:cs="Times New Roman" w:eastAsia="Times New Roman" w:hAnsi="Times New Roman"/>
          <w:i/>
          <w:iCs/>
          <w:color w:val="444444"/>
          <w:sz w:val="20"/>
          <w:szCs w:val="20"/>
        </w:rPr>
        <w:t xml:space="preserve">Table 4. PPMI triangles from hallucinated proverb answers (top 8 of 20). ★ rows have zero co-occurrence within any 5-token window in WikiText-103, making them spurious by construction. Hall. = appears in hallucinated answers; Corr. = appears in correct answers.</w:t>
      </w:r>
    </w:p>
    <w:p>
      <w:pPr>
        <w:spacing w:line="480" w:lineRule="auto" w:before="0" w:after="0"/>
      </w:pPr>
      <w:r>
        <w:rPr>
          <w:rFonts w:ascii="Times New Roman" w:cs="Times New Roman" w:eastAsia="Times New Roman" w:hAnsi="Times New Roman"/>
          <w:sz w:val="24"/>
          <w:szCs w:val="24"/>
        </w:rPr>
        <w:t xml:space="preserve">Two findings stand out. First, the triple </w:t>
      </w:r>
      <w:r>
        <w:rPr>
          <w:rFonts w:ascii="Times New Roman" w:cs="Times New Roman" w:eastAsia="Times New Roman" w:hAnsi="Times New Roman"/>
          <w:i/>
          <w:iCs/>
          <w:sz w:val="24"/>
          <w:szCs w:val="24"/>
        </w:rPr>
        <w:t xml:space="preserve">{strike, lightning, strikes}</w:t>
      </w:r>
      <w:r>
        <w:rPr>
          <w:rFonts w:ascii="Times New Roman" w:cs="Times New Roman" w:eastAsia="Times New Roman" w:hAnsi="Times New Roman"/>
          <w:sz w:val="24"/>
          <w:szCs w:val="24"/>
        </w:rPr>
        <w:t xml:space="preserve"> has the highest mean PPMI of all 20 triangles (5.50) and appears only in hallucinated answers. The tokens are strongly co-associated in English text — the phrase "lightning never strikes twice" is a well-known proverb — making them an attractive attractor for a model generating text about proverbs. The causal chain is clear: high corpus co-occurrence → high PPMI → PPMI triangle → model follows triangle structure → hallucinated proverb claim.</w:t>
      </w:r>
    </w:p>
    <w:p>
      <w:pPr>
        <w:spacing w:line="240"/>
      </w:pPr>
      <w:r>
        <w:rPr>
          <w:rFonts w:ascii="Times New Roman" w:cs="Times New Roman" w:eastAsia="Times New Roman" w:hAnsi="Times New Roman"/>
          <w:sz w:val="24"/>
          <w:szCs w:val="24"/>
        </w:rPr>
        <w:t xml:space="preserve"/>
      </w:r>
    </w:p>
    <w:p>
      <w:pPr>
        <w:spacing w:line="480" w:lineRule="auto" w:before="0" w:after="0"/>
      </w:pPr>
      <w:r>
        <w:rPr>
          <w:rFonts w:ascii="Times New Roman" w:cs="Times New Roman" w:eastAsia="Times New Roman" w:hAnsi="Times New Roman"/>
          <w:sz w:val="24"/>
          <w:szCs w:val="24"/>
        </w:rPr>
        <w:t xml:space="preserve">Second, and more theoretically significant: the triples </w:t>
      </w:r>
      <w:r>
        <w:rPr>
          <w:rFonts w:ascii="Times New Roman" w:cs="Times New Roman" w:eastAsia="Times New Roman" w:hAnsi="Times New Roman"/>
          <w:i/>
          <w:iCs/>
          <w:sz w:val="24"/>
          <w:szCs w:val="24"/>
        </w:rPr>
        <w:t xml:space="preserve">{know, think, happen}</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{know, think, feel}</w:t>
      </w:r>
      <w:r>
        <w:rPr>
          <w:rFonts w:ascii="Times New Roman" w:cs="Times New Roman" w:eastAsia="Times New Roman" w:hAnsi="Times New Roman"/>
          <w:sz w:val="24"/>
          <w:szCs w:val="24"/>
        </w:rPr>
        <w:t xml:space="preserve"> have corpus co-occurrence counts of </w:t>
      </w:r>
      <w:r>
        <w:rPr>
          <w:rFonts w:ascii="Times New Roman" w:cs="Times New Roman" w:eastAsia="Times New Roman" w:hAnsi="Times New Roman"/>
          <w:b/>
          <w:bCs/>
          <w:sz w:val="24"/>
          <w:szCs w:val="24"/>
        </w:rPr>
        <w:t xml:space="preserve">zero</w:t>
      </w:r>
      <w:r>
        <w:rPr>
          <w:rFonts w:ascii="Times New Roman" w:cs="Times New Roman" w:eastAsia="Times New Roman" w:hAnsi="Times New Roman"/>
          <w:sz w:val="24"/>
          <w:szCs w:val="24"/>
        </w:rPr>
        <w:t xml:space="preserve"> within any 5-token window, yet they have high PPMI (mean 3.66 and 2.92, respectively). These are quintessential spurious triangles in the Calude-Longo</w:t>
      </w:r>
      <w:r>
        <w:rPr>
          <w:rStyle w:val="FootnoteReference"/>
        </w:rPr>
        <w:footnoteReference w:id="1"/>
      </w:r>
      <w:r>
        <w:rPr>
          <w:rFonts w:ascii="Times New Roman" w:cs="Times New Roman" w:eastAsia="Times New Roman" w:hAnsi="Times New Roman"/>
          <w:sz w:val="24"/>
          <w:szCs w:val="24"/>
        </w:rPr>
        <w:t xml:space="preserve"> sense: statistically real associations arising from long-range co-occurrence patterns in a large corpus, without any local causal structure. They appear in hallucinated answers about proverbs and never in correct ones. These triangles are not artefacts of the experiment — they are the specific structural mechanism the theory predicts.</w:t>
      </w:r>
    </w:p>
    <w:p>
      <w:pPr>
        <w:spacing w:line="240"/>
      </w:pPr>
      <w:r>
        <w:rPr>
          <w:rFonts w:ascii="Times New Roman" w:cs="Times New Roman" w:eastAsia="Times New Roman" w:hAnsi="Times New Roman"/>
          <w:sz w:val="24"/>
          <w:szCs w:val="24"/>
        </w:rPr>
        <w:t xml:space="preserve"/>
      </w:r>
    </w:p>
    <w:p>
      <w:pPr>
        <w:pStyle w:val="Heading1"/>
        <w:spacing w:before="480" w:after="120"/>
      </w:pPr>
      <w:r>
        <w:rPr>
          <w:rFonts w:ascii="Times New Roman" w:cs="Times New Roman" w:eastAsia="Times New Roman" w:hAnsi="Times New Roman"/>
          <w:b/>
          <w:bCs/>
          <w:caps/>
          <w:sz w:val="28"/>
          <w:szCs w:val="28"/>
        </w:rPr>
        <w:t xml:space="preserve">5.  Discussion</w:t>
      </w:r>
    </w:p>
    <w:p>
      <w:pPr>
        <w:pStyle w:val="Heading2"/>
        <w:spacing w:before="360" w:after="120"/>
      </w:pPr>
      <w:r>
        <w:rPr>
          <w:rFonts w:ascii="Times New Roman" w:cs="Times New Roman" w:eastAsia="Times New Roman" w:hAnsi="Times New Roman"/>
          <w:b/>
          <w:bCs/>
          <w:sz w:val="26"/>
          <w:szCs w:val="26"/>
        </w:rPr>
        <w:t xml:space="preserve">5.1  Interpretation of n* = 10</w:t>
      </w:r>
    </w:p>
    <w:p>
      <w:pPr>
        <w:spacing w:line="480" w:lineRule="auto" w:before="0" w:after="0"/>
      </w:pPr>
      <w:r>
        <w:rPr>
          <w:rFonts w:ascii="Times New Roman" w:cs="Times New Roman" w:eastAsia="Times New Roman" w:hAnsi="Times New Roman"/>
          <w:sz w:val="24"/>
          <w:szCs w:val="24"/>
        </w:rPr>
        <w:t xml:space="preserve">The phase transition at n* = 10 is a striking result. It means that the Ramsey regime — where non-random triangle structure is guaranteed — is entered before even a short sentence's worth of high-frequency tokens is assembled. The practical implication is that no realistic reduction in corpus size could avoid this regime. Even a highly curated, small-vocabulary training corpus will develop PPMI triangles that the model can follow into hallucinations. This provides the first concrete quantitative anchor for the Type I lower bound.</w:t>
      </w:r>
    </w:p>
    <w:p>
      <w:pPr>
        <w:spacing w:line="240"/>
      </w:pPr>
      <w:r>
        <w:rPr>
          <w:rFonts w:ascii="Times New Roman" w:cs="Times New Roman" w:eastAsia="Times New Roman" w:hAnsi="Times New Roman"/>
          <w:sz w:val="24"/>
          <w:szCs w:val="24"/>
        </w:rPr>
        <w:t xml:space="preserve"/>
      </w:r>
    </w:p>
    <w:p>
      <w:pPr>
        <w:pStyle w:val="Heading2"/>
        <w:spacing w:before="360" w:after="120"/>
      </w:pPr>
      <w:r>
        <w:rPr>
          <w:rFonts w:ascii="Times New Roman" w:cs="Times New Roman" w:eastAsia="Times New Roman" w:hAnsi="Times New Roman"/>
          <w:b/>
          <w:bCs/>
          <w:sz w:val="26"/>
          <w:szCs w:val="26"/>
        </w:rPr>
        <w:t xml:space="preserve">5.2  Why Proverbs and Not Other Categories?</w:t>
      </w:r>
    </w:p>
    <w:p>
      <w:pPr>
        <w:spacing w:line="480" w:lineRule="auto" w:before="0" w:after="0"/>
      </w:pPr>
      <w:r>
        <w:rPr>
          <w:rFonts w:ascii="Times New Roman" w:cs="Times New Roman" w:eastAsia="Times New Roman" w:hAnsi="Times New Roman"/>
          <w:sz w:val="24"/>
          <w:szCs w:val="24"/>
        </w:rPr>
        <w:t xml:space="preserve">The Proverbs signal (p = 0.044) is consistent with a domain-specific prediction of the theory. Proverbs are cultural collocations — phrases that appear together with extreme regularity in large English corpora. This produces high PPMI values for constituent tokens, dense local PPMI graph structure, and a correspondingly high probability that a model generating text about proverbs will follow PPMI edges into spurious associations rather than grounded semantic content. The same logic applies, to a lesser degree, to Logical Falsehood (p = 0.052), where the structure of logical statements creates characteristic token co-occurrence patterns that a model can mimic without genuine logical competence.</w:t>
      </w:r>
    </w:p>
    <w:p>
      <w:pPr>
        <w:spacing w:line="240"/>
      </w:pPr>
      <w:r>
        <w:rPr>
          <w:rFonts w:ascii="Times New Roman" w:cs="Times New Roman" w:eastAsia="Times New Roman" w:hAnsi="Times New Roman"/>
          <w:sz w:val="24"/>
          <w:szCs w:val="24"/>
        </w:rPr>
        <w:t xml:space="preserve"/>
      </w:r>
    </w:p>
    <w:p>
      <w:pPr>
        <w:spacing w:line="480" w:lineRule="auto" w:before="0" w:after="0"/>
      </w:pPr>
      <w:r>
        <w:rPr>
          <w:rFonts w:ascii="Times New Roman" w:cs="Times New Roman" w:eastAsia="Times New Roman" w:hAnsi="Times New Roman"/>
          <w:sz w:val="24"/>
          <w:szCs w:val="24"/>
        </w:rPr>
        <w:t xml:space="preserve">The absence of a signal in categories such as Conspiracies (p = 0.171) or Language (p = 0.944) is also interpretable: these categories require domain knowledge or metalinguistic reasoning that is less strongly structured by co-occurrence alone.</w:t>
      </w:r>
    </w:p>
    <w:p>
      <w:pPr>
        <w:spacing w:line="240"/>
      </w:pPr>
      <w:r>
        <w:rPr>
          <w:rFonts w:ascii="Times New Roman" w:cs="Times New Roman" w:eastAsia="Times New Roman" w:hAnsi="Times New Roman"/>
          <w:sz w:val="24"/>
          <w:szCs w:val="24"/>
        </w:rPr>
        <w:t xml:space="preserve"/>
      </w:r>
    </w:p>
    <w:p>
      <w:pPr>
        <w:pStyle w:val="Heading2"/>
        <w:spacing w:before="360" w:after="120"/>
      </w:pPr>
      <w:r>
        <w:rPr>
          <w:rFonts w:ascii="Times New Roman" w:cs="Times New Roman" w:eastAsia="Times New Roman" w:hAnsi="Times New Roman"/>
          <w:b/>
          <w:bCs/>
          <w:sz w:val="26"/>
          <w:szCs w:val="26"/>
        </w:rPr>
        <w:t xml:space="preserve">5.3  Limitations</w:t>
      </w:r>
    </w:p>
    <w:p>
      <w:pPr>
        <w:spacing w:line="480" w:lineRule="auto" w:before="0" w:after="0"/>
      </w:pPr>
      <w:r>
        <w:rPr>
          <w:rFonts w:ascii="Times New Roman" w:cs="Times New Roman" w:eastAsia="Times New Roman" w:hAnsi="Times New Roman"/>
          <w:b/>
          <w:bCs/>
          <w:sz w:val="24"/>
          <w:szCs w:val="24"/>
        </w:rPr>
        <w:t xml:space="preserve">GPT-2 as a test model.</w:t>
      </w:r>
      <w:r>
        <w:rPr>
          <w:rFonts w:ascii="Times New Roman" w:cs="Times New Roman" w:eastAsia="Times New Roman" w:hAnsi="Times New Roman"/>
          <w:sz w:val="24"/>
          <w:szCs w:val="24"/>
        </w:rPr>
        <w:t xml:space="preserve">  GPT-2 generates text continuations rather than direct answers to questions. This makes hallucination labeling noisy and biases answers toward short, generic outputs with limited vocabulary. A model that actually attempts to answer questions (e.g., instruction-tuned LLaMA-2 or GPT-3.5) would produce richer outputs for which the RHI metric is better-defined.</w:t>
      </w:r>
    </w:p>
    <w:p>
      <w:pPr>
        <w:spacing w:line="240"/>
      </w:pPr>
      <w:r>
        <w:rPr>
          <w:rFonts w:ascii="Times New Roman" w:cs="Times New Roman" w:eastAsia="Times New Roman" w:hAnsi="Times New Roman"/>
          <w:sz w:val="24"/>
          <w:szCs w:val="24"/>
        </w:rPr>
        <w:t xml:space="preserve"/>
      </w:r>
    </w:p>
    <w:p>
      <w:pPr>
        <w:spacing w:line="480" w:lineRule="auto" w:before="0" w:after="0"/>
      </w:pPr>
      <w:r>
        <w:rPr>
          <w:rFonts w:ascii="Times New Roman" w:cs="Times New Roman" w:eastAsia="Times New Roman" w:hAnsi="Times New Roman"/>
          <w:b/>
          <w:bCs/>
          <w:sz w:val="24"/>
          <w:szCs w:val="24"/>
        </w:rPr>
        <w:t xml:space="preserve">Aggregate RHI insensitivity.</w:t>
      </w:r>
      <w:r>
        <w:rPr>
          <w:rFonts w:ascii="Times New Roman" w:cs="Times New Roman" w:eastAsia="Times New Roman" w:hAnsi="Times New Roman"/>
          <w:sz w:val="24"/>
          <w:szCs w:val="24"/>
        </w:rPr>
        <w:t xml:space="preserve">  Binary PPMI triangle presence has a base rate of ~50% in all fluent text. The RHI metric is not discriminative at the aggregate level. The better metric — demonstrated in the Proverbs analysis — is the presence of </w:t>
      </w:r>
      <w:r>
        <w:rPr>
          <w:rFonts w:ascii="Times New Roman" w:cs="Times New Roman" w:eastAsia="Times New Roman" w:hAnsi="Times New Roman"/>
          <w:i/>
          <w:iCs/>
          <w:sz w:val="24"/>
          <w:szCs w:val="24"/>
        </w:rPr>
        <w:t xml:space="preserve">spurious</w:t>
      </w:r>
      <w:r>
        <w:rPr>
          <w:rFonts w:ascii="Times New Roman" w:cs="Times New Roman" w:eastAsia="Times New Roman" w:hAnsi="Times New Roman"/>
          <w:sz w:val="24"/>
          <w:szCs w:val="24"/>
        </w:rPr>
        <w:t xml:space="preserve"> PPMI triangles specifically: those with zero or very low local co-occurrence but high global PPMI. Reformulating RHI around this criterion is left for future work.</w:t>
      </w:r>
    </w:p>
    <w:p>
      <w:pPr>
        <w:spacing w:line="240"/>
      </w:pPr>
      <w:r>
        <w:rPr>
          <w:rFonts w:ascii="Times New Roman" w:cs="Times New Roman" w:eastAsia="Times New Roman" w:hAnsi="Times New Roman"/>
          <w:sz w:val="24"/>
          <w:szCs w:val="24"/>
        </w:rPr>
        <w:t xml:space="preserve"/>
      </w:r>
    </w:p>
    <w:p>
      <w:pPr>
        <w:spacing w:line="480" w:lineRule="auto" w:before="0" w:after="0"/>
      </w:pPr>
      <w:r>
        <w:rPr>
          <w:rFonts w:ascii="Times New Roman" w:cs="Times New Roman" w:eastAsia="Times New Roman" w:hAnsi="Times New Roman"/>
          <w:b/>
          <w:bCs/>
          <w:sz w:val="24"/>
          <w:szCs w:val="24"/>
        </w:rPr>
        <w:t xml:space="preserve">Sample size.</w:t>
      </w:r>
      <w:r>
        <w:rPr>
          <w:rFonts w:ascii="Times New Roman" w:cs="Times New Roman" w:eastAsia="Times New Roman" w:hAnsi="Times New Roman"/>
          <w:sz w:val="24"/>
          <w:szCs w:val="24"/>
        </w:rPr>
        <w:t xml:space="preserve">  The Proverbs finding is based on n = 16 labeled examples. While statistically significant under the chosen test, replication with a larger proverb benchmark is needed. The Logical Falsehood result (p = 0.052, n = 14) is also underpowered.</w:t>
      </w:r>
    </w:p>
    <w:p>
      <w:pPr>
        <w:spacing w:line="240"/>
      </w:pPr>
      <w:r>
        <w:rPr>
          <w:rFonts w:ascii="Times New Roman" w:cs="Times New Roman" w:eastAsia="Times New Roman" w:hAnsi="Times New Roman"/>
          <w:sz w:val="24"/>
          <w:szCs w:val="24"/>
        </w:rPr>
        <w:t xml:space="preserve"/>
      </w:r>
    </w:p>
    <w:p>
      <w:pPr>
        <w:pStyle w:val="Heading1"/>
        <w:spacing w:before="480" w:after="120"/>
      </w:pPr>
      <w:r>
        <w:rPr>
          <w:rFonts w:ascii="Times New Roman" w:cs="Times New Roman" w:eastAsia="Times New Roman" w:hAnsi="Times New Roman"/>
          <w:b/>
          <w:bCs/>
          <w:caps/>
          <w:sz w:val="28"/>
          <w:szCs w:val="28"/>
        </w:rPr>
        <w:t xml:space="preserve">6.  Conclusion</w:t>
      </w:r>
    </w:p>
    <w:p>
      <w:pPr>
        <w:spacing w:line="480" w:lineRule="auto" w:before="0" w:after="0"/>
      </w:pPr>
      <w:r>
        <w:rPr>
          <w:rFonts w:ascii="Times New Roman" w:cs="Times New Roman" w:eastAsia="Times New Roman" w:hAnsi="Times New Roman"/>
          <w:sz w:val="24"/>
          <w:szCs w:val="24"/>
        </w:rPr>
        <w:t xml:space="preserve">We have provided theoretical and empirical support for the existence of a provable lower bound on LLM hallucination rates. Our main contributions are:</w:t>
      </w:r>
    </w:p>
    <w:p>
      <w:pPr>
        <w:spacing w:line="240"/>
      </w:pPr>
      <w:r>
        <w:rPr>
          <w:rFonts w:ascii="Times New Roman" w:cs="Times New Roman" w:eastAsia="Times New Roman" w:hAnsi="Times New Roman"/>
          <w:sz w:val="24"/>
          <w:szCs w:val="24"/>
        </w:rPr>
        <w:t xml:space="preserve"/>
      </w:r>
    </w:p>
    <w:p>
      <w:pPr>
        <w:pStyle w:val="ListParagraph"/>
        <w:numPr>
          <w:ilvl w:val="0"/>
          <w:numId w:val="2"/>
        </w:numPr>
        <w:spacing w:line="400" w:before="60" w:after="60"/>
      </w:pPr>
      <w:r>
        <w:rPr>
          <w:rFonts w:ascii="Times New Roman" w:cs="Times New Roman" w:eastAsia="Times New Roman" w:hAnsi="Times New Roman"/>
          <w:sz w:val="24"/>
          <w:szCs w:val="24"/>
        </w:rPr>
        <w:t xml:space="preserve">We corrected the application of Goodman's theorem to sparse co-occurrence graphs and established the Rödl-Ruciński G(n, p) framework as the correct theoretical model for PPMI triangle analysis.</w:t>
      </w:r>
    </w:p>
    <w:p>
      <w:pPr>
        <w:pStyle w:val="ListParagraph"/>
        <w:numPr>
          <w:ilvl w:val="0"/>
          <w:numId w:val="2"/>
        </w:numPr>
        <w:spacing w:line="400" w:before="60" w:after="60"/>
      </w:pPr>
      <w:r>
        <w:rPr>
          <w:rFonts w:ascii="Times New Roman" w:cs="Times New Roman" w:eastAsia="Times New Roman" w:hAnsi="Times New Roman"/>
          <w:sz w:val="24"/>
          <w:szCs w:val="24"/>
        </w:rPr>
        <w:t xml:space="preserve">We demonstrated empirically that WikiText-103's PPMI graph contains 1.5–45× more triangles than a random sparse graph at the same density, with Z-scores of 350–7,031 across all 18 tested parameter combinations.</w:t>
      </w:r>
    </w:p>
    <w:p>
      <w:pPr>
        <w:pStyle w:val="ListParagraph"/>
        <w:numPr>
          <w:ilvl w:val="0"/>
          <w:numId w:val="2"/>
        </w:numPr>
        <w:spacing w:line="400" w:before="60" w:after="60"/>
      </w:pPr>
      <w:r>
        <w:rPr>
          <w:rFonts w:ascii="Times New Roman" w:cs="Times New Roman" w:eastAsia="Times New Roman" w:hAnsi="Times New Roman"/>
          <w:sz w:val="24"/>
          <w:szCs w:val="24"/>
        </w:rPr>
        <w:t xml:space="preserve">We located the phase transition at n* = 10 tokens — any corpus large enough to train a useful LLM is already inside the Ramsey regime.</w:t>
      </w:r>
    </w:p>
    <w:p>
      <w:pPr>
        <w:pStyle w:val="ListParagraph"/>
        <w:numPr>
          <w:ilvl w:val="0"/>
          <w:numId w:val="2"/>
        </w:numPr>
        <w:spacing w:line="400" w:before="60" w:after="60"/>
      </w:pPr>
      <w:r>
        <w:rPr>
          <w:rFonts w:ascii="Times New Roman" w:cs="Times New Roman" w:eastAsia="Times New Roman" w:hAnsi="Times New Roman"/>
          <w:sz w:val="24"/>
          <w:szCs w:val="24"/>
        </w:rPr>
        <w:t xml:space="preserve">We found a statistically significant Ramsey hallucination signal in the Proverbs category of TruthfulQA (p = 0.044, RHI = 0.857 vs. 0.182 in correct answers), and identified specific spurious triangles — with zero local co-occurrence in the training corpus — present only in hallucinated answers.</w:t>
      </w:r>
    </w:p>
    <w:p>
      <w:pPr>
        <w:spacing w:line="240"/>
      </w:pPr>
      <w:r>
        <w:rPr>
          <w:rFonts w:ascii="Times New Roman" w:cs="Times New Roman" w:eastAsia="Times New Roman" w:hAnsi="Times New Roman"/>
          <w:sz w:val="24"/>
          <w:szCs w:val="24"/>
        </w:rPr>
        <w:t xml:space="preserve"/>
      </w:r>
    </w:p>
    <w:p>
      <w:pPr>
        <w:spacing w:line="480" w:lineRule="auto" w:before="0" w:after="0"/>
      </w:pPr>
      <w:r>
        <w:rPr>
          <w:rFonts w:ascii="Times New Roman" w:cs="Times New Roman" w:eastAsia="Times New Roman" w:hAnsi="Times New Roman"/>
          <w:sz w:val="24"/>
          <w:szCs w:val="24"/>
        </w:rPr>
        <w:t xml:space="preserve">Together, these results constitute the first concrete empirical-theoretical framework for a mathematical lower bound on LLM hallucinations. The Type I hallucination class — driven by PPMI triangles that are guaranteed by corpus scale — represents a fundamental ceiling on what alignment and training improvements can achieve.</w:t>
      </w:r>
    </w:p>
    <w:p>
      <w:pPr>
        <w:spacing w:line="240"/>
      </w:pPr>
      <w:r>
        <w:rPr>
          <w:rFonts w:ascii="Times New Roman" w:cs="Times New Roman" w:eastAsia="Times New Roman" w:hAnsi="Times New Roman"/>
          <w:sz w:val="24"/>
          <w:szCs w:val="24"/>
        </w:rPr>
        <w:t xml:space="preserve"/>
      </w:r>
    </w:p>
    <w:p>
      <w:pPr>
        <w:pBdr>
          <w:bottom w:val="single" w:color="444444" w:sz="6"/>
        </w:pBdr>
        <w:spacing w:before="120" w:after="120"/>
      </w:pPr>
      <w:r>
        <w:rPr>
          <w:rFonts w:ascii="Times New Roman" w:cs="Times New Roman" w:eastAsia="Times New Roman" w:hAnsi="Times New Roman"/>
          <w:sz w:val="24"/>
          <w:szCs w:val="24"/>
        </w:rPr>
        <w:t xml:space="preserve"/>
      </w:r>
    </w:p>
    <w:p>
      <w:pPr>
        <w:pStyle w:val="Heading1"/>
        <w:spacing w:before="480" w:after="120"/>
      </w:pPr>
      <w:r>
        <w:rPr>
          <w:rFonts w:ascii="Times New Roman" w:cs="Times New Roman" w:eastAsia="Times New Roman" w:hAnsi="Times New Roman"/>
          <w:b/>
          <w:bCs/>
          <w:caps/>
          <w:sz w:val="28"/>
          <w:szCs w:val="28"/>
        </w:rPr>
        <w:t xml:space="preserve">References</w:t>
      </w:r>
    </w:p>
    <w:p>
      <w:pPr>
        <w:spacing w:line="400" w:before="0" w:after="120"/>
        <w:ind w:left="720" w:hanging="720"/>
      </w:pPr>
      <w:r>
        <w:rPr>
          <w:rFonts w:ascii="Times New Roman" w:cs="Times New Roman" w:eastAsia="Times New Roman" w:hAnsi="Times New Roman"/>
          <w:sz w:val="20"/>
          <w:szCs w:val="20"/>
        </w:rPr>
        <w:t xml:space="preserve">Calude, C.S. &amp; Longo, G. (2017). The Deluge of Spurious Correlations in Big Data. Foundations of Science 22, 595–612.</w:t>
      </w:r>
    </w:p>
    <w:p>
      <w:pPr>
        <w:spacing w:line="400" w:before="0" w:after="120"/>
        <w:ind w:left="720" w:hanging="720"/>
      </w:pPr>
      <w:r>
        <w:rPr>
          <w:rFonts w:ascii="Times New Roman" w:cs="Times New Roman" w:eastAsia="Times New Roman" w:hAnsi="Times New Roman"/>
          <w:sz w:val="20"/>
          <w:szCs w:val="20"/>
        </w:rPr>
        <w:t xml:space="preserve">Coveney, P.V. &amp; Succi, S. (2025). The Wall Confronting Large Language Models. arXiv:2507.19703.</w:t>
      </w:r>
    </w:p>
    <w:p>
      <w:pPr>
        <w:spacing w:line="400" w:before="0" w:after="120"/>
        <w:ind w:left="720" w:hanging="720"/>
      </w:pPr>
      <w:r>
        <w:rPr>
          <w:rFonts w:ascii="Times New Roman" w:cs="Times New Roman" w:eastAsia="Times New Roman" w:hAnsi="Times New Roman"/>
          <w:sz w:val="20"/>
          <w:szCs w:val="20"/>
        </w:rPr>
        <w:t xml:space="preserve">Goodman, A.W. (1959). On Sets of Acquaintances and Strangers at any Party. American Mathematical Monthly 66, 778–783.</w:t>
      </w:r>
    </w:p>
    <w:p>
      <w:pPr>
        <w:spacing w:line="400" w:before="0" w:after="120"/>
        <w:ind w:left="720" w:hanging="720"/>
      </w:pPr>
      <w:r>
        <w:rPr>
          <w:rFonts w:ascii="Times New Roman" w:cs="Times New Roman" w:eastAsia="Times New Roman" w:hAnsi="Times New Roman"/>
          <w:sz w:val="20"/>
          <w:szCs w:val="20"/>
        </w:rPr>
        <w:t xml:space="preserve">Merity, S., Xiong, C., Bradbury, J. &amp; Socher, R. (2017). Pointer Sentinel Mixture Models. ICLR 2017. [WikiText-103]</w:t>
      </w:r>
    </w:p>
    <w:p>
      <w:pPr>
        <w:spacing w:line="400" w:before="0" w:after="120"/>
        <w:ind w:left="720" w:hanging="720"/>
      </w:pPr>
      <w:r>
        <w:rPr>
          <w:rFonts w:ascii="Times New Roman" w:cs="Times New Roman" w:eastAsia="Times New Roman" w:hAnsi="Times New Roman"/>
          <w:sz w:val="20"/>
          <w:szCs w:val="20"/>
        </w:rPr>
        <w:t xml:space="preserve">Lin, S., Hilton, J. &amp; Evans, O. (2022). TruthfulQA: Measuring How Models Mimic Human Falsehoods. ACL 2022.</w:t>
      </w:r>
    </w:p>
    <w:p>
      <w:pPr>
        <w:spacing w:line="400" w:before="0" w:after="120"/>
        <w:ind w:left="720" w:hanging="720"/>
      </w:pPr>
      <w:r>
        <w:rPr>
          <w:rFonts w:ascii="Times New Roman" w:cs="Times New Roman" w:eastAsia="Times New Roman" w:hAnsi="Times New Roman"/>
          <w:sz w:val="20"/>
          <w:szCs w:val="20"/>
        </w:rPr>
        <w:t xml:space="preserve">Pawliuk, M. &amp; Waddell, M. (2019). Using Ramsey Theory to Measure Unavoidable Spurious Correlations in Big Data. Axioms 8(1), 29. arXiv:1712.09471.</w:t>
      </w:r>
    </w:p>
    <w:p>
      <w:pPr>
        <w:spacing w:line="400" w:before="0" w:after="120"/>
        <w:ind w:left="720" w:hanging="720"/>
      </w:pPr>
      <w:r>
        <w:rPr>
          <w:rFonts w:ascii="Times New Roman" w:cs="Times New Roman" w:eastAsia="Times New Roman" w:hAnsi="Times New Roman"/>
          <w:sz w:val="20"/>
          <w:szCs w:val="20"/>
        </w:rPr>
        <w:t xml:space="preserve">Radford, A., Wu, J., Child, R., Luan, D., Amodei, D. &amp; Sutskever, I. (2019). Language Models are Unsupervised Multitask Learners. [GPT-2]</w:t>
      </w:r>
    </w:p>
    <w:p>
      <w:pPr>
        <w:spacing w:line="400" w:before="0" w:after="120"/>
        <w:ind w:left="720" w:hanging="720"/>
      </w:pPr>
      <w:r>
        <w:rPr>
          <w:rFonts w:ascii="Times New Roman" w:cs="Times New Roman" w:eastAsia="Times New Roman" w:hAnsi="Times New Roman"/>
          <w:sz w:val="20"/>
          <w:szCs w:val="20"/>
        </w:rPr>
        <w:t xml:space="preserve">Ramsey, F.P. (1930). On a Problem of Formal Logic. Proceedings of the London Mathematical Society s2-30, 264–286.</w:t>
      </w:r>
    </w:p>
    <w:p>
      <w:pPr>
        <w:spacing w:line="400" w:before="0" w:after="120"/>
        <w:ind w:left="720" w:hanging="720"/>
      </w:pPr>
      <w:r>
        <w:rPr>
          <w:rFonts w:ascii="Times New Roman" w:cs="Times New Roman" w:eastAsia="Times New Roman" w:hAnsi="Times New Roman"/>
          <w:sz w:val="20"/>
          <w:szCs w:val="20"/>
        </w:rPr>
        <w:t xml:space="preserve">Rödl, V. &amp; Ruciński, A. (1993). Threshold Functions for Ramsey Properties. Journal of the American Mathematical Society 8, 917–942.</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20"/>
        <w:szCs w:val="20"/>
      </w:rPr>
      <w:t xml:space="preserve">— </w:t>
    </w:r>
    <w:r>
      <w:rPr>
        <w:rFonts w:ascii="Times New Roman" w:cs="Times New Roman" w:eastAsia="Times New Roman" w:hAnsi="Times New Roman"/>
        <w:color w:val="888888"/>
        <w:sz w:val="20"/>
        <w:szCs w:val="20"/>
      </w:rPr>
      <w:fldChar w:fldCharType="begin"/>
      <w:instrText xml:space="preserve">PAGE</w:instrText>
      <w:fldChar w:fldCharType="separate"/>
      <w:fldChar w:fldCharType="end"/>
    </w:r>
    <w:r>
      <w:rPr>
        <w:rFonts w:ascii="Times New Roman" w:cs="Times New Roman" w:eastAsia="Times New Roman" w:hAnsi="Times New Roman"/>
        <w:color w:val="888888"/>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20"/>
          <w:szCs w:val="20"/>
        </w:rPr>
        <w:t xml:space="preserve">Calude, C.S. &amp; Longo, G. (2017). The Deluge of Spurious Correlations in Big Data. Foundations of Science 22, 595–612.</w:t>
      </w:r>
    </w:p>
  </w:footnote>
  <w:footnote w:id="2">
    <w:p>
      <w:r>
        <w:rPr>
          <w:rStyle w:val="FootnoteReference"/>
        </w:rPr>
        <w:footnoteRef/>
      </w:r>
      <w:r>
        <w:rPr>
          <w:rFonts w:ascii="Times New Roman" w:cs="Times New Roman" w:eastAsia="Times New Roman" w:hAnsi="Times New Roman"/>
          <w:sz w:val="20"/>
          <w:szCs w:val="20"/>
        </w:rPr>
        <w:t xml:space="preserve">Goodman, A.W. (1959). On Sets of Acquaintances and Strangers at any Party. American Mathematical Monthly 66, 778–783.</w:t>
      </w:r>
    </w:p>
  </w:footnote>
  <w:footnote w:id="3">
    <w:p>
      <w:r>
        <w:rPr>
          <w:rStyle w:val="FootnoteReference"/>
        </w:rPr>
        <w:footnoteRef/>
      </w:r>
      <w:r>
        <w:rPr>
          <w:rFonts w:ascii="Times New Roman" w:cs="Times New Roman" w:eastAsia="Times New Roman" w:hAnsi="Times New Roman"/>
          <w:sz w:val="20"/>
          <w:szCs w:val="20"/>
        </w:rPr>
        <w:t xml:space="preserve">Rödl, V. &amp; Ruciński, A. (1993). Threshold Functions for Ramsey Properties. Journal of the American Mathematical Society 8, 917–942.</w:t>
      </w:r>
    </w:p>
  </w:footnote>
  <w:footnote w:id="4">
    <w:p>
      <w:r>
        <w:rPr>
          <w:rStyle w:val="FootnoteReference"/>
        </w:rPr>
        <w:footnoteRef/>
      </w:r>
      <w:r>
        <w:rPr>
          <w:rFonts w:ascii="Times New Roman" w:cs="Times New Roman" w:eastAsia="Times New Roman" w:hAnsi="Times New Roman"/>
          <w:sz w:val="20"/>
          <w:szCs w:val="20"/>
        </w:rPr>
        <w:t xml:space="preserve">Pawliuk, M. &amp; Waddell, M. (2019). Using Ramsey Theory to Measure Unavoidable Spurious Correlations in Big Data. Axioms 8(1), 29. arXiv:1712.09471.</w:t>
      </w:r>
    </w:p>
  </w:footnote>
  <w:footnote w:id="5">
    <w:p>
      <w:r>
        <w:rPr>
          <w:rStyle w:val="FootnoteReference"/>
        </w:rPr>
        <w:footnoteRef/>
      </w:r>
      <w:r>
        <w:rPr>
          <w:rFonts w:ascii="Times New Roman" w:cs="Times New Roman" w:eastAsia="Times New Roman" w:hAnsi="Times New Roman"/>
          <w:sz w:val="20"/>
          <w:szCs w:val="20"/>
        </w:rPr>
        <w:t xml:space="preserve">Lin, T. &amp; Och, F.J. (2004). Automatic evaluation of machine translation quality using longest common subsequence and skip-bigram statistics. ACL 2004.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Ramsey-Theoretic Bounds on LLM Hallucinations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120"/>
      <w:outlineLvl w:val="0"/>
    </w:pPr>
    <w:rPr>
      <w:rFonts w:ascii="Times New Roman" w:cs="Times New Roman" w:eastAsia="Times New Roman" w:hAnsi="Times New Roman"/>
      <w:b/>
      <w:bCs/>
      <w:sz w:val="28"/>
      <w:szCs w:val="28"/>
    </w:rPr>
  </w:style>
  <w:style w:type="paragraph" w:styleId="Heading2">
    <w:name w:val="Heading 2"/>
    <w:basedOn w:val="Normal"/>
    <w:next w:val="Normal"/>
    <w:pPr>
      <w:spacing w:before="360" w:after="120"/>
      <w:outlineLvl w:val="1"/>
    </w:pPr>
    <w:rPr>
      <w:rFonts w:ascii="Times New Roman" w:cs="Times New Roman" w:eastAsia="Times New Roman" w:hAnsi="Times New Roman"/>
      <w:b/>
      <w:bCs/>
      <w:sz w:val="26"/>
      <w:szCs w:val="26"/>
    </w:rPr>
  </w:style>
  <w:style w:type="paragraph" w:styleId="Heading3">
    <w:name w:val="Heading 3"/>
    <w:basedOn w:val="Normal"/>
    <w:next w:val="Normal"/>
    <w:pPr>
      <w:spacing w:before="240" w:after="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2026-03-10T11:39:15.632Z</dcterms:created>
  <dcterms:modified xsi:type="dcterms:W3CDTF">2026-03-10T11:39:15.633Z</dcterms:modified>
</cp:coreProperties>
</file>

<file path=docProps/custom.xml><?xml version="1.0" encoding="utf-8"?>
<Properties xmlns="http://schemas.openxmlformats.org/officeDocument/2006/custom-properties" xmlns:vt="http://schemas.openxmlformats.org/officeDocument/2006/docPropsVTypes"/>
</file>