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Reference-Based 2D Agreement and Perturbation Sensitivity of a Markerless Video-Based Golf-Club Motion-Analysis Workflow under Heterogeneous Recording Conditions</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Markerless video analysis could broaden access to golf-swing measurement, but visual plausibility does not establish measurement validity, and a single annotator cannot show how precise a manual reference is. This study assessed the agreement and perturbation sensitivity of a monocular golf-club motion-analysis workflow against a multi-rater visual reference whose own uncertainty was quantified first. A subset of 25 sessions was selected from 71 heterogeneous processed recordings using viewpoint, capture-speed class, and video-quality strata. Two annotators independently marked address, top of backswing, downswing transition, and impact in all 25 sessions, and both clicked the clubhead on a shared plan of 150 frames; the first annotator repeated 10 sessions to give an intra-rater round. Annotators were blinded from automatic overlays and from each other's coordinates. A disclosed mean rule combined the two rounds into a consensus reference used for all algorithm comparisons. Between annotators, event frames agreed to a median of 4 frames, or 80 ms, with 13% exact agreement and limits of agreement from -13.1 to +12.9 frames, while the repeat round of one annotator agreed to a median of 2 frames. Clubhead clicks agreed far less closely: the median disagreement was 77.1 pixels, or 4.03% of the image diagonal, between annotators and 78.5 pixels within one annotator, so the reference itself resolves clubhead position only to a few per cent of the frame. The automatic transition output was the same proxy for both manually defined transition events and therefore did not constitute two detectors; the annotators separated those two events by a median of only 3 frames. Against the consensus, automatic events fired a median 38 to 40 frames, or 780 to 940 ms, early, with mean biases from -1699 to -1824 ms - roughly ten times the human disagreement, and far larger than the 67 ms maximum timestamp discrepancy over the common frame grid. The median of session-specific clubhead discrepancies was 2.54% of the image diagonal (95% confidence interval 1.98-2.88%), or 46.2 pixels (41.4-51.9 pixels), which is below the reference's own inter-rater disagreement; 22 of 150 points exceeded 100 pixels and 3 exceeded 500 pixels. Path efficiency and smoothness index showed the lowest perturbation response, with median absolute symmetric changes of 5.9% and 6.2% and no high-response scenario among twelve, whereas swing tempo, backswing peak speed, and curvature RMS changed by 39.6% to 74.4%. Production-stage ablation, run after a process-noise correction to the Rauch-Tung-Striebel smoother, showed that the smoothed output still lies a median 141.4 cm from the observed path, that despiking changed no points, and that bounded reconstruction restores geometry while returning root-mean-square jerk to 11 835 m/s³. The evidence supports sparse two-dimensional agreement bounded by reference precision, and algorithmic stress-test conclusions. It does not establish external biomechanical validity, athlete test-retest reliability, cross-athlete comparability, or adequacy for coaching and virtual-reality feedback.</w:t>
      </w:r>
    </w:p>
    <w:p>
      <w:pPr>
        <w:spacing w:before="120" w:after="0" w:line="240" w:lineRule="auto"/>
        <w:ind w:firstLine="425"/>
        <w:jc w:val="both"/>
      </w:pPr>
      <w:r>
        <w:rPr>
          <w:rFonts w:ascii="Times New Roman" w:hAnsi="Times New Roman" w:cs="Times New Roman"/>
          <w:b/>
          <w:i w:val="0"/>
          <w:sz w:val="18"/>
        </w:rPr>
        <w:t xml:space="preserve">Keywords: </w:t>
      </w:r>
      <w:r>
        <w:rPr>
          <w:rFonts w:ascii="Times New Roman" w:hAnsi="Times New Roman" w:cs="Times New Roman"/>
          <w:b w:val="0"/>
          <w:i w:val="0"/>
          <w:sz w:val="18"/>
        </w:rPr>
        <w:t>markerless motion analysis; golf swing; clubhead tracking; inter-rater agreement; perturbation analysis; measurement agreement</w:t>
      </w:r>
    </w:p>
    <w:p>
      <w:pPr>
        <w:spacing w:before="120" w:after="0" w:line="240" w:lineRule="auto"/>
        <w:ind w:firstLine="0"/>
        <w:jc w:val="both"/>
      </w:pPr>
    </w:p>
    <w:p>
      <w:pPr>
        <w:spacing w:before="0" w:after="0" w:line="240" w:lineRule="auto"/>
        <w:ind w:firstLine="0"/>
        <w:jc w:val="both"/>
      </w:pPr>
      <w:r>
        <w:rPr>
          <w:rFonts w:ascii="Times New Roman" w:hAnsi="Times New Roman" w:cs="Times New Roman"/>
          <w:b/>
          <w:i/>
          <w:sz w:val="16"/>
        </w:rPr>
        <w:t xml:space="preserve">For citation: </w:t>
      </w:r>
      <w:r>
        <w:rPr>
          <w:rFonts w:ascii="Times New Roman" w:hAnsi="Times New Roman" w:cs="Times New Roman"/>
          <w:b/>
          <w:i w:val="0"/>
          <w:sz w:val="16"/>
        </w:rPr>
        <w:t>Syniuk I. M., Maksymov M. V., Maksymov O. M., Iyer K. "Reference-based 2D agreement and perturbation sensitivity of a markerless video-based golf-club motion-analysis workflow under heterogeneous recording conditions".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pPr>
        <w:keepNext/>
        <w:spacing w:before="120" w:after="120" w:line="240" w:lineRule="auto"/>
        <w:ind w:firstLine="0"/>
        <w:jc w:val="center"/>
      </w:pPr>
      <w:r>
        <w:rPr>
          <w:rFonts w:ascii="Times New Roman" w:hAnsi="Times New Roman" w:cs="Times New Roman"/>
          <w:b/>
          <w:i w:val="0"/>
          <w:sz w:val="22"/>
        </w:rPr>
        <w:t>INTRODUCTION</w:t>
      </w:r>
    </w:p>
    <w:p>
      <w:pPr>
        <w:spacing w:before="0" w:after="0" w:line="240" w:lineRule="auto"/>
        <w:ind w:firstLine="425"/>
        <w:jc w:val="both"/>
      </w:pPr>
      <w:r>
        <w:rPr>
          <w:rFonts w:ascii="Times New Roman" w:hAnsi="Times New Roman" w:cs="Times New Roman"/>
          <w:b w:val="0"/>
          <w:i w:val="0"/>
          <w:sz w:val="22"/>
        </w:rPr>
        <w:t>Quantitative golf-swing assessment supports technique research, coaching, and the development of interactive training systems. Laboratory optical motion capture can resolve segment and club kinematics with controlled calibration, but it requires synchronized cameras, markers, and specialist operation [1], [2]. Golf biomechanics has therefore been studied through laboratory kinematics, clubhead-speed and power analysis, and segment sequencing [8], [9], [10], [11], [23]. These methods establish what can be measured under controlled conditions but do not by themselves solve the problem of low-cost field acquisition.</w:t>
      </w:r>
    </w:p>
    <w:p>
      <w:pPr>
        <w:spacing w:before="0" w:after="0" w:line="240" w:lineRule="auto"/>
        <w:ind w:firstLine="425"/>
        <w:jc w:val="both"/>
      </w:pPr>
      <w:r>
        <w:rPr>
          <w:rFonts w:ascii="Times New Roman" w:hAnsi="Times New Roman" w:cs="Times New Roman"/>
          <w:b w:val="0"/>
          <w:i w:val="0"/>
          <w:sz w:val="22"/>
        </w:rPr>
        <w:t>Portable inertial measurement units and ordinary video lower the acquisition burden. Golf-specific inertial systems have been compared with three-dimensional motion capture, while single-camera studies have combined pose estimation and object detection to examine golfer posture and clubhead trajectories [24], [31]. General pose-estimation frameworks such as OpenPose, BlazePose, and MediaPipe make markerless processing accessible [3], [4], [5]. Nevertheless, accessibility is not equivalent to accuracy, and a visually smooth trajectory can remain temporally misaligned, geometrically biased, or unstable under small changes in the input.</w:t>
      </w:r>
    </w:p>
    <w:p>
      <w:pPr>
        <w:spacing w:before="0" w:after="0" w:line="240" w:lineRule="auto"/>
        <w:ind w:firstLine="425"/>
        <w:jc w:val="both"/>
      </w:pPr>
      <w:r>
        <w:rPr>
          <w:rFonts w:ascii="Times New Roman" w:hAnsi="Times New Roman" w:cs="Times New Roman"/>
          <w:b w:val="0"/>
          <w:i w:val="0"/>
          <w:sz w:val="22"/>
        </w:rPr>
        <w:t>Validation literature distinguishes agreement with an explicit reference from reliability across repeated measurements, and it also requires that the reference itself be characterized. Markerless estimates are affected by viewpoint, occlusion, motion blur, training-domain mismatch, and monocular projection [12], [13], [25], [26], [27], [28]. Golf-specific evidence is especially cautionary: monocular three-dimensional pose models that look convincing after reprojection can still be unsuitable for kinematic analysis when compared with synchronized marker-based data [30]. Derivatives amplify coordinate noise, and impact-like, non-stationary motion creates additional filtering problems [6], [7], [19].</w:t>
      </w:r>
    </w:p>
    <w:p>
      <w:pPr>
        <w:spacing w:before="0" w:after="0" w:line="240" w:lineRule="auto"/>
        <w:ind w:firstLine="425"/>
        <w:jc w:val="both"/>
      </w:pPr>
      <w:r>
        <w:rPr>
          <w:rFonts w:ascii="Times New Roman" w:hAnsi="Times New Roman" w:cs="Times New Roman"/>
          <w:b w:val="0"/>
          <w:i w:val="0"/>
          <w:sz w:val="22"/>
        </w:rPr>
        <w:t>The workflow evaluated here was introduced in a companion methodological manuscript and combines median pre-filtering, confidence-aware Kalman tracking, Rauch-Tung-Striebel smoothing, trajectory despiking, bounded polynomial reconstruction, and dynamic scaling [32]. The present work asks a narrower question: what agreement and numerical sensitivity can be demonstrated with the available data, once the precision of the manual reference is measured rather than assumed? The evidence is deliberately limited to manual two-dimensional annotations from two annotators, decoded video timing, synthetic perturbations, and production-stage ablation. Figure 1 summarizes the study design and its evidence boundary.</w:t>
      </w:r>
    </w:p>
    <w:p>
      <w:pPr>
        <w:keepNext/>
        <w:spacing w:before="80"/>
        <w:ind w:firstLine="0"/>
        <w:jc w:val="center"/>
      </w:pPr>
      <w:r>
        <w:drawing>
          <wp:inline xmlns:a="http://schemas.openxmlformats.org/drawingml/2006/main" xmlns:pic="http://schemas.openxmlformats.org/drawingml/2006/picture">
            <wp:extent cx="2951999" cy="5719498"/>
            <wp:docPr id="10" name="Picture 10"/>
            <wp:cNvGraphicFramePr>
              <a:graphicFrameLocks noChangeAspect="1"/>
            </wp:cNvGraphicFramePr>
            <a:graphic>
              <a:graphicData uri="http://schemas.openxmlformats.org/drawingml/2006/picture">
                <pic:pic>
                  <pic:nvPicPr>
                    <pic:cNvPr id="0" name="fig_study_design.png"/>
                    <pic:cNvPicPr/>
                  </pic:nvPicPr>
                  <pic:blipFill>
                    <a:blip r:embed="rId23"/>
                    <a:stretch>
                      <a:fillRect/>
                    </a:stretch>
                  </pic:blipFill>
                  <pic:spPr>
                    <a:xfrm>
                      <a:off x="0" y="0"/>
                      <a:ext cx="2951999" cy="5719498"/>
                    </a:xfrm>
                    <a:prstGeom prst="rect"/>
                  </pic:spPr>
                </pic:pic>
              </a:graphicData>
            </a:graphic>
          </wp:inline>
        </w:drawing>
      </w:r>
    </w:p>
    <w:p>
      <w:pPr>
        <w:keepNext/>
        <w:ind w:firstLine="0"/>
        <w:jc w:val="center"/>
      </w:pPr>
      <w:r>
        <w:rPr>
          <w:rFonts w:ascii="Times New Roman" w:hAnsi="Times New Roman" w:cs="Times New Roman"/>
          <w:b w:val="0"/>
          <w:i/>
          <w:sz w:val="22"/>
        </w:rPr>
        <w:t xml:space="preserve">Fig. 1. </w:t>
      </w:r>
      <w:r>
        <w:rPr>
          <w:rFonts w:ascii="Times New Roman" w:hAnsi="Times New Roman" w:cs="Times New Roman"/>
          <w:b/>
          <w:i w:val="0"/>
          <w:sz w:val="22"/>
        </w:rPr>
        <w:t>Study design and evidence scope</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LITERATURE REVIEW AND PROBLEM STATEMENT</w:t>
      </w:r>
    </w:p>
    <w:p>
      <w:pPr>
        <w:spacing w:before="0" w:after="0" w:line="240" w:lineRule="auto"/>
        <w:ind w:firstLine="425"/>
        <w:jc w:val="both"/>
      </w:pPr>
      <w:r>
        <w:rPr>
          <w:rFonts w:ascii="Times New Roman" w:hAnsi="Times New Roman" w:cs="Times New Roman"/>
          <w:b w:val="0"/>
          <w:i w:val="0"/>
          <w:sz w:val="22"/>
        </w:rPr>
        <w:t>Markerless sports analysis spans general human-pose estimation, sport-specific movement recognition, and task-specific object tracking [3], [4], [5], [29]. In golf, Yamamoto et al. used a single sagittal camera, human-pose estimation, and DeepLabCut clubhead tracking to study proficiency and individual swing characteristics [31]. Ingwersen et al. compared monocular pose models with synchronized marker-based golf data and found substantial quantitative error despite plausible visual reconstructions [30]. Together these studies show that golf-specific validation must report the reference standard, camera geometry, event definitions, and failure tails rather than relying on representative images.</w:t>
      </w:r>
    </w:p>
    <w:p>
      <w:pPr>
        <w:spacing w:before="0" w:after="0" w:line="240" w:lineRule="auto"/>
        <w:ind w:firstLine="425"/>
        <w:jc w:val="both"/>
      </w:pPr>
      <w:r>
        <w:rPr>
          <w:rFonts w:ascii="Times New Roman" w:hAnsi="Times New Roman" w:cs="Times New Roman"/>
          <w:b w:val="0"/>
          <w:i w:val="0"/>
          <w:sz w:val="22"/>
        </w:rPr>
        <w:t>Signal conditioning changes both geometry and derived metrics. Median filters suppress isolated outliers [14]; Kalman filtering combines a dynamic model with noisy measurements [15], [16]; Rauch-Tung-Striebel smoothing uses later observations to refine earlier states [17]; and local polynomial methods can reduce noise while preserving trajectory shape [18]. For rapidly changing motion, however, the filter that best suppresses coordinate noise may attenuate true motion or create endpoint and derivative artefacts [7]. Smoothness measures based on jerk are consequently sensitive to the derivative definition and to the time interval used across missing samples [19].</w:t>
      </w:r>
    </w:p>
    <w:p>
      <w:pPr>
        <w:spacing w:before="0" w:after="0" w:line="240" w:lineRule="auto"/>
        <w:ind w:firstLine="425"/>
        <w:jc w:val="both"/>
      </w:pPr>
      <w:r>
        <w:rPr>
          <w:rFonts w:ascii="Times New Roman" w:hAnsi="Times New Roman" w:cs="Times New Roman"/>
          <w:b w:val="0"/>
          <w:i w:val="0"/>
          <w:sz w:val="22"/>
        </w:rPr>
        <w:t>Measurement terminology is also consequential. Test-retest reliability, intraclass correlation, standard error of measurement, and minimal detectable change require repeated observations with an identifiable grouping structure [20], [21]. Between-session dispersion in a heterogeneous corpus does not meet that definition. Bland-Altman bias and limits of agreement describe paired differences, and they apply equally to two human annotators and to an algorithm compared with a human consensus [22]. Robust summaries such as medians are useful for skewed error distributions [14], but they must be accompanied by uncertainty and failure-tail reporting.</w:t>
      </w:r>
    </w:p>
    <w:p>
      <w:pPr>
        <w:spacing w:before="0" w:after="0" w:line="240" w:lineRule="auto"/>
        <w:ind w:firstLine="425"/>
        <w:jc w:val="both"/>
      </w:pPr>
      <w:r>
        <w:rPr>
          <w:rFonts w:ascii="Times New Roman" w:hAnsi="Times New Roman" w:cs="Times New Roman"/>
          <w:b w:val="0"/>
          <w:i w:val="0"/>
          <w:sz w:val="22"/>
        </w:rPr>
        <w:t>Three gaps motivate this study. First, the available workflow had not been compared with manually selected clubhead positions and visually defined events, and the manual reference had never been repeated by a second observer, so its own precision was unknown. Second, the alignment of video frames, landmark indices, and annotation times had not been audited before interpreting large timing errors. Third, previous sensitivity and ablation summaries used unstable random seeds, percentage changes unsuitable near zero, a non-production smoothing variant, and cross-session coefficients of variation mislabeled as reliability. The problem addressed here is to correct those design and reporting weaknesses without claiming evidence that the dataset cannot provide.</w:t>
      </w:r>
    </w:p>
    <w:p>
      <w:pPr>
        <w:keepNext/>
        <w:spacing w:before="120" w:after="120" w:line="240" w:lineRule="auto"/>
        <w:ind w:firstLine="0"/>
        <w:jc w:val="center"/>
      </w:pPr>
      <w:r>
        <w:rPr>
          <w:rFonts w:ascii="Times New Roman" w:hAnsi="Times New Roman" w:cs="Times New Roman"/>
          <w:b/>
          <w:i w:val="0"/>
          <w:sz w:val="22"/>
        </w:rPr>
        <w:t>RESEARCH AIM AND OBJECTIVES</w:t>
      </w:r>
    </w:p>
    <w:p>
      <w:pPr>
        <w:spacing w:before="0" w:after="0" w:line="240" w:lineRule="auto"/>
        <w:ind w:firstLine="425"/>
        <w:jc w:val="both"/>
      </w:pPr>
      <w:r>
        <w:rPr>
          <w:rFonts w:ascii="Times New Roman" w:hAnsi="Times New Roman" w:cs="Times New Roman"/>
          <w:b w:val="0"/>
          <w:i w:val="0"/>
          <w:sz w:val="22"/>
        </w:rPr>
        <w:t>The aim is to assess two-dimensional manual-annotation agreement, algorithm agreement with a multi-rater consensus reference, and perturbation sensitivity of a markerless video-based golf-club motion-analysis workflow under heterogeneous recording conditions.</w:t>
      </w:r>
    </w:p>
    <w:p>
      <w:pPr>
        <w:spacing w:before="0" w:after="0" w:line="240" w:lineRule="auto"/>
        <w:ind w:firstLine="425"/>
        <w:jc w:val="both"/>
      </w:pPr>
      <w:r>
        <w:rPr>
          <w:rFonts w:ascii="Times New Roman" w:hAnsi="Times New Roman" w:cs="Times New Roman"/>
          <w:b w:val="0"/>
          <w:i w:val="0"/>
          <w:sz w:val="22"/>
        </w:rPr>
        <w:t>The research objectives are:</w:t>
      </w:r>
    </w:p>
    <w:p>
      <w:pPr>
        <w:spacing w:line="240" w:lineRule="auto"/>
        <w:ind w:firstLine="425"/>
        <w:jc w:val="both"/>
      </w:pPr>
      <w:r>
        <w:rPr>
          <w:rFonts w:ascii="Times New Roman" w:hAnsi="Times New Roman" w:cs="Times New Roman"/>
          <w:b w:val="0"/>
          <w:i w:val="0"/>
          <w:sz w:val="22"/>
        </w:rPr>
        <w:t>1. To define a blinded multi-rater selected-frame annotation protocol and to quantify inter-rater and intra-rater agreement before any algorithm comparison.</w:t>
      </w:r>
    </w:p>
    <w:p>
      <w:pPr>
        <w:spacing w:line="240" w:lineRule="auto"/>
        <w:ind w:firstLine="425"/>
        <w:jc w:val="both"/>
      </w:pPr>
      <w:r>
        <w:rPr>
          <w:rFonts w:ascii="Times New Roman" w:hAnsi="Times New Roman" w:cs="Times New Roman"/>
          <w:b w:val="0"/>
          <w:i w:val="0"/>
          <w:sz w:val="22"/>
        </w:rPr>
        <w:t>2. To construct a consensus reference from the raw rater rounds under a rule disclosed in advance, keeping the raw rounds immutable.</w:t>
      </w:r>
    </w:p>
    <w:p>
      <w:pPr>
        <w:spacing w:line="240" w:lineRule="auto"/>
        <w:ind w:firstLine="425"/>
        <w:jc w:val="both"/>
      </w:pPr>
      <w:r>
        <w:rPr>
          <w:rFonts w:ascii="Times New Roman" w:hAnsi="Times New Roman" w:cs="Times New Roman"/>
          <w:b w:val="0"/>
          <w:i w:val="0"/>
          <w:sz w:val="22"/>
        </w:rPr>
        <w:t>3. To audit video presentation timestamps, landmark times, frame counts, and event-definition mapping before interpreting event disagreement.</w:t>
      </w:r>
    </w:p>
    <w:p>
      <w:pPr>
        <w:spacing w:line="240" w:lineRule="auto"/>
        <w:ind w:firstLine="425"/>
        <w:jc w:val="both"/>
      </w:pPr>
      <w:r>
        <w:rPr>
          <w:rFonts w:ascii="Times New Roman" w:hAnsi="Times New Roman" w:cs="Times New Roman"/>
          <w:b w:val="0"/>
          <w:i w:val="0"/>
          <w:sz w:val="22"/>
        </w:rPr>
        <w:t>4. To estimate session-level clubhead localization agreement with the consensus in pixels and image-diagonal-normalized units, to quantify large-error tails, and to compare the result with the precision of the reference itself.</w:t>
      </w:r>
    </w:p>
    <w:p>
      <w:pPr>
        <w:spacing w:line="240" w:lineRule="auto"/>
        <w:ind w:firstLine="425"/>
        <w:jc w:val="both"/>
      </w:pPr>
      <w:r>
        <w:rPr>
          <w:rFonts w:ascii="Times New Roman" w:hAnsi="Times New Roman" w:cs="Times New Roman"/>
          <w:b w:val="0"/>
          <w:i w:val="0"/>
          <w:sz w:val="22"/>
        </w:rPr>
        <w:t>5. To characterize metric response to 12 controlled perturbation scenarios using deterministic simulation and symmetric relative change.</w:t>
      </w:r>
    </w:p>
    <w:p>
      <w:pPr>
        <w:spacing w:line="240" w:lineRule="auto"/>
        <w:ind w:firstLine="425"/>
        <w:jc w:val="both"/>
      </w:pPr>
      <w:r>
        <w:rPr>
          <w:rFonts w:ascii="Times New Roman" w:hAnsi="Times New Roman" w:cs="Times New Roman"/>
          <w:b w:val="0"/>
          <w:i w:val="0"/>
          <w:sz w:val="22"/>
        </w:rPr>
        <w:t>6. To compare the actual nested production stages and identify stages that are inactive or introduce undesirable behaviour.</w:t>
      </w:r>
    </w:p>
    <w:p>
      <w:pPr>
        <w:spacing w:line="240" w:lineRule="auto"/>
        <w:ind w:firstLine="425"/>
        <w:jc w:val="both"/>
      </w:pPr>
      <w:r>
        <w:rPr>
          <w:rFonts w:ascii="Times New Roman" w:hAnsi="Times New Roman" w:cs="Times New Roman"/>
          <w:b w:val="0"/>
          <w:i w:val="0"/>
          <w:sz w:val="22"/>
        </w:rPr>
        <w:t>7. To distinguish demonstrated findings from untested biomechanical validity, reliability, and application-level usefulness.</w:t>
      </w:r>
    </w:p>
    <w:p>
      <w:pPr>
        <w:keepNext/>
        <w:spacing w:before="120" w:after="120" w:line="240" w:lineRule="auto"/>
        <w:ind w:firstLine="0"/>
        <w:jc w:val="center"/>
      </w:pPr>
      <w:r>
        <w:rPr>
          <w:rFonts w:ascii="Times New Roman" w:hAnsi="Times New Roman" w:cs="Times New Roman"/>
          <w:b/>
          <w:i w:val="0"/>
          <w:sz w:val="22"/>
        </w:rPr>
        <w:t>MATERIALS AND METHODS</w:t>
      </w:r>
    </w:p>
    <w:p>
      <w:pPr>
        <w:keepNext/>
        <w:spacing w:before="60" w:after="60" w:line="240" w:lineRule="auto"/>
        <w:ind w:firstLine="425"/>
        <w:jc w:val="both"/>
      </w:pPr>
      <w:r>
        <w:rPr>
          <w:rFonts w:ascii="Times New Roman" w:hAnsi="Times New Roman" w:cs="Times New Roman"/>
          <w:b/>
          <w:i/>
          <w:sz w:val="22"/>
        </w:rPr>
        <w:t>Dataset, sampling, and available metadata</w:t>
      </w:r>
    </w:p>
    <w:p>
      <w:pPr>
        <w:spacing w:before="0" w:after="0" w:line="240" w:lineRule="auto"/>
        <w:ind w:firstLine="425"/>
        <w:jc w:val="both"/>
      </w:pPr>
      <w:r>
        <w:rPr>
          <w:rFonts w:ascii="Times New Roman" w:hAnsi="Times New Roman" w:cs="Times New Roman"/>
          <w:b w:val="0"/>
          <w:i w:val="0"/>
          <w:sz w:val="22"/>
        </w:rPr>
        <w:t>The corpus contained 71 processed golf-swing sessions. Frame rates ranged from 23.98 to 60.00 frames/s, and nine distinct resolutions ranged from 480 x 706 to 1920 x 1080 pixels. Viewpoint was predominantly down-the-line (59 sessions), with 10 face-on and 2 other views; club type was driver in 32 sessions, iron in 23, and unknown in 16. The selection algorithm formed strata from viewpoint, capture-speed class, and quality grade, then sampled 25 sessions with a fixed seed. Frame-rate and resolution distributions were summarized after selection but were not sampling strata. The selected set contained 21 down-the-line, 3 face-on, and 1 other view (Table 1). The export did not encode participant identity, number of sessions per participant, age, skill, device, camera distance or height, shutter speed, lighting, codec settings, or whether slow-motion interpolation had been applied. These omissions prevent participant-level generalization and test-retest analysis.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1. </w:t>
      </w:r>
      <w:r>
        <w:rPr>
          <w:rFonts w:ascii="Times New Roman" w:hAnsi="Times New Roman" w:cs="Times New Roman"/>
          <w:b/>
          <w:i w:val="0"/>
          <w:sz w:val="22"/>
        </w:rPr>
        <w:t>Dataset and reference-subset characteristics</w:t>
      </w:r>
    </w:p>
    <w:tbl>
      <w:tblPr>
        <w:tblStyle w:val="aff2"/>
        <w:tblW w:type="auto" w:w="0"/>
        <w:jc w:val="center"/>
        <w:tblLayout w:type="fixed"/>
        <w:tblLook w:firstColumn="1" w:firstRow="1" w:lastColumn="0" w:lastRow="0" w:noHBand="0" w:noVBand="1" w:val="04A0"/>
      </w:tblPr>
      <w:tblGrid>
        <w:gridCol w:w="2551"/>
        <w:gridCol w:w="3515"/>
        <w:gridCol w:w="3515"/>
      </w:tblGrid>
      <w:tr>
        <w:trPr>
          <w:tblHeader/>
        </w:trPr>
        <w:tc>
          <w:tcPr>
            <w:tcW w:type="dxa" w:w="2551"/>
          </w:tcPr>
          <w:p>
            <w:pPr>
              <w:spacing w:before="0" w:after="0" w:line="240" w:lineRule="auto"/>
            </w:pPr>
            <w:r/>
            <w:r>
              <w:rPr>
                <w:rFonts w:ascii="Times New Roman" w:hAnsi="Times New Roman" w:cs="Times New Roman"/>
                <w:b/>
                <w:i w:val="0"/>
                <w:sz w:val="18"/>
              </w:rPr>
              <w:t>Characteristic</w:t>
            </w:r>
          </w:p>
        </w:tc>
        <w:tc>
          <w:tcPr>
            <w:tcW w:type="dxa" w:w="3515"/>
          </w:tcPr>
          <w:p>
            <w:pPr>
              <w:spacing w:before="0" w:after="0" w:line="240" w:lineRule="auto"/>
            </w:pPr>
            <w:r/>
            <w:r>
              <w:rPr>
                <w:rFonts w:ascii="Times New Roman" w:hAnsi="Times New Roman" w:cs="Times New Roman"/>
                <w:b/>
                <w:i w:val="0"/>
                <w:sz w:val="18"/>
              </w:rPr>
              <w:t>Full dataset</w:t>
            </w:r>
          </w:p>
        </w:tc>
        <w:tc>
          <w:tcPr>
            <w:tcW w:type="dxa" w:w="3515"/>
          </w:tcPr>
          <w:p>
            <w:pPr>
              <w:spacing w:before="0" w:after="0" w:line="240" w:lineRule="auto"/>
            </w:pPr>
            <w:r/>
            <w:r>
              <w:rPr>
                <w:rFonts w:ascii="Times New Roman" w:hAnsi="Times New Roman" w:cs="Times New Roman"/>
                <w:b/>
                <w:i w:val="0"/>
                <w:sz w:val="18"/>
              </w:rPr>
              <w:t>Annotated subset</w:t>
            </w:r>
          </w:p>
        </w:tc>
      </w:tr>
      <w:tr>
        <w:tc>
          <w:tcPr>
            <w:tcW w:type="dxa" w:w="2551"/>
          </w:tcPr>
          <w:p>
            <w:pPr>
              <w:spacing w:before="0" w:after="0" w:line="240" w:lineRule="auto"/>
            </w:pPr>
            <w:r/>
            <w:r>
              <w:rPr>
                <w:rFonts w:ascii="Times New Roman" w:hAnsi="Times New Roman" w:cs="Times New Roman"/>
                <w:b w:val="0"/>
                <w:i w:val="0"/>
                <w:sz w:val="18"/>
              </w:rPr>
              <w:t>Sessions, n</w:t>
            </w:r>
          </w:p>
        </w:tc>
        <w:tc>
          <w:tcPr>
            <w:tcW w:type="dxa" w:w="3515"/>
          </w:tcPr>
          <w:p>
            <w:pPr>
              <w:spacing w:before="0" w:after="0" w:line="240" w:lineRule="auto"/>
            </w:pPr>
            <w:r/>
            <w:r>
              <w:rPr>
                <w:rFonts w:ascii="Times New Roman" w:hAnsi="Times New Roman" w:cs="Times New Roman"/>
                <w:b w:val="0"/>
                <w:i w:val="0"/>
                <w:sz w:val="18"/>
              </w:rPr>
              <w:t>71</w:t>
            </w:r>
          </w:p>
        </w:tc>
        <w:tc>
          <w:tcPr>
            <w:tcW w:type="dxa" w:w="3515"/>
          </w:tcPr>
          <w:p>
            <w:pPr>
              <w:spacing w:before="0" w:after="0" w:line="240" w:lineRule="auto"/>
            </w:pPr>
            <w:r/>
            <w:r>
              <w:rPr>
                <w:rFonts w:ascii="Times New Roman" w:hAnsi="Times New Roman" w:cs="Times New Roman"/>
                <w:b w:val="0"/>
                <w:i w:val="0"/>
                <w:sz w:val="18"/>
              </w:rPr>
              <w:t>25</w:t>
            </w:r>
          </w:p>
        </w:tc>
      </w:tr>
      <w:tr>
        <w:tc>
          <w:tcPr>
            <w:tcW w:type="dxa" w:w="2551"/>
          </w:tcPr>
          <w:p>
            <w:pPr>
              <w:spacing w:before="0" w:after="0" w:line="240" w:lineRule="auto"/>
            </w:pPr>
            <w:r/>
            <w:r>
              <w:rPr>
                <w:rFonts w:ascii="Times New Roman" w:hAnsi="Times New Roman" w:cs="Times New Roman"/>
                <w:b w:val="0"/>
                <w:i w:val="0"/>
                <w:sz w:val="18"/>
              </w:rPr>
              <w:t>Camera viewpoint</w:t>
            </w:r>
          </w:p>
        </w:tc>
        <w:tc>
          <w:tcPr>
            <w:tcW w:type="dxa" w:w="3515"/>
          </w:tcPr>
          <w:p>
            <w:pPr>
              <w:spacing w:before="0" w:after="0" w:line="240" w:lineRule="auto"/>
            </w:pPr>
            <w:r/>
            <w:r>
              <w:rPr>
                <w:rFonts w:ascii="Times New Roman" w:hAnsi="Times New Roman" w:cs="Times New Roman"/>
                <w:b w:val="0"/>
                <w:i w:val="0"/>
                <w:sz w:val="18"/>
              </w:rPr>
              <w:t>down-the-line: 59; face-on: 10; other: 2</w:t>
            </w:r>
          </w:p>
        </w:tc>
        <w:tc>
          <w:tcPr>
            <w:tcW w:type="dxa" w:w="3515"/>
          </w:tcPr>
          <w:p>
            <w:pPr>
              <w:spacing w:before="0" w:after="0" w:line="240" w:lineRule="auto"/>
            </w:pPr>
            <w:r/>
            <w:r>
              <w:rPr>
                <w:rFonts w:ascii="Times New Roman" w:hAnsi="Times New Roman" w:cs="Times New Roman"/>
                <w:b w:val="0"/>
                <w:i w:val="0"/>
                <w:sz w:val="18"/>
              </w:rPr>
              <w:t>down-the-line: 21; face-on: 3; other: 1</w:t>
            </w:r>
          </w:p>
        </w:tc>
      </w:tr>
      <w:tr>
        <w:tc>
          <w:tcPr>
            <w:tcW w:type="dxa" w:w="2551"/>
          </w:tcPr>
          <w:p>
            <w:pPr>
              <w:spacing w:before="0" w:after="0" w:line="240" w:lineRule="auto"/>
            </w:pPr>
            <w:r/>
            <w:r>
              <w:rPr>
                <w:rFonts w:ascii="Times New Roman" w:hAnsi="Times New Roman" w:cs="Times New Roman"/>
                <w:b w:val="0"/>
                <w:i w:val="0"/>
                <w:sz w:val="18"/>
              </w:rPr>
              <w:t>Capture speed class</w:t>
            </w:r>
          </w:p>
        </w:tc>
        <w:tc>
          <w:tcPr>
            <w:tcW w:type="dxa" w:w="3515"/>
          </w:tcPr>
          <w:p>
            <w:pPr>
              <w:spacing w:before="0" w:after="0" w:line="240" w:lineRule="auto"/>
            </w:pPr>
            <w:r/>
            <w:r>
              <w:rPr>
                <w:rFonts w:ascii="Times New Roman" w:hAnsi="Times New Roman" w:cs="Times New Roman"/>
                <w:b w:val="0"/>
                <w:i w:val="0"/>
                <w:sz w:val="18"/>
              </w:rPr>
              <w:t>regular: 47; slow: 23; super slow motion: 1</w:t>
            </w:r>
          </w:p>
        </w:tc>
        <w:tc>
          <w:tcPr>
            <w:tcW w:type="dxa" w:w="3515"/>
          </w:tcPr>
          <w:p>
            <w:pPr>
              <w:spacing w:before="0" w:after="0" w:line="240" w:lineRule="auto"/>
            </w:pPr>
            <w:r/>
            <w:r>
              <w:rPr>
                <w:rFonts w:ascii="Times New Roman" w:hAnsi="Times New Roman" w:cs="Times New Roman"/>
                <w:b w:val="0"/>
                <w:i w:val="0"/>
                <w:sz w:val="18"/>
              </w:rPr>
              <w:t>regular: 17; slow: 8</w:t>
            </w:r>
          </w:p>
        </w:tc>
      </w:tr>
      <w:tr>
        <w:tc>
          <w:tcPr>
            <w:tcW w:type="dxa" w:w="2551"/>
          </w:tcPr>
          <w:p>
            <w:pPr>
              <w:spacing w:before="0" w:after="0" w:line="240" w:lineRule="auto"/>
            </w:pPr>
            <w:r/>
            <w:r>
              <w:rPr>
                <w:rFonts w:ascii="Times New Roman" w:hAnsi="Times New Roman" w:cs="Times New Roman"/>
                <w:b w:val="0"/>
                <w:i w:val="0"/>
                <w:sz w:val="18"/>
              </w:rPr>
              <w:t>Frame-rate bucket, fps</w:t>
            </w:r>
          </w:p>
        </w:tc>
        <w:tc>
          <w:tcPr>
            <w:tcW w:type="dxa" w:w="3515"/>
          </w:tcPr>
          <w:p>
            <w:pPr>
              <w:spacing w:before="0" w:after="0" w:line="240" w:lineRule="auto"/>
            </w:pPr>
            <w:r/>
            <w:r>
              <w:rPr>
                <w:rFonts w:ascii="Times New Roman" w:hAnsi="Times New Roman" w:cs="Times New Roman"/>
                <w:b w:val="0"/>
                <w:i w:val="0"/>
                <w:sz w:val="18"/>
              </w:rPr>
              <w:t>31–60: 41; ≤30: 30</w:t>
            </w:r>
          </w:p>
        </w:tc>
        <w:tc>
          <w:tcPr>
            <w:tcW w:type="dxa" w:w="3515"/>
          </w:tcPr>
          <w:p>
            <w:pPr>
              <w:spacing w:before="0" w:after="0" w:line="240" w:lineRule="auto"/>
            </w:pPr>
            <w:r/>
            <w:r>
              <w:rPr>
                <w:rFonts w:ascii="Times New Roman" w:hAnsi="Times New Roman" w:cs="Times New Roman"/>
                <w:b w:val="0"/>
                <w:i w:val="0"/>
                <w:sz w:val="18"/>
              </w:rPr>
              <w:t>31–60: 18; ≤30: 7</w:t>
            </w:r>
          </w:p>
        </w:tc>
      </w:tr>
      <w:tr>
        <w:tc>
          <w:tcPr>
            <w:tcW w:type="dxa" w:w="2551"/>
          </w:tcPr>
          <w:p>
            <w:pPr>
              <w:spacing w:before="0" w:after="0" w:line="240" w:lineRule="auto"/>
            </w:pPr>
            <w:r/>
            <w:r>
              <w:rPr>
                <w:rFonts w:ascii="Times New Roman" w:hAnsi="Times New Roman" w:cs="Times New Roman"/>
                <w:b w:val="0"/>
                <w:i w:val="0"/>
                <w:sz w:val="18"/>
              </w:rPr>
              <w:t>Resolution bucket</w:t>
            </w:r>
          </w:p>
        </w:tc>
        <w:tc>
          <w:tcPr>
            <w:tcW w:type="dxa" w:w="3515"/>
          </w:tcPr>
          <w:p>
            <w:pPr>
              <w:spacing w:before="0" w:after="0" w:line="240" w:lineRule="auto"/>
            </w:pPr>
            <w:r/>
            <w:r>
              <w:rPr>
                <w:rFonts w:ascii="Times New Roman" w:hAnsi="Times New Roman" w:cs="Times New Roman"/>
                <w:b w:val="0"/>
                <w:i w:val="0"/>
                <w:sz w:val="18"/>
              </w:rPr>
              <w:t>≥1080 p: 43; &lt;720 p: 14; 720–1080 p: 14</w:t>
            </w:r>
          </w:p>
        </w:tc>
        <w:tc>
          <w:tcPr>
            <w:tcW w:type="dxa" w:w="3515"/>
          </w:tcPr>
          <w:p>
            <w:pPr>
              <w:spacing w:before="0" w:after="0" w:line="240" w:lineRule="auto"/>
            </w:pPr>
            <w:r/>
            <w:r>
              <w:rPr>
                <w:rFonts w:ascii="Times New Roman" w:hAnsi="Times New Roman" w:cs="Times New Roman"/>
                <w:b w:val="0"/>
                <w:i w:val="0"/>
                <w:sz w:val="18"/>
              </w:rPr>
              <w:t>≥1080 p: 17; 720–1080 p: 5; &lt;720 p: 3</w:t>
            </w:r>
          </w:p>
        </w:tc>
      </w:tr>
      <w:tr>
        <w:tc>
          <w:tcPr>
            <w:tcW w:type="dxa" w:w="2551"/>
          </w:tcPr>
          <w:p>
            <w:pPr>
              <w:spacing w:before="0" w:after="0" w:line="240" w:lineRule="auto"/>
            </w:pPr>
            <w:r/>
            <w:r>
              <w:rPr>
                <w:rFonts w:ascii="Times New Roman" w:hAnsi="Times New Roman" w:cs="Times New Roman"/>
                <w:b w:val="0"/>
                <w:i w:val="0"/>
                <w:sz w:val="18"/>
              </w:rPr>
              <w:t>Quality grade</w:t>
            </w:r>
          </w:p>
        </w:tc>
        <w:tc>
          <w:tcPr>
            <w:tcW w:type="dxa" w:w="3515"/>
          </w:tcPr>
          <w:p>
            <w:pPr>
              <w:spacing w:before="0" w:after="0" w:line="240" w:lineRule="auto"/>
            </w:pPr>
            <w:r/>
            <w:r>
              <w:rPr>
                <w:rFonts w:ascii="Times New Roman" w:hAnsi="Times New Roman" w:cs="Times New Roman"/>
                <w:b w:val="0"/>
                <w:i w:val="0"/>
                <w:sz w:val="18"/>
              </w:rPr>
              <w:t>medium: 47; good: 12; difficult: 12</w:t>
            </w:r>
          </w:p>
        </w:tc>
        <w:tc>
          <w:tcPr>
            <w:tcW w:type="dxa" w:w="3515"/>
          </w:tcPr>
          <w:p>
            <w:pPr>
              <w:spacing w:before="0" w:after="0" w:line="240" w:lineRule="auto"/>
            </w:pPr>
            <w:r/>
            <w:r>
              <w:rPr>
                <w:rFonts w:ascii="Times New Roman" w:hAnsi="Times New Roman" w:cs="Times New Roman"/>
                <w:b w:val="0"/>
                <w:i w:val="0"/>
                <w:sz w:val="18"/>
              </w:rPr>
              <w:t>medium: 17; difficult: 4; good: 4</w:t>
            </w:r>
          </w:p>
        </w:tc>
      </w:tr>
      <w:tr>
        <w:tc>
          <w:tcPr>
            <w:tcW w:type="dxa" w:w="2551"/>
          </w:tcPr>
          <w:p>
            <w:pPr>
              <w:spacing w:before="0" w:after="0" w:line="240" w:lineRule="auto"/>
            </w:pPr>
            <w:r/>
            <w:r>
              <w:rPr>
                <w:rFonts w:ascii="Times New Roman" w:hAnsi="Times New Roman" w:cs="Times New Roman"/>
                <w:b w:val="0"/>
                <w:i w:val="0"/>
                <w:sz w:val="18"/>
              </w:rPr>
              <w:t>Club type</w:t>
            </w:r>
          </w:p>
        </w:tc>
        <w:tc>
          <w:tcPr>
            <w:tcW w:type="dxa" w:w="3515"/>
          </w:tcPr>
          <w:p>
            <w:pPr>
              <w:spacing w:before="0" w:after="0" w:line="240" w:lineRule="auto"/>
            </w:pPr>
            <w:r/>
            <w:r>
              <w:rPr>
                <w:rFonts w:ascii="Times New Roman" w:hAnsi="Times New Roman" w:cs="Times New Roman"/>
                <w:b w:val="0"/>
                <w:i w:val="0"/>
                <w:sz w:val="18"/>
              </w:rPr>
              <w:t>driver: 32; iron: 23; unknown: 16</w:t>
            </w:r>
          </w:p>
        </w:tc>
        <w:tc>
          <w:tcPr>
            <w:tcW w:type="dxa" w:w="3515"/>
          </w:tcPr>
          <w:p>
            <w:pPr>
              <w:spacing w:before="0" w:after="0" w:line="240" w:lineRule="auto"/>
            </w:pPr>
            <w:r/>
            <w:r>
              <w:rPr>
                <w:rFonts w:ascii="Times New Roman" w:hAnsi="Times New Roman" w:cs="Times New Roman"/>
                <w:b w:val="0"/>
                <w:i w:val="0"/>
                <w:sz w:val="18"/>
              </w:rPr>
              <w:t>driver: 12; iron: 7; unknown: 6</w:t>
            </w:r>
          </w:p>
        </w:tc>
      </w:tr>
      <w:tr>
        <w:tc>
          <w:tcPr>
            <w:tcW w:type="dxa" w:w="2551"/>
          </w:tcPr>
          <w:p>
            <w:pPr>
              <w:spacing w:before="0" w:after="0" w:line="240" w:lineRule="auto"/>
            </w:pPr>
            <w:r/>
            <w:r>
              <w:rPr>
                <w:rFonts w:ascii="Times New Roman" w:hAnsi="Times New Roman" w:cs="Times New Roman"/>
                <w:b w:val="0"/>
                <w:i w:val="0"/>
                <w:sz w:val="18"/>
              </w:rPr>
              <w:t>Clubhead control points, n</w:t>
            </w:r>
          </w:p>
        </w:tc>
        <w:tc>
          <w:tcPr>
            <w:tcW w:type="dxa" w:w="3515"/>
          </w:tcPr>
          <w:p>
            <w:pPr>
              <w:spacing w:before="0" w:after="0" w:line="240" w:lineRule="auto"/>
            </w:pPr>
            <w:r/>
            <w:r>
              <w:rPr>
                <w:rFonts w:ascii="Times New Roman" w:hAnsi="Times New Roman" w:cs="Times New Roman"/>
                <w:b w:val="0"/>
                <w:i w:val="0"/>
                <w:sz w:val="18"/>
              </w:rPr>
              <w:t>-</w:t>
            </w:r>
          </w:p>
        </w:tc>
        <w:tc>
          <w:tcPr>
            <w:tcW w:type="dxa" w:w="3515"/>
          </w:tcPr>
          <w:p>
            <w:pPr>
              <w:spacing w:before="0" w:after="0" w:line="240" w:lineRule="auto"/>
            </w:pPr>
            <w:r/>
            <w:r>
              <w:rPr>
                <w:rFonts w:ascii="Times New Roman" w:hAnsi="Times New Roman" w:cs="Times New Roman"/>
                <w:b w:val="0"/>
                <w:i w:val="0"/>
                <w:sz w:val="18"/>
              </w:rPr>
              <w:t>150 (in 25 sessions)</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Ethics, consent, and data provenance</w:t>
      </w:r>
    </w:p>
    <w:p>
      <w:pPr>
        <w:spacing w:before="0" w:after="0" w:line="240" w:lineRule="auto"/>
        <w:ind w:firstLine="425"/>
        <w:jc w:val="both"/>
      </w:pPr>
      <w:r>
        <w:rPr>
          <w:rFonts w:ascii="Times New Roman" w:hAnsi="Times New Roman" w:cs="Times New Roman"/>
          <w:b w:val="0"/>
          <w:i w:val="0"/>
          <w:sz w:val="22"/>
        </w:rPr>
        <w:t>No ethics-committee approval was required for this study. The analysed recordings are anonymized public demonstration footage used for algorithmic evaluation; they do not constitute identifiable human-participant research data for the purposes reported here. Session folders were stored locally and identified by universally unique identifiers. No participant image is reproduced in the article. The schematic in Fig. 2 is retained for annotation-definition illustration rather than as a subject photograph.</w:t>
      </w:r>
    </w:p>
    <w:p>
      <w:pPr>
        <w:keepNext/>
        <w:spacing w:before="60" w:after="60" w:line="240" w:lineRule="auto"/>
        <w:ind w:firstLine="425"/>
        <w:jc w:val="both"/>
      </w:pPr>
      <w:r>
        <w:rPr>
          <w:rFonts w:ascii="Times New Roman" w:hAnsi="Times New Roman" w:cs="Times New Roman"/>
          <w:b/>
          <w:i/>
          <w:sz w:val="22"/>
        </w:rPr>
        <w:t>Manual annotation protocol and rater design</w:t>
      </w:r>
    </w:p>
    <w:p>
      <w:pPr>
        <w:spacing w:before="0" w:after="0" w:line="240" w:lineRule="auto"/>
        <w:ind w:firstLine="425"/>
        <w:jc w:val="both"/>
      </w:pPr>
      <w:r>
        <w:rPr>
          <w:rFonts w:ascii="Times New Roman" w:hAnsi="Times New Roman" w:cs="Times New Roman"/>
          <w:b w:val="0"/>
          <w:i w:val="0"/>
          <w:sz w:val="22"/>
        </w:rPr>
        <w:t>Two annotators contributed independent rounds. Ivan Syniuk (annotator A) completed all 25 sessions, recording four events and 8-14 clubhead points per session, for 100 event labels and 260 points. Daria Plokhotniuk (annotator B), a different person, independently completed all 25 sessions, recording the same four events and one clubhead click on each frame of a shared plan of 150 frames, giving 100 event labels and 150 points. The plan assigned six frames per session, chosen deterministically and spread over annotator A's ordered control frames so that difficult mid-swing frames were included rather than only early ones; it exported session and frame indices only, never coordinates. Annotator A then repeated 10 of the 25 sessions as a second round, selected by a stored deterministic plan stratified as far as possible by viewpoint, frame-rate group, resolution, capture speed, and quality, giving 40 event labels and 60 points for intra-rater analysis. The interval between annotator A's two rounds is not recorded in the export and is therefore not reported.</w:t>
      </w:r>
    </w:p>
    <w:p>
      <w:pPr>
        <w:spacing w:before="0" w:after="0" w:line="240" w:lineRule="auto"/>
        <w:ind w:firstLine="425"/>
        <w:jc w:val="both"/>
      </w:pPr>
      <w:r>
        <w:rPr>
          <w:rFonts w:ascii="Times New Roman" w:hAnsi="Times New Roman" w:cs="Times New Roman"/>
          <w:b w:val="0"/>
          <w:i w:val="0"/>
          <w:sz w:val="22"/>
        </w:rPr>
        <w:t>The annotation interface displayed decoded video frames without automatic event markers or processed clubhead coordinates, and no annotator saw another annotator's event frames or coordinates, or their own earlier round, before all raw rounds were locked. Clicks were captured at full resolution in original video pixel coordinates. Operational definitions are given in Table 2 and illustrated schematically in Fig. 2. Control points were deliberately placed along visible portions of the swing arc; consequently, the sample favours frames where a visual click was possible and cannot estimate whole-video tracking availability. The reference is therefore a sparsely sampled, two-dimensional visual reference from two observers, not a continuous or external biomechanical ground truth.</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2. </w:t>
      </w:r>
      <w:r>
        <w:rPr>
          <w:rFonts w:ascii="Times New Roman" w:hAnsi="Times New Roman" w:cs="Times New Roman"/>
          <w:b/>
          <w:i w:val="0"/>
          <w:sz w:val="22"/>
        </w:rPr>
        <w:t>Operational definitions of manually annotated events</w:t>
      </w:r>
    </w:p>
    <w:tbl>
      <w:tblPr>
        <w:tblStyle w:val="aff2"/>
        <w:tblW w:type="auto" w:w="0"/>
        <w:jc w:val="center"/>
        <w:tblLayout w:type="fixed"/>
        <w:tblLook w:firstColumn="1" w:firstRow="1" w:lastColumn="0" w:lastRow="0" w:noHBand="0" w:noVBand="1" w:val="04A0"/>
      </w:tblPr>
      <w:tblGrid>
        <w:gridCol w:w="2041"/>
        <w:gridCol w:w="4365"/>
        <w:gridCol w:w="3175"/>
      </w:tblGrid>
      <w:tr>
        <w:trPr>
          <w:tblHeader/>
        </w:trPr>
        <w:tc>
          <w:tcPr>
            <w:tcW w:type="dxa" w:w="2041"/>
          </w:tcPr>
          <w:p>
            <w:pPr>
              <w:spacing w:before="0" w:after="0" w:line="240" w:lineRule="auto"/>
            </w:pPr>
            <w:r/>
            <w:r>
              <w:rPr>
                <w:rFonts w:ascii="Times New Roman" w:hAnsi="Times New Roman" w:cs="Times New Roman"/>
                <w:b/>
                <w:i w:val="0"/>
                <w:sz w:val="18"/>
              </w:rPr>
              <w:t>Event</w:t>
            </w:r>
          </w:p>
        </w:tc>
        <w:tc>
          <w:tcPr>
            <w:tcW w:type="dxa" w:w="4365"/>
          </w:tcPr>
          <w:p>
            <w:pPr>
              <w:spacing w:before="0" w:after="0" w:line="240" w:lineRule="auto"/>
            </w:pPr>
            <w:r/>
            <w:r>
              <w:rPr>
                <w:rFonts w:ascii="Times New Roman" w:hAnsi="Times New Roman" w:cs="Times New Roman"/>
                <w:b/>
                <w:i w:val="0"/>
                <w:sz w:val="18"/>
              </w:rPr>
              <w:t>Visual criterion</w:t>
            </w:r>
          </w:p>
        </w:tc>
        <w:tc>
          <w:tcPr>
            <w:tcW w:type="dxa" w:w="3175"/>
          </w:tcPr>
          <w:p>
            <w:pPr>
              <w:spacing w:before="0" w:after="0" w:line="240" w:lineRule="auto"/>
            </w:pPr>
            <w:r/>
            <w:r>
              <w:rPr>
                <w:rFonts w:ascii="Times New Roman" w:hAnsi="Times New Roman" w:cs="Times New Roman"/>
                <w:b/>
                <w:i w:val="0"/>
                <w:sz w:val="18"/>
              </w:rPr>
              <w:t>Role</w:t>
            </w:r>
          </w:p>
        </w:tc>
      </w:tr>
      <w:tr>
        <w:tc>
          <w:tcPr>
            <w:tcW w:type="dxa" w:w="2041"/>
          </w:tcPr>
          <w:p>
            <w:pPr>
              <w:spacing w:before="0" w:after="0" w:line="240" w:lineRule="auto"/>
            </w:pPr>
            <w:r/>
            <w:r>
              <w:rPr>
                <w:rFonts w:ascii="Times New Roman" w:hAnsi="Times New Roman" w:cs="Times New Roman"/>
                <w:b w:val="0"/>
                <w:i w:val="0"/>
                <w:sz w:val="18"/>
              </w:rPr>
              <w:t>Address</w:t>
            </w:r>
          </w:p>
        </w:tc>
        <w:tc>
          <w:tcPr>
            <w:tcW w:type="dxa" w:w="4365"/>
          </w:tcPr>
          <w:p>
            <w:pPr>
              <w:spacing w:before="0" w:after="0" w:line="240" w:lineRule="auto"/>
            </w:pPr>
            <w:r/>
            <w:r>
              <w:rPr>
                <w:rFonts w:ascii="Times New Roman" w:hAnsi="Times New Roman" w:cs="Times New Roman"/>
                <w:b w:val="0"/>
                <w:i w:val="0"/>
                <w:sz w:val="18"/>
              </w:rPr>
              <w:t>Last stable frame before takeaway</w:t>
            </w:r>
          </w:p>
        </w:tc>
        <w:tc>
          <w:tcPr>
            <w:tcW w:type="dxa" w:w="3175"/>
          </w:tcPr>
          <w:p>
            <w:pPr>
              <w:spacing w:before="0" w:after="0" w:line="240" w:lineRule="auto"/>
            </w:pPr>
            <w:r/>
            <w:r>
              <w:rPr>
                <w:rFonts w:ascii="Times New Roman" w:hAnsi="Times New Roman" w:cs="Times New Roman"/>
                <w:b w:val="0"/>
                <w:i w:val="0"/>
                <w:sz w:val="18"/>
              </w:rPr>
              <w:t>Time-origin diagnostic</w:t>
            </w:r>
          </w:p>
        </w:tc>
      </w:tr>
      <w:tr>
        <w:tc>
          <w:tcPr>
            <w:tcW w:type="dxa" w:w="2041"/>
          </w:tcPr>
          <w:p>
            <w:pPr>
              <w:spacing w:before="0" w:after="0" w:line="240" w:lineRule="auto"/>
            </w:pPr>
            <w:r/>
            <w:r>
              <w:rPr>
                <w:rFonts w:ascii="Times New Roman" w:hAnsi="Times New Roman" w:cs="Times New Roman"/>
                <w:b w:val="0"/>
                <w:i w:val="0"/>
                <w:sz w:val="18"/>
              </w:rPr>
              <w:t>Top of backswing</w:t>
            </w:r>
          </w:p>
        </w:tc>
        <w:tc>
          <w:tcPr>
            <w:tcW w:type="dxa" w:w="4365"/>
          </w:tcPr>
          <w:p>
            <w:pPr>
              <w:spacing w:before="0" w:after="0" w:line="240" w:lineRule="auto"/>
            </w:pPr>
            <w:r/>
            <w:r>
              <w:rPr>
                <w:rFonts w:ascii="Times New Roman" w:hAnsi="Times New Roman" w:cs="Times New Roman"/>
                <w:b w:val="0"/>
                <w:i w:val="0"/>
                <w:sz w:val="18"/>
              </w:rPr>
              <w:t>Maximal backswing extent before reversal</w:t>
            </w:r>
          </w:p>
        </w:tc>
        <w:tc>
          <w:tcPr>
            <w:tcW w:type="dxa" w:w="3175"/>
          </w:tcPr>
          <w:p>
            <w:pPr>
              <w:spacing w:before="0" w:after="0" w:line="240" w:lineRule="auto"/>
            </w:pPr>
            <w:r/>
            <w:r>
              <w:rPr>
                <w:rFonts w:ascii="Times New Roman" w:hAnsi="Times New Roman" w:cs="Times New Roman"/>
                <w:b w:val="0"/>
                <w:i w:val="0"/>
                <w:sz w:val="18"/>
              </w:rPr>
              <w:t>Compared with transition proxy</w:t>
            </w:r>
          </w:p>
        </w:tc>
      </w:tr>
      <w:tr>
        <w:tc>
          <w:tcPr>
            <w:tcW w:type="dxa" w:w="2041"/>
          </w:tcPr>
          <w:p>
            <w:pPr>
              <w:spacing w:before="0" w:after="0" w:line="240" w:lineRule="auto"/>
            </w:pPr>
            <w:r/>
            <w:r>
              <w:rPr>
                <w:rFonts w:ascii="Times New Roman" w:hAnsi="Times New Roman" w:cs="Times New Roman"/>
                <w:b w:val="0"/>
                <w:i w:val="0"/>
                <w:sz w:val="18"/>
              </w:rPr>
              <w:t>Downswing transition</w:t>
            </w:r>
          </w:p>
        </w:tc>
        <w:tc>
          <w:tcPr>
            <w:tcW w:type="dxa" w:w="4365"/>
          </w:tcPr>
          <w:p>
            <w:pPr>
              <w:spacing w:before="0" w:after="0" w:line="240" w:lineRule="auto"/>
            </w:pPr>
            <w:r/>
            <w:r>
              <w:rPr>
                <w:rFonts w:ascii="Times New Roman" w:hAnsi="Times New Roman" w:cs="Times New Roman"/>
                <w:b w:val="0"/>
                <w:i w:val="0"/>
                <w:sz w:val="18"/>
              </w:rPr>
              <w:t>First sustained motion toward impact</w:t>
            </w:r>
          </w:p>
        </w:tc>
        <w:tc>
          <w:tcPr>
            <w:tcW w:type="dxa" w:w="3175"/>
          </w:tcPr>
          <w:p>
            <w:pPr>
              <w:spacing w:before="0" w:after="0" w:line="240" w:lineRule="auto"/>
            </w:pPr>
            <w:r/>
            <w:r>
              <w:rPr>
                <w:rFonts w:ascii="Times New Roman" w:hAnsi="Times New Roman" w:cs="Times New Roman"/>
                <w:b w:val="0"/>
                <w:i w:val="0"/>
                <w:sz w:val="18"/>
              </w:rPr>
              <w:t>Compared with transition proxy</w:t>
            </w:r>
          </w:p>
        </w:tc>
      </w:tr>
      <w:tr>
        <w:tc>
          <w:tcPr>
            <w:tcW w:type="dxa" w:w="2041"/>
          </w:tcPr>
          <w:p>
            <w:pPr>
              <w:spacing w:before="0" w:after="0" w:line="240" w:lineRule="auto"/>
            </w:pPr>
            <w:r/>
            <w:r>
              <w:rPr>
                <w:rFonts w:ascii="Times New Roman" w:hAnsi="Times New Roman" w:cs="Times New Roman"/>
                <w:b w:val="0"/>
                <w:i w:val="0"/>
                <w:sz w:val="18"/>
              </w:rPr>
              <w:t>Impact</w:t>
            </w:r>
          </w:p>
        </w:tc>
        <w:tc>
          <w:tcPr>
            <w:tcW w:type="dxa" w:w="4365"/>
          </w:tcPr>
          <w:p>
            <w:pPr>
              <w:spacing w:before="0" w:after="0" w:line="240" w:lineRule="auto"/>
            </w:pPr>
            <w:r/>
            <w:r>
              <w:rPr>
                <w:rFonts w:ascii="Times New Roman" w:hAnsi="Times New Roman" w:cs="Times New Roman"/>
                <w:b w:val="0"/>
                <w:i w:val="0"/>
                <w:sz w:val="18"/>
              </w:rPr>
              <w:t>Closest visible clubhead-ball contact</w:t>
            </w:r>
          </w:p>
        </w:tc>
        <w:tc>
          <w:tcPr>
            <w:tcW w:type="dxa" w:w="3175"/>
          </w:tcPr>
          <w:p>
            <w:pPr>
              <w:spacing w:before="0" w:after="0" w:line="240" w:lineRule="auto"/>
            </w:pPr>
            <w:r/>
            <w:r>
              <w:rPr>
                <w:rFonts w:ascii="Times New Roman" w:hAnsi="Times New Roman" w:cs="Times New Roman"/>
                <w:b w:val="0"/>
                <w:i w:val="0"/>
                <w:sz w:val="18"/>
              </w:rPr>
              <w:t>Compared with impact detector</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966749"/>
            <wp:docPr id="11" name="Picture 11"/>
            <wp:cNvGraphicFramePr>
              <a:graphicFrameLocks noChangeAspect="1"/>
            </wp:cNvGraphicFramePr>
            <a:graphic>
              <a:graphicData uri="http://schemas.openxmlformats.org/drawingml/2006/picture">
                <pic:pic>
                  <pic:nvPicPr>
                    <pic:cNvPr id="0" name="fig_annotated_frame.png"/>
                    <pic:cNvPicPr/>
                  </pic:nvPicPr>
                  <pic:blipFill>
                    <a:blip r:embed="rId24"/>
                    <a:stretch>
                      <a:fillRect/>
                    </a:stretch>
                  </pic:blipFill>
                  <pic:spPr>
                    <a:xfrm>
                      <a:off x="0" y="0"/>
                      <a:ext cx="2951999" cy="3966749"/>
                    </a:xfrm>
                    <a:prstGeom prst="rect"/>
                  </pic:spPr>
                </pic:pic>
              </a:graphicData>
            </a:graphic>
          </wp:inline>
        </w:drawing>
      </w:r>
    </w:p>
    <w:p>
      <w:pPr>
        <w:keepNext/>
        <w:ind w:firstLine="0"/>
        <w:jc w:val="center"/>
      </w:pPr>
      <w:r>
        <w:rPr>
          <w:rFonts w:ascii="Times New Roman" w:hAnsi="Times New Roman" w:cs="Times New Roman"/>
          <w:b w:val="0"/>
          <w:i/>
          <w:sz w:val="22"/>
        </w:rPr>
        <w:t xml:space="preserve">Fig. 2. </w:t>
      </w:r>
      <w:r>
        <w:rPr>
          <w:rFonts w:ascii="Times New Roman" w:hAnsi="Times New Roman" w:cs="Times New Roman"/>
          <w:b/>
          <w:i w:val="0"/>
          <w:sz w:val="22"/>
        </w:rPr>
        <w:t>Operational event and selected-frame clubhead annotations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Consensus reference construction</w:t>
      </w:r>
    </w:p>
    <w:p>
      <w:pPr>
        <w:spacing w:before="0" w:after="0" w:line="240" w:lineRule="auto"/>
        <w:ind w:firstLine="425"/>
        <w:jc w:val="both"/>
      </w:pPr>
      <w:r>
        <w:rPr>
          <w:rFonts w:ascii="Times New Roman" w:hAnsi="Times New Roman" w:cs="Times New Roman"/>
          <w:b w:val="0"/>
          <w:i w:val="0"/>
          <w:sz w:val="22"/>
        </w:rPr>
        <w:t>Raw rater rows were preserved unchanged and merged into a multi-rater archive; a merge check rejected duplicate rows for the same rater, round, session, event, or planned point frame. Every position where the two round-1 annotators differed was listed, and each was resolved by a single rule fixed before adjudication and disclosed here: the consensus event frame is the midpoint of the two annotators' frames, and the consensus clubhead position is the pixel mean of the two annotators' clicks. All 250 adjudication records - 100 events and 150 points - were resolved by that mean rule, and each consensus row carries the adjudication identifier, decision, and reason. The consensus reference therefore contains 25 sessions, 100 event rows, and 150 clubhead points. Because a mean is not an expert re-adjudication, the consensus inherits the annotators' disagreement rather than removing it, and the size of that inherited uncertainty is reported alongside the algorithm results. All algorithm comparisons in this article use the consensus reference only; raw rater rounds are used only for annotation agreement.</w:t>
      </w:r>
    </w:p>
    <w:p>
      <w:pPr>
        <w:keepNext/>
        <w:spacing w:before="60" w:after="60" w:line="240" w:lineRule="auto"/>
        <w:ind w:firstLine="425"/>
        <w:jc w:val="both"/>
      </w:pPr>
      <w:r>
        <w:rPr>
          <w:rFonts w:ascii="Times New Roman" w:hAnsi="Times New Roman" w:cs="Times New Roman"/>
          <w:b/>
          <w:i/>
          <w:sz w:val="22"/>
        </w:rPr>
        <w:t>Automatic workflow</w:t>
      </w:r>
    </w:p>
    <w:p>
      <w:pPr>
        <w:spacing w:before="0" w:after="0" w:line="240" w:lineRule="auto"/>
        <w:ind w:firstLine="425"/>
        <w:jc w:val="both"/>
      </w:pPr>
      <w:r>
        <w:rPr>
          <w:rFonts w:ascii="Times New Roman" w:hAnsi="Times New Roman" w:cs="Times New Roman"/>
          <w:b w:val="0"/>
          <w:i w:val="0"/>
          <w:sz w:val="22"/>
        </w:rPr>
        <w:t>Normalized landmark coordinates were converted to pixels. A running median preceded a confidence-aware constant-velocity Kalman filter with physical gating and adaptive measurement noise. Stored forward states were passed to the production Rauch-Tung-Striebel smoother, then to trajectory despiking and bounded polynomial/Laplacian reconstruction with blending and a maximum deviation from raw coordinates. During this revision a defect was corrected in the production smoother, whose predicted covariance had omitted the process-noise term used by the forward filter; the smoother now propagates the same process noise, and synthetic constant-velocity and missing-sample tests were added. No Kalman or despiking parameter was retuned. A running median of detected shaft length supplied the pixel-to-metre factor using an assumed physical club length of 1.0 m. The evaluated output was generated with the scientific profile described in the companion workflow [32].</w:t>
      </w:r>
    </w:p>
    <w:p>
      <w:pPr>
        <w:keepNext/>
        <w:spacing w:before="60" w:after="60" w:line="240" w:lineRule="auto"/>
        <w:ind w:firstLine="425"/>
        <w:jc w:val="both"/>
      </w:pPr>
      <w:r>
        <w:rPr>
          <w:rFonts w:ascii="Times New Roman" w:hAnsi="Times New Roman" w:cs="Times New Roman"/>
          <w:b/>
          <w:i/>
          <w:sz w:val="22"/>
        </w:rPr>
        <w:t>Time-base and event audit</w:t>
      </w:r>
    </w:p>
    <w:p>
      <w:pPr>
        <w:spacing w:before="0" w:after="0" w:line="240" w:lineRule="auto"/>
        <w:ind w:firstLine="425"/>
        <w:jc w:val="both"/>
      </w:pPr>
      <w:r>
        <w:rPr>
          <w:rFonts w:ascii="Times New Roman" w:hAnsi="Times New Roman" w:cs="Times New Roman"/>
          <w:b w:val="0"/>
          <w:i w:val="0"/>
          <w:sz w:val="22"/>
        </w:rPr>
        <w:t>Every selected processed video was decoded with presentation timestamps. For each session, decoded frame count, timestamp intervals, the landmark-array time field, and manual reference_frame/reference_time_s pairs were compared. An event scatter plot used manual and automatic frame indices with an identity line. The workflow exports one impact index and one transition index. The transition index was compared separately with the consensus top of backswing and the consensus downswing transition only as a definition diagnostic; the two rows share the same automatic output and are not independent detectors.</w:t>
      </w:r>
    </w:p>
    <w:p>
      <w:pPr>
        <w:keepNext/>
        <w:spacing w:before="60" w:after="60" w:line="240" w:lineRule="auto"/>
        <w:ind w:firstLine="425"/>
        <w:jc w:val="both"/>
      </w:pPr>
      <w:r>
        <w:rPr>
          <w:rFonts w:ascii="Times New Roman" w:hAnsi="Times New Roman" w:cs="Times New Roman"/>
          <w:b/>
          <w:i/>
          <w:sz w:val="22"/>
        </w:rPr>
        <w:t>Annotation agreement measures</w:t>
      </w:r>
    </w:p>
    <w:p>
      <w:pPr>
        <w:spacing w:before="0" w:after="0" w:line="240" w:lineRule="auto"/>
        <w:ind w:firstLine="425"/>
        <w:jc w:val="both"/>
      </w:pPr>
      <w:r>
        <w:rPr>
          <w:rFonts w:ascii="Times New Roman" w:hAnsi="Times New Roman" w:cs="Times New Roman"/>
          <w:b w:val="0"/>
          <w:i w:val="0"/>
          <w:sz w:val="22"/>
        </w:rPr>
        <w:t>Human-human agreement was computed from raw rater rows only, with no automatic input. For events, paired signed and absolute frame differences were summarized per event and overall by median, mean, standard deviation, 95th percentile, minimum, and maximum; by exact-frame, within-one-frame, and within-two-frame agreement; and by Bland-Altman bias and limits in frames and milliseconds [22]. Whether the two annotators could distinguish top of backswing from downswing transition was examined separately as the same-session absolute gap between those two labels for each annotator. For the shared 150 frames, click disagreement was the Euclidean pixel distance between the two annotators' coordinates, also expressed as a percentage of the image diagonal, summarized within each session and then across sessions with session-bootstrap intervals, together with counts above 10, 25, and 50 pixels. Inter-rater results and annotator A's intra-rater results are reported separately and are never pooled. No intraclass correlation is reported, because the design has no athlete or trial grouping; between-session dispersion of the corpus is not called reliability anywhere in this article.</w:t>
      </w:r>
    </w:p>
    <w:p>
      <w:pPr>
        <w:keepNext/>
        <w:spacing w:before="60" w:after="60" w:line="240" w:lineRule="auto"/>
        <w:ind w:firstLine="425"/>
        <w:jc w:val="both"/>
      </w:pPr>
      <w:r>
        <w:rPr>
          <w:rFonts w:ascii="Times New Roman" w:hAnsi="Times New Roman" w:cs="Times New Roman"/>
          <w:b/>
          <w:i/>
          <w:sz w:val="22"/>
        </w:rPr>
        <w:t>Event agreement measures</w:t>
      </w:r>
    </w:p>
    <w:p>
      <w:pPr>
        <w:spacing w:before="0" w:after="0" w:line="240" w:lineRule="auto"/>
        <w:ind w:firstLine="425"/>
        <w:jc w:val="both"/>
      </w:pPr>
      <w:r>
        <w:rPr>
          <w:rFonts w:ascii="Times New Roman" w:hAnsi="Times New Roman" w:cs="Times New Roman"/>
          <w:b w:val="0"/>
          <w:i w:val="0"/>
          <w:sz w:val="22"/>
        </w:rPr>
        <w:t>For session i and consensus definition e, signed frame error was E_frame(i,e) = frame_auto(i,e) - frame_consensus(i,e). Negative values indicate an early automatic output. Presentation-time error was E_time(i,e) = time_auto(i,e) - time_consensus(i,e) and was reported in milliseconds. Absolute error was the magnitude of the signed error. For each comparison, the median signed error, median absolute error, mean bias, standard deviation of paired differences, 95th percentile absolute error, and Bland-Altman limits bias +/- 1.96 x SD were calculated [22]. Session bootstrap intervals resampled the 25 paired sessions 10 000 times.</w:t>
      </w:r>
    </w:p>
    <w:p>
      <w:pPr>
        <w:keepNext/>
        <w:spacing w:before="60" w:after="60" w:line="240" w:lineRule="auto"/>
        <w:ind w:firstLine="425"/>
        <w:jc w:val="both"/>
      </w:pPr>
      <w:r>
        <w:rPr>
          <w:rFonts w:ascii="Times New Roman" w:hAnsi="Times New Roman" w:cs="Times New Roman"/>
          <w:b/>
          <w:i/>
          <w:sz w:val="22"/>
        </w:rPr>
        <w:t>Clubhead localization agreement</w:t>
      </w:r>
    </w:p>
    <w:p>
      <w:pPr>
        <w:spacing w:before="0" w:after="0" w:line="240" w:lineRule="auto"/>
        <w:ind w:firstLine="425"/>
        <w:jc w:val="both"/>
      </w:pPr>
      <w:r>
        <w:rPr>
          <w:rFonts w:ascii="Times New Roman" w:hAnsi="Times New Roman" w:cs="Times New Roman"/>
          <w:b w:val="0"/>
          <w:i w:val="0"/>
          <w:sz w:val="22"/>
        </w:rPr>
        <w:t>At every annotated frame, the Euclidean pixel discrepancy was D_px = sqrt[(x_auto - x_consensus)^2 + (y_auto - y_consensus)^2]. The primary resolution-normalized measure was D_diag = D_px / sqrt(width^2 + height^2). A secondary physical estimate used D_m = D_px x L_assumed / length_px, where L_assumed = 1.0 m and length_px was the workflow's running detected club length. Because this scale is generated by the evaluated workflow and actual club length is unavailable for 16 sessions, centimetre values are model-dependent and are not treated as independently calibrated accuracy. Points were assigned to phases from consensus events. To respect clustering, the median was first calculated within each session and phase; medians and 95% bootstrap intervals were then calculated across sessions. Point-level 95th percentiles, maxima, and counts above 100, 250, and 500 pixels describe the heavy tail. Because the consensus is a mean of two disagreeing observers, the resulting discrepancy is interpreted against the inter-rater disagreement measured on the same 150 frames, and a sensitivity check recomputed the same statistic against annotator A's round-1 clicks alone.</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under 12 scenarios: frame thinning by factors of 2 and 3; club-landmark dropout of 5%, 10%, and 20%; independent coordinate jitter with normalized standard deviations 0.004 and 0.008; scale changes of -10%, -5%, +5%, and +10%; and a combined case comprising twofold thinning, 10% dropout, and 0.004 jitter. Depending on frame size, the jitter doses correspond approximately to 2-8 and 5-15 pixels per coordinate. These are study-specific stress-test doses, not empirically estimated prevalence levels. Dropout and jitter used a process-independent seed derived from the session identifier and recorded with every run; one realization per session and dose was evaluated, so the reported spread reflects between-session variation rather than Monte Carlo uncertainty.</w:t>
      </w:r>
    </w:p>
    <w:p>
      <w:pPr>
        <w:spacing w:before="0" w:after="0" w:line="240" w:lineRule="auto"/>
        <w:ind w:firstLine="425"/>
        <w:jc w:val="both"/>
      </w:pPr>
      <w:r>
        <w:rPr>
          <w:rFonts w:ascii="Times New Roman" w:hAnsi="Times New Roman" w:cs="Times New Roman"/>
          <w:b w:val="0"/>
          <w:i w:val="0"/>
          <w:sz w:val="22"/>
        </w:rPr>
        <w:t>For baseline value m0 and perturbed value mp, absolute symmetric change was Delta_sym = 200 x |mp - m0| / (|mp| + |m0|). This bounded measure avoids the unbounded denominator problem of ordinary percentage change, although interpretation remains difficult near zero and for an index with an arbitrary origin. Spearman rank correlation quantified preservation of session ordering. Session bootstrap intervals used 2000 resamples for median change and 1000 for rank correlation. Each metric is summarized per scenario, and the tabulated figure is the median of the 12 scenario-level medians, not a pooled median over runs. For descriptive summaries only, scenario medians below 10%, from 10% to below 25%, and at least 25% were labelled low, moderate, and high response, and metrics were ordered by their median across scenarios; no composite score and no coefficient of variation enters this ordering. These author-defined operational bands are not coaching tolerances or measurement-validity thresholds. Phase-duration metrics were excluded because the event segmentation was not valid, and downswing peak speed was excluded because it duplicated maximum speed in these runs.</w:t>
      </w:r>
    </w:p>
    <w:p>
      <w:pPr>
        <w:keepNext/>
        <w:spacing w:before="60" w:after="60" w:line="240" w:lineRule="auto"/>
        <w:ind w:firstLine="425"/>
        <w:jc w:val="both"/>
      </w:pPr>
      <w:r>
        <w:rPr>
          <w:rFonts w:ascii="Times New Roman" w:hAnsi="Times New Roman" w:cs="Times New Roman"/>
          <w:b/>
          <w:i/>
          <w:sz w:val="22"/>
        </w:rPr>
        <w:t>Production-stage ablation and metric definitions</w:t>
      </w:r>
    </w:p>
    <w:p>
      <w:pPr>
        <w:spacing w:before="0" w:after="0" w:line="240" w:lineRule="auto"/>
        <w:ind w:firstLine="425"/>
        <w:jc w:val="both"/>
      </w:pPr>
      <w:r>
        <w:rPr>
          <w:rFonts w:ascii="Times New Roman" w:hAnsi="Times New Roman" w:cs="Times New Roman"/>
          <w:b w:val="0"/>
          <w:i w:val="0"/>
          <w:sz w:val="22"/>
        </w:rPr>
        <w:t>The nested ablation exposed the actual arrays produced after raw landmark extraction, median filtering, forward Kalman filtering, production Rauch-Tung-Striebel smoothing, despiking, and final bounded reconstruction. No corrected textbook smoother was substituted for the production implementation, so the variants differ by one production stage at a time. For every stage, the number of points changed relative to the preceding stage was counted before rounding. A common derivative calculation used the actual elapsed interval across missing samples. Scalar speed was displacement magnitude divided by elapsed time; scalar acceleration was the first difference of speed; scalar jerk was the first difference of acceleration; and RMS_jerk = sqrt[mean(jerk^2)]. The smoothness index was S = -log10[mean(jerk^2) + 10^-9], so larger values indicate lower RMS jerk only within this definition. Path efficiency was endpoint displacement divided by cumulative path length. Maximum angular velocity was the maximum absolute first difference of shaft angle per unit time, and curvature RMS was the root mean square of three-point planar curvature. Stability of these computed quantities does not establish that they measure swing quality.</w:t>
      </w:r>
    </w:p>
    <w:p>
      <w:pPr>
        <w:keepNext/>
        <w:spacing w:before="60" w:after="60" w:line="240" w:lineRule="auto"/>
        <w:ind w:firstLine="425"/>
        <w:jc w:val="both"/>
      </w:pPr>
      <w:r>
        <w:rPr>
          <w:rFonts w:ascii="Times New Roman" w:hAnsi="Times New Roman" w:cs="Times New Roman"/>
          <w:b/>
          <w:i/>
          <w:sz w:val="22"/>
        </w:rPr>
        <w:t>Statistical analysis</w:t>
      </w:r>
    </w:p>
    <w:p>
      <w:pPr>
        <w:spacing w:before="0" w:after="0" w:line="240" w:lineRule="auto"/>
        <w:ind w:firstLine="425"/>
        <w:jc w:val="both"/>
      </w:pPr>
      <w:r>
        <w:rPr>
          <w:rFonts w:ascii="Times New Roman" w:hAnsi="Times New Roman" w:cs="Times New Roman"/>
          <w:b w:val="0"/>
          <w:i w:val="0"/>
          <w:sz w:val="22"/>
        </w:rPr>
        <w:t>Sessions, rather than individual control points, were the resampling unit. Bootstrap confidence intervals used the percentile method with a fixed seed. Point-level distributions are additionally shown to expose rare failures, but no p-values are reported for the small and imbalanced viewpoint, frame-rate, resolution, quality, capture-speed, or club subgroups. Between-session coefficients of variation, repeatability coefficients, standard errors of measurement, minimal detectable changes, and intraclass correlations were not calculated, because athlete/trial repeated-measure grouping was unavailable [20], [21]. Results are reported only for methods explicitly shown in the tables, figures, or supplementary comma-separated files.</w:t>
      </w:r>
    </w:p>
    <w:p>
      <w:pPr>
        <w:keepNext/>
        <w:spacing w:before="120" w:after="120" w:line="240" w:lineRule="auto"/>
        <w:ind w:firstLine="0"/>
        <w:jc w:val="center"/>
      </w:pPr>
      <w:r>
        <w:rPr>
          <w:rFonts w:ascii="Times New Roman" w:hAnsi="Times New Roman" w:cs="Times New Roman"/>
          <w:b/>
          <w:i w:val="0"/>
          <w:sz w:val="22"/>
        </w:rPr>
        <w:t>RESEARCH RESULTS</w:t>
      </w:r>
    </w:p>
    <w:p>
      <w:pPr>
        <w:keepNext/>
        <w:spacing w:before="60" w:after="60" w:line="240" w:lineRule="auto"/>
        <w:ind w:firstLine="425"/>
        <w:jc w:val="both"/>
      </w:pPr>
      <w:r>
        <w:rPr>
          <w:rFonts w:ascii="Times New Roman" w:hAnsi="Times New Roman" w:cs="Times New Roman"/>
          <w:b/>
          <w:i/>
          <w:sz w:val="22"/>
        </w:rPr>
        <w:t>Reference subset and annotation completeness</w:t>
      </w:r>
    </w:p>
    <w:p>
      <w:pPr>
        <w:spacing w:before="0" w:after="0" w:line="240" w:lineRule="auto"/>
        <w:ind w:firstLine="425"/>
        <w:jc w:val="both"/>
      </w:pPr>
      <w:r>
        <w:rPr>
          <w:rFonts w:ascii="Times New Roman" w:hAnsi="Times New Roman" w:cs="Times New Roman"/>
          <w:b w:val="0"/>
          <w:i w:val="0"/>
          <w:sz w:val="22"/>
        </w:rPr>
        <w:t>The 25-session subset retained multiple frame-rate, resolution, capture-speed, club, and quality categories but remained dominated by down-the-line recordings (Table 1). Both round-1 annotators supplied four event labels in every session, and both clicked every frame of the shared 150-frame plan; annotator A's second round covered all four events and six planned frames in each of its 10 sessions. After adjudication, the consensus contained 100 event rows and 150 clubhead points. The consensus points were not uniformly distributed by phase: 60 fell in backswing, 8 in transition, 26 in downswing, 23 near impact, and 33 in follow-through, so the transition estimate is descriptive only.</w:t>
      </w:r>
    </w:p>
    <w:p>
      <w:pPr>
        <w:keepNext/>
        <w:spacing w:before="60" w:after="60" w:line="240" w:lineRule="auto"/>
        <w:ind w:firstLine="425"/>
        <w:jc w:val="both"/>
      </w:pPr>
      <w:r>
        <w:rPr>
          <w:rFonts w:ascii="Times New Roman" w:hAnsi="Times New Roman" w:cs="Times New Roman"/>
          <w:b/>
          <w:i/>
          <w:sz w:val="22"/>
        </w:rPr>
        <w:t>Annotation agreement between and within annotators</w:t>
      </w:r>
    </w:p>
    <w:p>
      <w:pPr>
        <w:spacing w:before="0" w:after="0" w:line="240" w:lineRule="auto"/>
        <w:ind w:firstLine="425"/>
        <w:jc w:val="both"/>
      </w:pPr>
      <w:r>
        <w:rPr>
          <w:rFonts w:ascii="Times New Roman" w:hAnsi="Times New Roman" w:cs="Times New Roman"/>
          <w:b w:val="0"/>
          <w:i w:val="0"/>
          <w:sz w:val="22"/>
        </w:rPr>
        <w:t>Event frames agreed moderately between annotators and better within one annotator (Table 3; Fig. 3). Across all 100 paired event labels the median absolute difference was 4 frames, or 80 ms, with a session-level median of 4 frames (95% CI 3.0-5.5). Exact agreement was reached for 13% of labels, 24% agreed within one frame, and 36% within two frames; the Bland-Altman bias was -0.08 frames with limits of agreement from -13.1 to +12.9 frames. Address was the most reproducible event (median 2 frames, 20% exact) and top of backswing the least (median 5 frames, 8% exact, bias +2.0 frames). Annotator A's repeat round agreed to a median of 2 frames, or 40 ms, with 60% of labels within two frames and limits from -8.6 to +7.4 frames, so about half of the between-annotator event disagreement is attributable to within-observer variability rather than to differing interpretations.</w:t>
      </w:r>
    </w:p>
    <w:p>
      <w:pPr>
        <w:spacing w:before="0" w:after="0" w:line="240" w:lineRule="auto"/>
        <w:ind w:firstLine="425"/>
        <w:jc w:val="both"/>
      </w:pPr>
      <w:r>
        <w:rPr>
          <w:rFonts w:ascii="Times New Roman" w:hAnsi="Times New Roman" w:cs="Times New Roman"/>
          <w:b w:val="0"/>
          <w:i w:val="0"/>
          <w:sz w:val="22"/>
        </w:rPr>
        <w:t>The two transition-related events were not clearly separable in the human data: the same-session gap between top of backswing and downswing transition had a median of 3 frames for both annotators, and it was two frames or less in 48% and 40% of sessions respectively. Comparing one automatic transition output with both definitions is therefore a definition diagnostic rather than two independent validations.</w:t>
      </w:r>
    </w:p>
    <w:p>
      <w:pPr>
        <w:spacing w:before="0" w:after="0" w:line="240" w:lineRule="auto"/>
        <w:ind w:firstLine="425"/>
        <w:jc w:val="both"/>
      </w:pPr>
      <w:r>
        <w:rPr>
          <w:rFonts w:ascii="Times New Roman" w:hAnsi="Times New Roman" w:cs="Times New Roman"/>
          <w:b w:val="0"/>
          <w:i w:val="0"/>
          <w:sz w:val="22"/>
        </w:rPr>
        <w:t>Clubhead clicks agreed much less closely than event frames. Over the 150 shared frames the median between-annotator disagreement was 77.1 pixels, or 4.03% of the image diagonal, with a 95th percentile of 183.3 pixels and a maximum of 219.4 pixels; the median of session medians was 73.3 pixels (95% CI 69.0-81.3). Every one of the 150 pairs differed by more than 10 pixels, 145 by more than 25 pixels, and 104 by more than 50 pixels. Annotator A's repeat round was no more precise, with a median of 78.5 pixels, or 3.85% of the diagonal, and 43 of 60 pairs above 50 pixels. Because within-observer repetition is as dispersed as between-observer comparison, the limiting factor is the operational definition of the clubhead point on blurred, fast-moving frames rather than observer disagreement about the swing. The manual reference consequently localizes the clubhead only to a few per cent of the image diagonal, and no geometric conclusion in this study can be finer than that.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3. </w:t>
      </w:r>
      <w:r>
        <w:rPr>
          <w:rFonts w:ascii="Times New Roman" w:hAnsi="Times New Roman" w:cs="Times New Roman"/>
          <w:b/>
          <w:i w:val="0"/>
          <w:sz w:val="22"/>
        </w:rPr>
        <w:t>Annotation agreement between and within annotators</w:t>
      </w:r>
    </w:p>
    <w:tbl>
      <w:tblPr>
        <w:tblStyle w:val="aff2"/>
        <w:tblW w:type="auto" w:w="0"/>
        <w:jc w:val="center"/>
        <w:tblLayout w:type="fixed"/>
        <w:tblLook w:firstColumn="1" w:firstRow="1" w:lastColumn="0" w:lastRow="0" w:noHBand="0" w:noVBand="1" w:val="04A0"/>
      </w:tblPr>
      <w:tblGrid>
        <w:gridCol w:w="2494"/>
        <w:gridCol w:w="510"/>
        <w:gridCol w:w="1531"/>
        <w:gridCol w:w="1247"/>
        <w:gridCol w:w="964"/>
        <w:gridCol w:w="1077"/>
        <w:gridCol w:w="1757"/>
      </w:tblGrid>
      <w:tr>
        <w:trPr>
          <w:tblHeader/>
        </w:trPr>
        <w:tc>
          <w:tcPr>
            <w:tcW w:type="dxa" w:w="2494"/>
          </w:tcPr>
          <w:p>
            <w:pPr>
              <w:spacing w:before="0" w:after="0" w:line="240" w:lineRule="auto"/>
            </w:pPr>
            <w:r/>
            <w:r>
              <w:rPr>
                <w:rFonts w:ascii="Times New Roman" w:hAnsi="Times New Roman" w:cs="Times New Roman"/>
                <w:b/>
                <w:i w:val="0"/>
                <w:sz w:val="18"/>
              </w:rPr>
              <w:t>Comparison and measure</w:t>
            </w:r>
          </w:p>
        </w:tc>
        <w:tc>
          <w:tcPr>
            <w:tcW w:type="dxa" w:w="510"/>
          </w:tcPr>
          <w:p>
            <w:pPr>
              <w:spacing w:before="0" w:after="0" w:line="240" w:lineRule="auto"/>
            </w:pPr>
            <w:r/>
            <w:r>
              <w:rPr>
                <w:rFonts w:ascii="Times New Roman" w:hAnsi="Times New Roman" w:cs="Times New Roman"/>
                <w:b/>
                <w:i w:val="0"/>
                <w:sz w:val="18"/>
              </w:rPr>
              <w:t>n</w:t>
            </w:r>
          </w:p>
        </w:tc>
        <w:tc>
          <w:tcPr>
            <w:tcW w:type="dxa" w:w="1531"/>
          </w:tcPr>
          <w:p>
            <w:pPr>
              <w:spacing w:before="0" w:after="0" w:line="240" w:lineRule="auto"/>
            </w:pPr>
            <w:r/>
            <w:r>
              <w:rPr>
                <w:rFonts w:ascii="Times New Roman" w:hAnsi="Times New Roman" w:cs="Times New Roman"/>
                <w:b/>
                <w:i w:val="0"/>
                <w:sz w:val="18"/>
              </w:rPr>
              <w:t>Median (95% CI)</w:t>
            </w:r>
          </w:p>
        </w:tc>
        <w:tc>
          <w:tcPr>
            <w:tcW w:type="dxa" w:w="1247"/>
          </w:tcPr>
          <w:p>
            <w:pPr>
              <w:spacing w:before="0" w:after="0" w:line="240" w:lineRule="auto"/>
            </w:pPr>
            <w:r/>
            <w:r>
              <w:rPr>
                <w:rFonts w:ascii="Times New Roman" w:hAnsi="Times New Roman" w:cs="Times New Roman"/>
                <w:b/>
                <w:i w:val="0"/>
                <w:sz w:val="18"/>
              </w:rPr>
              <w:t>P95 / max</w:t>
            </w:r>
          </w:p>
        </w:tc>
        <w:tc>
          <w:tcPr>
            <w:tcW w:type="dxa" w:w="964"/>
          </w:tcPr>
          <w:p>
            <w:pPr>
              <w:spacing w:before="0" w:after="0" w:line="240" w:lineRule="auto"/>
            </w:pPr>
            <w:r/>
            <w:r>
              <w:rPr>
                <w:rFonts w:ascii="Times New Roman" w:hAnsi="Times New Roman" w:cs="Times New Roman"/>
                <w:b/>
                <w:i w:val="0"/>
                <w:sz w:val="18"/>
              </w:rPr>
              <w:t>Exact, %</w:t>
            </w:r>
          </w:p>
        </w:tc>
        <w:tc>
          <w:tcPr>
            <w:tcW w:type="dxa" w:w="1077"/>
          </w:tcPr>
          <w:p>
            <w:pPr>
              <w:spacing w:before="0" w:after="0" w:line="240" w:lineRule="auto"/>
            </w:pPr>
            <w:r/>
            <w:r>
              <w:rPr>
                <w:rFonts w:ascii="Times New Roman" w:hAnsi="Times New Roman" w:cs="Times New Roman"/>
                <w:b/>
                <w:i w:val="0"/>
                <w:sz w:val="18"/>
              </w:rPr>
              <w:t>Within 2, %</w:t>
            </w:r>
          </w:p>
        </w:tc>
        <w:tc>
          <w:tcPr>
            <w:tcW w:type="dxa" w:w="1757"/>
          </w:tcPr>
          <w:p>
            <w:pPr>
              <w:spacing w:before="0" w:after="0" w:line="240" w:lineRule="auto"/>
            </w:pPr>
            <w:r/>
            <w:r>
              <w:rPr>
                <w:rFonts w:ascii="Times New Roman" w:hAnsi="Times New Roman" w:cs="Times New Roman"/>
                <w:b/>
                <w:i w:val="0"/>
                <w:sz w:val="18"/>
              </w:rPr>
              <w:t>Bias (95% LoA)</w:t>
            </w:r>
          </w:p>
        </w:tc>
      </w:tr>
      <w:tr>
        <w:tc>
          <w:tcPr>
            <w:tcW w:type="dxa" w:w="2494"/>
          </w:tcPr>
          <w:p>
            <w:pPr>
              <w:spacing w:before="0" w:after="0" w:line="240" w:lineRule="auto"/>
            </w:pPr>
            <w:r/>
            <w:r>
              <w:rPr>
                <w:rFonts w:ascii="Times New Roman" w:hAnsi="Times New Roman" w:cs="Times New Roman"/>
                <w:b w:val="0"/>
                <w:i w:val="0"/>
                <w:sz w:val="18"/>
              </w:rPr>
              <w:t>Between annotators: address,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2 (1-4)</w:t>
            </w:r>
          </w:p>
        </w:tc>
        <w:tc>
          <w:tcPr>
            <w:tcW w:type="dxa" w:w="1247"/>
          </w:tcPr>
          <w:p>
            <w:pPr>
              <w:spacing w:before="0" w:after="0" w:line="240" w:lineRule="auto"/>
            </w:pPr>
            <w:r/>
            <w:r>
              <w:rPr>
                <w:rFonts w:ascii="Times New Roman" w:hAnsi="Times New Roman" w:cs="Times New Roman"/>
                <w:b w:val="0"/>
                <w:i w:val="0"/>
                <w:sz w:val="18"/>
              </w:rPr>
              <w:t>8.8 / 12</w:t>
            </w:r>
          </w:p>
        </w:tc>
        <w:tc>
          <w:tcPr>
            <w:tcW w:type="dxa" w:w="964"/>
          </w:tcPr>
          <w:p>
            <w:pPr>
              <w:spacing w:before="0" w:after="0" w:line="240" w:lineRule="auto"/>
            </w:pPr>
            <w:r/>
            <w:r>
              <w:rPr>
                <w:rFonts w:ascii="Times New Roman" w:hAnsi="Times New Roman" w:cs="Times New Roman"/>
                <w:b w:val="0"/>
                <w:i w:val="0"/>
                <w:sz w:val="18"/>
              </w:rPr>
              <w:t>20</w:t>
            </w:r>
          </w:p>
        </w:tc>
        <w:tc>
          <w:tcPr>
            <w:tcW w:type="dxa" w:w="1077"/>
          </w:tcPr>
          <w:p>
            <w:pPr>
              <w:spacing w:before="0" w:after="0" w:line="240" w:lineRule="auto"/>
            </w:pPr>
            <w:r/>
            <w:r>
              <w:rPr>
                <w:rFonts w:ascii="Times New Roman" w:hAnsi="Times New Roman" w:cs="Times New Roman"/>
                <w:b w:val="0"/>
                <w:i w:val="0"/>
                <w:sz w:val="18"/>
              </w:rPr>
              <w:t>52</w:t>
            </w:r>
          </w:p>
        </w:tc>
        <w:tc>
          <w:tcPr>
            <w:tcW w:type="dxa" w:w="1757"/>
          </w:tcPr>
          <w:p>
            <w:pPr>
              <w:spacing w:before="0" w:after="0" w:line="240" w:lineRule="auto"/>
            </w:pPr>
            <w:r/>
            <w:r>
              <w:rPr>
                <w:rFonts w:ascii="Times New Roman" w:hAnsi="Times New Roman" w:cs="Times New Roman"/>
                <w:b w:val="0"/>
                <w:i w:val="0"/>
                <w:sz w:val="18"/>
              </w:rPr>
              <w:t>-0.44 (-9.9 to 9)</w:t>
            </w:r>
          </w:p>
        </w:tc>
      </w:tr>
      <w:tr>
        <w:tc>
          <w:tcPr>
            <w:tcW w:type="dxa" w:w="2494"/>
          </w:tcPr>
          <w:p>
            <w:pPr>
              <w:spacing w:before="0" w:after="0" w:line="240" w:lineRule="auto"/>
            </w:pPr>
            <w:r/>
            <w:r>
              <w:rPr>
                <w:rFonts w:ascii="Times New Roman" w:hAnsi="Times New Roman" w:cs="Times New Roman"/>
                <w:b w:val="0"/>
                <w:i w:val="0"/>
                <w:sz w:val="18"/>
              </w:rPr>
              <w:t>Between annotators: top of backswing,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5 (4-8)</w:t>
            </w:r>
          </w:p>
        </w:tc>
        <w:tc>
          <w:tcPr>
            <w:tcW w:type="dxa" w:w="1247"/>
          </w:tcPr>
          <w:p>
            <w:pPr>
              <w:spacing w:before="0" w:after="0" w:line="240" w:lineRule="auto"/>
            </w:pPr>
            <w:r/>
            <w:r>
              <w:rPr>
                <w:rFonts w:ascii="Times New Roman" w:hAnsi="Times New Roman" w:cs="Times New Roman"/>
                <w:b w:val="0"/>
                <w:i w:val="0"/>
                <w:sz w:val="18"/>
              </w:rPr>
              <w:t>12.6 / 23</w:t>
            </w:r>
          </w:p>
        </w:tc>
        <w:tc>
          <w:tcPr>
            <w:tcW w:type="dxa" w:w="964"/>
          </w:tcPr>
          <w:p>
            <w:pPr>
              <w:spacing w:before="0" w:after="0" w:line="240" w:lineRule="auto"/>
            </w:pPr>
            <w:r/>
            <w:r>
              <w:rPr>
                <w:rFonts w:ascii="Times New Roman" w:hAnsi="Times New Roman" w:cs="Times New Roman"/>
                <w:b w:val="0"/>
                <w:i w:val="0"/>
                <w:sz w:val="18"/>
              </w:rPr>
              <w:t>8</w:t>
            </w:r>
          </w:p>
        </w:tc>
        <w:tc>
          <w:tcPr>
            <w:tcW w:type="dxa" w:w="1077"/>
          </w:tcPr>
          <w:p>
            <w:pPr>
              <w:spacing w:before="0" w:after="0" w:line="240" w:lineRule="auto"/>
            </w:pPr>
            <w:r/>
            <w:r>
              <w:rPr>
                <w:rFonts w:ascii="Times New Roman" w:hAnsi="Times New Roman" w:cs="Times New Roman"/>
                <w:b w:val="0"/>
                <w:i w:val="0"/>
                <w:sz w:val="18"/>
              </w:rPr>
              <w:t>16</w:t>
            </w:r>
          </w:p>
        </w:tc>
        <w:tc>
          <w:tcPr>
            <w:tcW w:type="dxa" w:w="1757"/>
          </w:tcPr>
          <w:p>
            <w:pPr>
              <w:spacing w:before="0" w:after="0" w:line="240" w:lineRule="auto"/>
            </w:pPr>
            <w:r/>
            <w:r>
              <w:rPr>
                <w:rFonts w:ascii="Times New Roman" w:hAnsi="Times New Roman" w:cs="Times New Roman"/>
                <w:b w:val="0"/>
                <w:i w:val="0"/>
                <w:sz w:val="18"/>
              </w:rPr>
              <w:t>2 (-13.2 to 17.2)</w:t>
            </w:r>
          </w:p>
        </w:tc>
      </w:tr>
      <w:tr>
        <w:tc>
          <w:tcPr>
            <w:tcW w:type="dxa" w:w="2494"/>
          </w:tcPr>
          <w:p>
            <w:pPr>
              <w:spacing w:before="0" w:after="0" w:line="240" w:lineRule="auto"/>
            </w:pPr>
            <w:r/>
            <w:r>
              <w:rPr>
                <w:rFonts w:ascii="Times New Roman" w:hAnsi="Times New Roman" w:cs="Times New Roman"/>
                <w:b w:val="0"/>
                <w:i w:val="0"/>
                <w:sz w:val="18"/>
              </w:rPr>
              <w:t>Between annotators: downswing transition,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4 (2-7)</w:t>
            </w:r>
          </w:p>
        </w:tc>
        <w:tc>
          <w:tcPr>
            <w:tcW w:type="dxa" w:w="1247"/>
          </w:tcPr>
          <w:p>
            <w:pPr>
              <w:spacing w:before="0" w:after="0" w:line="240" w:lineRule="auto"/>
            </w:pPr>
            <w:r/>
            <w:r>
              <w:rPr>
                <w:rFonts w:ascii="Times New Roman" w:hAnsi="Times New Roman" w:cs="Times New Roman"/>
                <w:b w:val="0"/>
                <w:i w:val="0"/>
                <w:sz w:val="18"/>
              </w:rPr>
              <w:t>10 / 26</w:t>
            </w:r>
          </w:p>
        </w:tc>
        <w:tc>
          <w:tcPr>
            <w:tcW w:type="dxa" w:w="964"/>
          </w:tcPr>
          <w:p>
            <w:pPr>
              <w:spacing w:before="0" w:after="0" w:line="240" w:lineRule="auto"/>
            </w:pPr>
            <w:r/>
            <w:r>
              <w:rPr>
                <w:rFonts w:ascii="Times New Roman" w:hAnsi="Times New Roman" w:cs="Times New Roman"/>
                <w:b w:val="0"/>
                <w:i w:val="0"/>
                <w:sz w:val="18"/>
              </w:rPr>
              <w:t>0</w:t>
            </w:r>
          </w:p>
        </w:tc>
        <w:tc>
          <w:tcPr>
            <w:tcW w:type="dxa" w:w="1077"/>
          </w:tcPr>
          <w:p>
            <w:pPr>
              <w:spacing w:before="0" w:after="0" w:line="240" w:lineRule="auto"/>
            </w:pPr>
            <w:r/>
            <w:r>
              <w:rPr>
                <w:rFonts w:ascii="Times New Roman" w:hAnsi="Times New Roman" w:cs="Times New Roman"/>
                <w:b w:val="0"/>
                <w:i w:val="0"/>
                <w:sz w:val="18"/>
              </w:rPr>
              <w:t>32</w:t>
            </w:r>
          </w:p>
        </w:tc>
        <w:tc>
          <w:tcPr>
            <w:tcW w:type="dxa" w:w="1757"/>
          </w:tcPr>
          <w:p>
            <w:pPr>
              <w:spacing w:before="0" w:after="0" w:line="240" w:lineRule="auto"/>
            </w:pPr>
            <w:r/>
            <w:r>
              <w:rPr>
                <w:rFonts w:ascii="Times New Roman" w:hAnsi="Times New Roman" w:cs="Times New Roman"/>
                <w:b w:val="0"/>
                <w:i w:val="0"/>
                <w:sz w:val="18"/>
              </w:rPr>
              <w:t>-2.2 (-16.3 to 11.9)</w:t>
            </w:r>
          </w:p>
        </w:tc>
      </w:tr>
      <w:tr>
        <w:tc>
          <w:tcPr>
            <w:tcW w:type="dxa" w:w="2494"/>
          </w:tcPr>
          <w:p>
            <w:pPr>
              <w:spacing w:before="0" w:after="0" w:line="240" w:lineRule="auto"/>
            </w:pPr>
            <w:r/>
            <w:r>
              <w:rPr>
                <w:rFonts w:ascii="Times New Roman" w:hAnsi="Times New Roman" w:cs="Times New Roman"/>
                <w:b w:val="0"/>
                <w:i w:val="0"/>
                <w:sz w:val="18"/>
              </w:rPr>
              <w:t>Between annotators: impact,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4 (1-5)</w:t>
            </w:r>
          </w:p>
        </w:tc>
        <w:tc>
          <w:tcPr>
            <w:tcW w:type="dxa" w:w="1247"/>
          </w:tcPr>
          <w:p>
            <w:pPr>
              <w:spacing w:before="0" w:after="0" w:line="240" w:lineRule="auto"/>
            </w:pPr>
            <w:r/>
            <w:r>
              <w:rPr>
                <w:rFonts w:ascii="Times New Roman" w:hAnsi="Times New Roman" w:cs="Times New Roman"/>
                <w:b w:val="0"/>
                <w:i w:val="0"/>
                <w:sz w:val="18"/>
              </w:rPr>
              <w:t>11.6 / 19</w:t>
            </w:r>
          </w:p>
        </w:tc>
        <w:tc>
          <w:tcPr>
            <w:tcW w:type="dxa" w:w="964"/>
          </w:tcPr>
          <w:p>
            <w:pPr>
              <w:spacing w:before="0" w:after="0" w:line="240" w:lineRule="auto"/>
            </w:pPr>
            <w:r/>
            <w:r>
              <w:rPr>
                <w:rFonts w:ascii="Times New Roman" w:hAnsi="Times New Roman" w:cs="Times New Roman"/>
                <w:b w:val="0"/>
                <w:i w:val="0"/>
                <w:sz w:val="18"/>
              </w:rPr>
              <w:t>24</w:t>
            </w:r>
          </w:p>
        </w:tc>
        <w:tc>
          <w:tcPr>
            <w:tcW w:type="dxa" w:w="1077"/>
          </w:tcPr>
          <w:p>
            <w:pPr>
              <w:spacing w:before="0" w:after="0" w:line="240" w:lineRule="auto"/>
            </w:pPr>
            <w:r/>
            <w:r>
              <w:rPr>
                <w:rFonts w:ascii="Times New Roman" w:hAnsi="Times New Roman" w:cs="Times New Roman"/>
                <w:b w:val="0"/>
                <w:i w:val="0"/>
                <w:sz w:val="18"/>
              </w:rPr>
              <w:t>44</w:t>
            </w:r>
          </w:p>
        </w:tc>
        <w:tc>
          <w:tcPr>
            <w:tcW w:type="dxa" w:w="1757"/>
          </w:tcPr>
          <w:p>
            <w:pPr>
              <w:spacing w:before="0" w:after="0" w:line="240" w:lineRule="auto"/>
            </w:pPr>
            <w:r/>
            <w:r>
              <w:rPr>
                <w:rFonts w:ascii="Times New Roman" w:hAnsi="Times New Roman" w:cs="Times New Roman"/>
                <w:b w:val="0"/>
                <w:i w:val="0"/>
                <w:sz w:val="18"/>
              </w:rPr>
              <w:t>0.32 (-11.7 to 12.3)</w:t>
            </w:r>
          </w:p>
        </w:tc>
      </w:tr>
      <w:tr>
        <w:tc>
          <w:tcPr>
            <w:tcW w:type="dxa" w:w="2494"/>
          </w:tcPr>
          <w:p>
            <w:pPr>
              <w:spacing w:before="0" w:after="0" w:line="240" w:lineRule="auto"/>
            </w:pPr>
            <w:r/>
            <w:r>
              <w:rPr>
                <w:rFonts w:ascii="Times New Roman" w:hAnsi="Times New Roman" w:cs="Times New Roman"/>
                <w:b w:val="0"/>
                <w:i w:val="0"/>
                <w:sz w:val="18"/>
              </w:rPr>
              <w:t>Between annotators: all events, frames</w:t>
            </w:r>
          </w:p>
        </w:tc>
        <w:tc>
          <w:tcPr>
            <w:tcW w:type="dxa" w:w="510"/>
          </w:tcPr>
          <w:p>
            <w:pPr>
              <w:spacing w:before="0" w:after="0" w:line="240" w:lineRule="auto"/>
            </w:pPr>
            <w:r/>
            <w:r>
              <w:rPr>
                <w:rFonts w:ascii="Times New Roman" w:hAnsi="Times New Roman" w:cs="Times New Roman"/>
                <w:b w:val="0"/>
                <w:i w:val="0"/>
                <w:sz w:val="18"/>
              </w:rPr>
              <w:t>100</w:t>
            </w:r>
          </w:p>
        </w:tc>
        <w:tc>
          <w:tcPr>
            <w:tcW w:type="dxa" w:w="1531"/>
          </w:tcPr>
          <w:p>
            <w:pPr>
              <w:spacing w:before="0" w:after="0" w:line="240" w:lineRule="auto"/>
            </w:pPr>
            <w:r/>
            <w:r>
              <w:rPr>
                <w:rFonts w:ascii="Times New Roman" w:hAnsi="Times New Roman" w:cs="Times New Roman"/>
                <w:b w:val="0"/>
                <w:i w:val="0"/>
                <w:sz w:val="18"/>
              </w:rPr>
              <w:t>4 (3-5.5)</w:t>
            </w:r>
          </w:p>
        </w:tc>
        <w:tc>
          <w:tcPr>
            <w:tcW w:type="dxa" w:w="1247"/>
          </w:tcPr>
          <w:p>
            <w:pPr>
              <w:spacing w:before="0" w:after="0" w:line="240" w:lineRule="auto"/>
            </w:pPr>
            <w:r/>
            <w:r>
              <w:rPr>
                <w:rFonts w:ascii="Times New Roman" w:hAnsi="Times New Roman" w:cs="Times New Roman"/>
                <w:b w:val="0"/>
                <w:i w:val="0"/>
                <w:sz w:val="18"/>
              </w:rPr>
              <w:t>12 / 26</w:t>
            </w:r>
          </w:p>
        </w:tc>
        <w:tc>
          <w:tcPr>
            <w:tcW w:type="dxa" w:w="964"/>
          </w:tcPr>
          <w:p>
            <w:pPr>
              <w:spacing w:before="0" w:after="0" w:line="240" w:lineRule="auto"/>
            </w:pPr>
            <w:r/>
            <w:r>
              <w:rPr>
                <w:rFonts w:ascii="Times New Roman" w:hAnsi="Times New Roman" w:cs="Times New Roman"/>
                <w:b w:val="0"/>
                <w:i w:val="0"/>
                <w:sz w:val="18"/>
              </w:rPr>
              <w:t>13</w:t>
            </w:r>
          </w:p>
        </w:tc>
        <w:tc>
          <w:tcPr>
            <w:tcW w:type="dxa" w:w="1077"/>
          </w:tcPr>
          <w:p>
            <w:pPr>
              <w:spacing w:before="0" w:after="0" w:line="240" w:lineRule="auto"/>
            </w:pPr>
            <w:r/>
            <w:r>
              <w:rPr>
                <w:rFonts w:ascii="Times New Roman" w:hAnsi="Times New Roman" w:cs="Times New Roman"/>
                <w:b w:val="0"/>
                <w:i w:val="0"/>
                <w:sz w:val="18"/>
              </w:rPr>
              <w:t>36</w:t>
            </w:r>
          </w:p>
        </w:tc>
        <w:tc>
          <w:tcPr>
            <w:tcW w:type="dxa" w:w="1757"/>
          </w:tcPr>
          <w:p>
            <w:pPr>
              <w:spacing w:before="0" w:after="0" w:line="240" w:lineRule="auto"/>
            </w:pPr>
            <w:r/>
            <w:r>
              <w:rPr>
                <w:rFonts w:ascii="Times New Roman" w:hAnsi="Times New Roman" w:cs="Times New Roman"/>
                <w:b w:val="0"/>
                <w:i w:val="0"/>
                <w:sz w:val="18"/>
              </w:rPr>
              <w:t>-0.08 (-13.1 to 12.9)</w:t>
            </w:r>
          </w:p>
        </w:tc>
      </w:tr>
      <w:tr>
        <w:tc>
          <w:tcPr>
            <w:tcW w:type="dxa" w:w="2494"/>
          </w:tcPr>
          <w:p>
            <w:pPr>
              <w:spacing w:before="0" w:after="0" w:line="240" w:lineRule="auto"/>
            </w:pPr>
            <w:r/>
            <w:r>
              <w:rPr>
                <w:rFonts w:ascii="Times New Roman" w:hAnsi="Times New Roman" w:cs="Times New Roman"/>
                <w:b w:val="0"/>
                <w:i w:val="0"/>
                <w:sz w:val="18"/>
              </w:rPr>
              <w:t>Within annotator, repeat round: all events, frames</w:t>
            </w:r>
          </w:p>
        </w:tc>
        <w:tc>
          <w:tcPr>
            <w:tcW w:type="dxa" w:w="510"/>
          </w:tcPr>
          <w:p>
            <w:pPr>
              <w:spacing w:before="0" w:after="0" w:line="240" w:lineRule="auto"/>
            </w:pPr>
            <w:r/>
            <w:r>
              <w:rPr>
                <w:rFonts w:ascii="Times New Roman" w:hAnsi="Times New Roman" w:cs="Times New Roman"/>
                <w:b w:val="0"/>
                <w:i w:val="0"/>
                <w:sz w:val="18"/>
              </w:rPr>
              <w:t>40</w:t>
            </w:r>
          </w:p>
        </w:tc>
        <w:tc>
          <w:tcPr>
            <w:tcW w:type="dxa" w:w="1531"/>
          </w:tcPr>
          <w:p>
            <w:pPr>
              <w:spacing w:before="0" w:after="0" w:line="240" w:lineRule="auto"/>
            </w:pPr>
            <w:r/>
            <w:r>
              <w:rPr>
                <w:rFonts w:ascii="Times New Roman" w:hAnsi="Times New Roman" w:cs="Times New Roman"/>
                <w:b w:val="0"/>
                <w:i w:val="0"/>
                <w:sz w:val="18"/>
              </w:rPr>
              <w:t>2 (1.5-3)</w:t>
            </w:r>
          </w:p>
        </w:tc>
        <w:tc>
          <w:tcPr>
            <w:tcW w:type="dxa" w:w="1247"/>
          </w:tcPr>
          <w:p>
            <w:pPr>
              <w:spacing w:before="0" w:after="0" w:line="240" w:lineRule="auto"/>
            </w:pPr>
            <w:r/>
            <w:r>
              <w:rPr>
                <w:rFonts w:ascii="Times New Roman" w:hAnsi="Times New Roman" w:cs="Times New Roman"/>
                <w:b w:val="0"/>
                <w:i w:val="0"/>
                <w:sz w:val="18"/>
              </w:rPr>
              <w:t>9 / 11</w:t>
            </w:r>
          </w:p>
        </w:tc>
        <w:tc>
          <w:tcPr>
            <w:tcW w:type="dxa" w:w="964"/>
          </w:tcPr>
          <w:p>
            <w:pPr>
              <w:spacing w:before="0" w:after="0" w:line="240" w:lineRule="auto"/>
            </w:pPr>
            <w:r/>
            <w:r>
              <w:rPr>
                <w:rFonts w:ascii="Times New Roman" w:hAnsi="Times New Roman" w:cs="Times New Roman"/>
                <w:b w:val="0"/>
                <w:i w:val="0"/>
                <w:sz w:val="18"/>
              </w:rPr>
              <w:t>12</w:t>
            </w:r>
          </w:p>
        </w:tc>
        <w:tc>
          <w:tcPr>
            <w:tcW w:type="dxa" w:w="1077"/>
          </w:tcPr>
          <w:p>
            <w:pPr>
              <w:spacing w:before="0" w:after="0" w:line="240" w:lineRule="auto"/>
            </w:pPr>
            <w:r/>
            <w:r>
              <w:rPr>
                <w:rFonts w:ascii="Times New Roman" w:hAnsi="Times New Roman" w:cs="Times New Roman"/>
                <w:b w:val="0"/>
                <w:i w:val="0"/>
                <w:sz w:val="18"/>
              </w:rPr>
              <w:t>60</w:t>
            </w:r>
          </w:p>
        </w:tc>
        <w:tc>
          <w:tcPr>
            <w:tcW w:type="dxa" w:w="1757"/>
          </w:tcPr>
          <w:p>
            <w:pPr>
              <w:spacing w:before="0" w:after="0" w:line="240" w:lineRule="auto"/>
            </w:pPr>
            <w:r/>
            <w:r>
              <w:rPr>
                <w:rFonts w:ascii="Times New Roman" w:hAnsi="Times New Roman" w:cs="Times New Roman"/>
                <w:b w:val="0"/>
                <w:i w:val="0"/>
                <w:sz w:val="18"/>
              </w:rPr>
              <w:t>-0.6 (-8.6 to 7.4)</w:t>
            </w:r>
          </w:p>
        </w:tc>
      </w:tr>
      <w:tr>
        <w:tc>
          <w:tcPr>
            <w:tcW w:type="dxa" w:w="2494"/>
          </w:tcPr>
          <w:p>
            <w:pPr>
              <w:spacing w:before="0" w:after="0" w:line="240" w:lineRule="auto"/>
            </w:pPr>
            <w:r/>
            <w:r>
              <w:rPr>
                <w:rFonts w:ascii="Times New Roman" w:hAnsi="Times New Roman" w:cs="Times New Roman"/>
                <w:b w:val="0"/>
                <w:i w:val="0"/>
                <w:sz w:val="18"/>
              </w:rPr>
              <w:t>Between annotators: clubhead clicks, px</w:t>
            </w:r>
          </w:p>
        </w:tc>
        <w:tc>
          <w:tcPr>
            <w:tcW w:type="dxa" w:w="510"/>
          </w:tcPr>
          <w:p>
            <w:pPr>
              <w:spacing w:before="0" w:after="0" w:line="240" w:lineRule="auto"/>
            </w:pPr>
            <w:r/>
            <w:r>
              <w:rPr>
                <w:rFonts w:ascii="Times New Roman" w:hAnsi="Times New Roman" w:cs="Times New Roman"/>
                <w:b w:val="0"/>
                <w:i w:val="0"/>
                <w:sz w:val="18"/>
              </w:rPr>
              <w:t>150</w:t>
            </w:r>
          </w:p>
        </w:tc>
        <w:tc>
          <w:tcPr>
            <w:tcW w:type="dxa" w:w="1531"/>
          </w:tcPr>
          <w:p>
            <w:pPr>
              <w:spacing w:before="0" w:after="0" w:line="240" w:lineRule="auto"/>
            </w:pPr>
            <w:r/>
            <w:r>
              <w:rPr>
                <w:rFonts w:ascii="Times New Roman" w:hAnsi="Times New Roman" w:cs="Times New Roman"/>
                <w:b w:val="0"/>
                <w:i w:val="0"/>
                <w:sz w:val="18"/>
              </w:rPr>
              <w:t>73.3 (69-81.3)</w:t>
            </w:r>
          </w:p>
        </w:tc>
        <w:tc>
          <w:tcPr>
            <w:tcW w:type="dxa" w:w="1247"/>
          </w:tcPr>
          <w:p>
            <w:pPr>
              <w:spacing w:before="0" w:after="0" w:line="240" w:lineRule="auto"/>
            </w:pPr>
            <w:r/>
            <w:r>
              <w:rPr>
                <w:rFonts w:ascii="Times New Roman" w:hAnsi="Times New Roman" w:cs="Times New Roman"/>
                <w:b w:val="0"/>
                <w:i w:val="0"/>
                <w:sz w:val="18"/>
              </w:rPr>
              <w:t>183.3 / 219.4</w:t>
            </w:r>
          </w:p>
        </w:tc>
        <w:tc>
          <w:tcPr>
            <w:tcW w:type="dxa" w:w="964"/>
          </w:tcPr>
          <w:p>
            <w:pPr>
              <w:spacing w:before="0" w:after="0" w:line="240" w:lineRule="auto"/>
            </w:pPr>
            <w:r/>
            <w:r>
              <w:rPr>
                <w:rFonts w:ascii="Times New Roman" w:hAnsi="Times New Roman" w:cs="Times New Roman"/>
                <w:b w:val="0"/>
                <w:i w:val="0"/>
                <w:sz w:val="18"/>
              </w:rPr>
              <w:t>-</w:t>
            </w:r>
          </w:p>
        </w:tc>
        <w:tc>
          <w:tcPr>
            <w:tcW w:type="dxa" w:w="1077"/>
          </w:tcPr>
          <w:p>
            <w:pPr>
              <w:spacing w:before="0" w:after="0" w:line="240" w:lineRule="auto"/>
            </w:pPr>
            <w:r/>
            <w:r>
              <w:rPr>
                <w:rFonts w:ascii="Times New Roman" w:hAnsi="Times New Roman" w:cs="Times New Roman"/>
                <w:b w:val="0"/>
                <w:i w:val="0"/>
                <w:sz w:val="18"/>
              </w:rPr>
              <w:t>-</w:t>
            </w:r>
          </w:p>
        </w:tc>
        <w:tc>
          <w:tcPr>
            <w:tcW w:type="dxa" w:w="1757"/>
          </w:tcPr>
          <w:p>
            <w:pPr>
              <w:spacing w:before="0" w:after="0" w:line="240" w:lineRule="auto"/>
            </w:pPr>
            <w:r/>
            <w:r>
              <w:rPr>
                <w:rFonts w:ascii="Times New Roman" w:hAnsi="Times New Roman" w:cs="Times New Roman"/>
                <w:b w:val="0"/>
                <w:i w:val="0"/>
                <w:sz w:val="18"/>
              </w:rPr>
              <w:t>104 pairs &gt; 50 px</w:t>
            </w:r>
          </w:p>
        </w:tc>
      </w:tr>
      <w:tr>
        <w:tc>
          <w:tcPr>
            <w:tcW w:type="dxa" w:w="2494"/>
          </w:tcPr>
          <w:p>
            <w:pPr>
              <w:spacing w:before="0" w:after="0" w:line="240" w:lineRule="auto"/>
            </w:pPr>
            <w:r/>
            <w:r>
              <w:rPr>
                <w:rFonts w:ascii="Times New Roman" w:hAnsi="Times New Roman" w:cs="Times New Roman"/>
                <w:b w:val="0"/>
                <w:i w:val="0"/>
                <w:sz w:val="18"/>
              </w:rPr>
              <w:t>Within annotator, repeat round: clubhead clicks, px</w:t>
            </w:r>
          </w:p>
        </w:tc>
        <w:tc>
          <w:tcPr>
            <w:tcW w:type="dxa" w:w="510"/>
          </w:tcPr>
          <w:p>
            <w:pPr>
              <w:spacing w:before="0" w:after="0" w:line="240" w:lineRule="auto"/>
            </w:pPr>
            <w:r/>
            <w:r>
              <w:rPr>
                <w:rFonts w:ascii="Times New Roman" w:hAnsi="Times New Roman" w:cs="Times New Roman"/>
                <w:b w:val="0"/>
                <w:i w:val="0"/>
                <w:sz w:val="18"/>
              </w:rPr>
              <w:t>60</w:t>
            </w:r>
          </w:p>
        </w:tc>
        <w:tc>
          <w:tcPr>
            <w:tcW w:type="dxa" w:w="1531"/>
          </w:tcPr>
          <w:p>
            <w:pPr>
              <w:spacing w:before="0" w:after="0" w:line="240" w:lineRule="auto"/>
            </w:pPr>
            <w:r/>
            <w:r>
              <w:rPr>
                <w:rFonts w:ascii="Times New Roman" w:hAnsi="Times New Roman" w:cs="Times New Roman"/>
                <w:b w:val="0"/>
                <w:i w:val="0"/>
                <w:sz w:val="18"/>
              </w:rPr>
              <w:t>72.6 (65.8-86.3)</w:t>
            </w:r>
          </w:p>
        </w:tc>
        <w:tc>
          <w:tcPr>
            <w:tcW w:type="dxa" w:w="1247"/>
          </w:tcPr>
          <w:p>
            <w:pPr>
              <w:spacing w:before="0" w:after="0" w:line="240" w:lineRule="auto"/>
            </w:pPr>
            <w:r/>
            <w:r>
              <w:rPr>
                <w:rFonts w:ascii="Times New Roman" w:hAnsi="Times New Roman" w:cs="Times New Roman"/>
                <w:b w:val="0"/>
                <w:i w:val="0"/>
                <w:sz w:val="18"/>
              </w:rPr>
              <w:t>186.3 / 211.2</w:t>
            </w:r>
          </w:p>
        </w:tc>
        <w:tc>
          <w:tcPr>
            <w:tcW w:type="dxa" w:w="964"/>
          </w:tcPr>
          <w:p>
            <w:pPr>
              <w:spacing w:before="0" w:after="0" w:line="240" w:lineRule="auto"/>
            </w:pPr>
            <w:r/>
            <w:r>
              <w:rPr>
                <w:rFonts w:ascii="Times New Roman" w:hAnsi="Times New Roman" w:cs="Times New Roman"/>
                <w:b w:val="0"/>
                <w:i w:val="0"/>
                <w:sz w:val="18"/>
              </w:rPr>
              <w:t>-</w:t>
            </w:r>
          </w:p>
        </w:tc>
        <w:tc>
          <w:tcPr>
            <w:tcW w:type="dxa" w:w="1077"/>
          </w:tcPr>
          <w:p>
            <w:pPr>
              <w:spacing w:before="0" w:after="0" w:line="240" w:lineRule="auto"/>
            </w:pPr>
            <w:r/>
            <w:r>
              <w:rPr>
                <w:rFonts w:ascii="Times New Roman" w:hAnsi="Times New Roman" w:cs="Times New Roman"/>
                <w:b w:val="0"/>
                <w:i w:val="0"/>
                <w:sz w:val="18"/>
              </w:rPr>
              <w:t>-</w:t>
            </w:r>
          </w:p>
        </w:tc>
        <w:tc>
          <w:tcPr>
            <w:tcW w:type="dxa" w:w="1757"/>
          </w:tcPr>
          <w:p>
            <w:pPr>
              <w:spacing w:before="0" w:after="0" w:line="240" w:lineRule="auto"/>
            </w:pPr>
            <w:r/>
            <w:r>
              <w:rPr>
                <w:rFonts w:ascii="Times New Roman" w:hAnsi="Times New Roman" w:cs="Times New Roman"/>
                <w:b w:val="0"/>
                <w:i w:val="0"/>
                <w:sz w:val="18"/>
              </w:rPr>
              <w:t>43 pairs &gt; 50 px</w:t>
            </w:r>
          </w:p>
        </w:tc>
      </w:tr>
    </w:tbl>
    <w:p>
      <w:pPr>
        <w:spacing w:after="120"/>
        <w:ind w:firstLine="0"/>
        <w:jc w:val="center"/>
      </w:pPr>
      <w:r>
        <w:rPr>
          <w:rFonts w:ascii="Times New Roman" w:hAnsi="Times New Roman" w:cs="Times New Roman"/>
          <w:b/>
          <w:i/>
          <w:sz w:val="16"/>
        </w:rPr>
        <w:t>Source: compiled by the authors; human annotation only; confidence intervals resample sessions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4217141"/>
            <wp:docPr id="12" name="Picture 12"/>
            <wp:cNvGraphicFramePr>
              <a:graphicFrameLocks noChangeAspect="1"/>
            </wp:cNvGraphicFramePr>
            <a:graphic>
              <a:graphicData uri="http://schemas.openxmlformats.org/drawingml/2006/picture">
                <pic:pic>
                  <pic:nvPicPr>
                    <pic:cNvPr id="0" name="fig_annotation_agreement.png"/>
                    <pic:cNvPicPr/>
                  </pic:nvPicPr>
                  <pic:blipFill>
                    <a:blip r:embed="rId25"/>
                    <a:stretch>
                      <a:fillRect/>
                    </a:stretch>
                  </pic:blipFill>
                  <pic:spPr>
                    <a:xfrm>
                      <a:off x="0" y="0"/>
                      <a:ext cx="2951999" cy="4217141"/>
                    </a:xfrm>
                    <a:prstGeom prst="rect"/>
                  </pic:spPr>
                </pic:pic>
              </a:graphicData>
            </a:graphic>
          </wp:inline>
        </w:drawing>
      </w:r>
    </w:p>
    <w:p>
      <w:pPr>
        <w:keepNext/>
        <w:ind w:firstLine="0"/>
        <w:jc w:val="center"/>
      </w:pPr>
      <w:r>
        <w:rPr>
          <w:rFonts w:ascii="Times New Roman" w:hAnsi="Times New Roman" w:cs="Times New Roman"/>
          <w:b w:val="0"/>
          <w:i/>
          <w:sz w:val="22"/>
        </w:rPr>
        <w:t xml:space="preserve">Fig. 3. </w:t>
      </w:r>
      <w:r>
        <w:rPr>
          <w:rFonts w:ascii="Times New Roman" w:hAnsi="Times New Roman" w:cs="Times New Roman"/>
          <w:b/>
          <w:i w:val="0"/>
          <w:sz w:val="22"/>
        </w:rPr>
        <w:t>Human annotation agreement between and within annotators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Time-base audit and event disagreement</w:t>
      </w:r>
    </w:p>
    <w:p>
      <w:pPr>
        <w:spacing w:before="0" w:after="0" w:line="240" w:lineRule="auto"/>
        <w:ind w:firstLine="425"/>
        <w:jc w:val="both"/>
      </w:pPr>
      <w:r>
        <w:rPr>
          <w:rFonts w:ascii="Times New Roman" w:hAnsi="Times New Roman" w:cs="Times New Roman"/>
          <w:b w:val="0"/>
          <w:i w:val="0"/>
          <w:sz w:val="22"/>
        </w:rPr>
        <w:t>Decoded video and landmark frame counts matched in 24 of 25 sessions; the remaining session differed by one frame. Twelve videos had non-uniform presentation intervals, and no session contained a non-monotonic timestamp step. Manual annotation times differed from decoded presentation times by at most 19.6 ms, and the landmark-time grid differed from the decoded grid by at most 66.7 ms over common frames. These discrepancies are two orders of magnitude smaller than the observed event disagreement, although frame-based reporting remains primary and source-to-processed-video alignment could not be audited without the original source files.</w:t>
      </w:r>
    </w:p>
    <w:p>
      <w:pPr>
        <w:spacing w:before="0" w:after="0" w:line="240" w:lineRule="auto"/>
        <w:ind w:firstLine="425"/>
        <w:jc w:val="both"/>
      </w:pPr>
      <w:r>
        <w:rPr>
          <w:rFonts w:ascii="Times New Roman" w:hAnsi="Times New Roman" w:cs="Times New Roman"/>
          <w:b w:val="0"/>
          <w:i w:val="0"/>
          <w:sz w:val="22"/>
        </w:rPr>
        <w:t>The transition proxy fired a median 38 frames early relative to the consensus top of backswing and 40 frames early relative to the consensus downswing transition; the impact output fired a median 40 frames early (Table 4; Fig. 4). Median absolute errors were 780 ms (95% CI 700-1635 ms), 940 ms (660-1919 ms), and 800 ms (660-1022 ms), respectively. Mean biases were -1699, -1824, and -1728 ms, with standard deviations near 2000 ms, 95th percentile absolute errors between 4698 and 5217 ms, and limits of agreement spanning roughly -6100 to +2700 ms. Of the 75 comparisons, 73 were early and 2 late; the smallest absolute error was 14 frames, the median 39 frames, and the largest 531 frames. Figure 4 shows that most outputs lie far below the identity line. This disagreement is about ten times the inter-rater event disagreement of 4 frames and cannot be attributed to reference uncertainty or to time-base misalignment; it is an end-to-end disagreement of the current processed output with the consensus definitions, and it does not by itself localize the fault to a single detector component.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4. </w:t>
      </w:r>
      <w:r>
        <w:rPr>
          <w:rFonts w:ascii="Times New Roman" w:hAnsi="Times New Roman" w:cs="Times New Roman"/>
          <w:b/>
          <w:i w:val="0"/>
          <w:sz w:val="22"/>
        </w:rPr>
        <w:t>Event-frame agreement with the consensus reference</w:t>
      </w:r>
    </w:p>
    <w:tbl>
      <w:tblPr>
        <w:tblStyle w:val="aff2"/>
        <w:tblW w:type="auto" w:w="0"/>
        <w:jc w:val="center"/>
        <w:tblLayout w:type="fixed"/>
        <w:tblLook w:firstColumn="1" w:firstRow="1" w:lastColumn="0" w:lastRow="0" w:noHBand="0" w:noVBand="1" w:val="04A0"/>
      </w:tblPr>
      <w:tblGrid>
        <w:gridCol w:w="2494"/>
        <w:gridCol w:w="567"/>
        <w:gridCol w:w="2381"/>
        <w:gridCol w:w="4139"/>
      </w:tblGrid>
      <w:tr>
        <w:trPr>
          <w:tblHeader/>
        </w:trPr>
        <w:tc>
          <w:tcPr>
            <w:tcW w:type="dxa" w:w="2494"/>
          </w:tcPr>
          <w:p>
            <w:pPr>
              <w:spacing w:before="0" w:after="0" w:line="240" w:lineRule="auto"/>
            </w:pPr>
            <w:r/>
            <w:r>
              <w:rPr>
                <w:rFonts w:ascii="Times New Roman" w:hAnsi="Times New Roman" w:cs="Times New Roman"/>
                <w:b/>
                <w:i w:val="0"/>
                <w:sz w:val="18"/>
              </w:rPr>
              <w:t>Auto / manual</w:t>
            </w:r>
          </w:p>
        </w:tc>
        <w:tc>
          <w:tcPr>
            <w:tcW w:type="dxa" w:w="567"/>
          </w:tcPr>
          <w:p>
            <w:pPr>
              <w:spacing w:before="0" w:after="0" w:line="240" w:lineRule="auto"/>
            </w:pPr>
            <w:r/>
            <w:r>
              <w:rPr>
                <w:rFonts w:ascii="Times New Roman" w:hAnsi="Times New Roman" w:cs="Times New Roman"/>
                <w:b/>
                <w:i w:val="0"/>
                <w:sz w:val="18"/>
              </w:rPr>
              <w:t>n</w:t>
            </w:r>
          </w:p>
        </w:tc>
        <w:tc>
          <w:tcPr>
            <w:tcW w:type="dxa" w:w="2381"/>
          </w:tcPr>
          <w:p>
            <w:pPr>
              <w:spacing w:before="0" w:after="0" w:line="240" w:lineRule="auto"/>
            </w:pPr>
            <w:r/>
            <w:r>
              <w:rPr>
                <w:rFonts w:ascii="Times New Roman" w:hAnsi="Times New Roman" w:cs="Times New Roman"/>
                <w:b/>
                <w:i w:val="0"/>
                <w:sz w:val="18"/>
              </w:rPr>
              <w:t>Median |error|, frames</w:t>
            </w:r>
          </w:p>
        </w:tc>
        <w:tc>
          <w:tcPr>
            <w:tcW w:type="dxa" w:w="4139"/>
          </w:tcPr>
          <w:p>
            <w:pPr>
              <w:spacing w:before="0" w:after="0" w:line="240" w:lineRule="auto"/>
            </w:pPr>
            <w:r/>
            <w:r>
              <w:rPr>
                <w:rFonts w:ascii="Times New Roman" w:hAnsi="Times New Roman" w:cs="Times New Roman"/>
                <w:b/>
                <w:i w:val="0"/>
                <w:sz w:val="18"/>
              </w:rPr>
              <w:t>Median |error|, ms (95% CI)</w:t>
            </w:r>
          </w:p>
        </w:tc>
      </w:tr>
      <w:tr>
        <w:tc>
          <w:tcPr>
            <w:tcW w:type="dxa" w:w="2494"/>
          </w:tcPr>
          <w:p>
            <w:pPr>
              <w:spacing w:before="0" w:after="0" w:line="240" w:lineRule="auto"/>
            </w:pPr>
            <w:r/>
            <w:r>
              <w:rPr>
                <w:rFonts w:ascii="Times New Roman" w:hAnsi="Times New Roman" w:cs="Times New Roman"/>
                <w:b w:val="0"/>
                <w:i w:val="0"/>
                <w:sz w:val="18"/>
              </w:rPr>
              <w:t>Transition / top</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38</w:t>
            </w:r>
          </w:p>
        </w:tc>
        <w:tc>
          <w:tcPr>
            <w:tcW w:type="dxa" w:w="4139"/>
          </w:tcPr>
          <w:p>
            <w:pPr>
              <w:spacing w:before="0" w:after="0" w:line="240" w:lineRule="auto"/>
            </w:pPr>
            <w:r/>
            <w:r>
              <w:rPr>
                <w:rFonts w:ascii="Times New Roman" w:hAnsi="Times New Roman" w:cs="Times New Roman"/>
                <w:b w:val="0"/>
                <w:i w:val="0"/>
                <w:sz w:val="18"/>
              </w:rPr>
              <w:t>780 (700–1635)</w:t>
            </w:r>
          </w:p>
        </w:tc>
      </w:tr>
      <w:tr>
        <w:tc>
          <w:tcPr>
            <w:tcW w:type="dxa" w:w="2494"/>
          </w:tcPr>
          <w:p>
            <w:pPr>
              <w:spacing w:before="0" w:after="0" w:line="240" w:lineRule="auto"/>
            </w:pPr>
            <w:r/>
            <w:r>
              <w:rPr>
                <w:rFonts w:ascii="Times New Roman" w:hAnsi="Times New Roman" w:cs="Times New Roman"/>
                <w:b w:val="0"/>
                <w:i w:val="0"/>
                <w:sz w:val="18"/>
              </w:rPr>
              <w:t>Transition / transition</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40</w:t>
            </w:r>
          </w:p>
        </w:tc>
        <w:tc>
          <w:tcPr>
            <w:tcW w:type="dxa" w:w="4139"/>
          </w:tcPr>
          <w:p>
            <w:pPr>
              <w:spacing w:before="0" w:after="0" w:line="240" w:lineRule="auto"/>
            </w:pPr>
            <w:r/>
            <w:r>
              <w:rPr>
                <w:rFonts w:ascii="Times New Roman" w:hAnsi="Times New Roman" w:cs="Times New Roman"/>
                <w:b w:val="0"/>
                <w:i w:val="0"/>
                <w:sz w:val="18"/>
              </w:rPr>
              <w:t>940 (660–1919)</w:t>
            </w:r>
          </w:p>
        </w:tc>
      </w:tr>
      <w:tr>
        <w:tc>
          <w:tcPr>
            <w:tcW w:type="dxa" w:w="2494"/>
          </w:tcPr>
          <w:p>
            <w:pPr>
              <w:spacing w:before="0" w:after="0" w:line="240" w:lineRule="auto"/>
            </w:pPr>
            <w:r/>
            <w:r>
              <w:rPr>
                <w:rFonts w:ascii="Times New Roman" w:hAnsi="Times New Roman" w:cs="Times New Roman"/>
                <w:b w:val="0"/>
                <w:i w:val="0"/>
                <w:sz w:val="18"/>
              </w:rPr>
              <w:t>Impact / impact</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40</w:t>
            </w:r>
          </w:p>
        </w:tc>
        <w:tc>
          <w:tcPr>
            <w:tcW w:type="dxa" w:w="4139"/>
          </w:tcPr>
          <w:p>
            <w:pPr>
              <w:spacing w:before="0" w:after="0" w:line="240" w:lineRule="auto"/>
            </w:pPr>
            <w:r/>
            <w:r>
              <w:rPr>
                <w:rFonts w:ascii="Times New Roman" w:hAnsi="Times New Roman" w:cs="Times New Roman"/>
                <w:b w:val="0"/>
                <w:i w:val="0"/>
                <w:sz w:val="18"/>
              </w:rPr>
              <w:t>800 (660–1022)</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2951999"/>
            <wp:docPr id="13" name="Picture 13"/>
            <wp:cNvGraphicFramePr>
              <a:graphicFrameLocks noChangeAspect="1"/>
            </wp:cNvGraphicFramePr>
            <a:graphic>
              <a:graphicData uri="http://schemas.openxmlformats.org/drawingml/2006/picture">
                <pic:pic>
                  <pic:nvPicPr>
                    <pic:cNvPr id="0" name="fig_event_frame_identity.png"/>
                    <pic:cNvPicPr/>
                  </pic:nvPicPr>
                  <pic:blipFill>
                    <a:blip r:embed="rId26"/>
                    <a:stretch>
                      <a:fillRect/>
                    </a:stretch>
                  </pic:blipFill>
                  <pic:spPr>
                    <a:xfrm>
                      <a:off x="0" y="0"/>
                      <a:ext cx="2951999" cy="2951999"/>
                    </a:xfrm>
                    <a:prstGeom prst="rect"/>
                  </pic:spPr>
                </pic:pic>
              </a:graphicData>
            </a:graphic>
          </wp:inline>
        </w:drawing>
      </w:r>
    </w:p>
    <w:p>
      <w:pPr>
        <w:keepNext/>
        <w:ind w:firstLine="0"/>
        <w:jc w:val="center"/>
      </w:pPr>
      <w:r>
        <w:rPr>
          <w:rFonts w:ascii="Times New Roman" w:hAnsi="Times New Roman" w:cs="Times New Roman"/>
          <w:b w:val="0"/>
          <w:i/>
          <w:sz w:val="22"/>
        </w:rPr>
        <w:t xml:space="preserve">Fig. 4. </w:t>
      </w:r>
      <w:r>
        <w:rPr>
          <w:rFonts w:ascii="Times New Roman" w:hAnsi="Times New Roman" w:cs="Times New Roman"/>
          <w:b/>
          <w:i w:val="0"/>
          <w:sz w:val="22"/>
        </w:rPr>
        <w:t>Automatic versus manual consensus event frames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Clubhead localization agreement and failure tail</w:t>
      </w:r>
    </w:p>
    <w:p>
      <w:pPr>
        <w:spacing w:before="0" w:after="0" w:line="240" w:lineRule="auto"/>
        <w:ind w:firstLine="425"/>
        <w:jc w:val="both"/>
      </w:pPr>
      <w:r>
        <w:rPr>
          <w:rFonts w:ascii="Times New Roman" w:hAnsi="Times New Roman" w:cs="Times New Roman"/>
          <w:b w:val="0"/>
          <w:i w:val="0"/>
          <w:sz w:val="22"/>
        </w:rPr>
        <w:t>Across 25 session-specific medians, the clubhead discrepancy with the consensus was 46.2 pixels (95% CI 41.4-51.9 pixels), or 2.54% of the image diagonal (1.98-2.88%). The corresponding model-dependent physical estimate was 13.6 cm. Session-median normalized discrepancy was 1.94% in backswing, 3.25% in transition, 3.32% in downswing, 2.70% near impact, and 2.66% in follow-through (Table 5; Fig. 5). Only eight sessions contributed a transition point, yielding a wide interval.</w:t>
      </w:r>
    </w:p>
    <w:p>
      <w:pPr>
        <w:spacing w:before="0" w:after="0" w:line="240" w:lineRule="auto"/>
        <w:ind w:firstLine="425"/>
        <w:jc w:val="both"/>
      </w:pPr>
      <w:r>
        <w:rPr>
          <w:rFonts w:ascii="Times New Roman" w:hAnsi="Times New Roman" w:cs="Times New Roman"/>
          <w:b w:val="0"/>
          <w:i w:val="0"/>
          <w:sz w:val="22"/>
        </w:rPr>
        <w:t>This discrepancy is smaller than the reference's own precision: the median algorithm-consensus distance of 44.4 pixels at point level is below the 77.1-pixel median disagreement between the two annotators on the same frames. A sensitivity check against annotator A's round-1 clicks alone gave a session-level median of 14.8 pixels, or 0.78% of the diagonal, and the consensus lies a median 38.6 pixels from those clicks - approximately half the inter-rater disagreement, as the mean rule implies. The choice of reference therefore changes the reported magnitude by a factor of about three, which is why the consensus rule is disclosed and why these values are reported as agreement bounded by reference precision rather than as tracker accuracy.</w:t>
      </w:r>
    </w:p>
    <w:p>
      <w:pPr>
        <w:spacing w:before="0" w:after="0" w:line="240" w:lineRule="auto"/>
        <w:ind w:firstLine="425"/>
        <w:jc w:val="both"/>
      </w:pPr>
      <w:r>
        <w:rPr>
          <w:rFonts w:ascii="Times New Roman" w:hAnsi="Times New Roman" w:cs="Times New Roman"/>
          <w:b w:val="0"/>
          <w:i w:val="0"/>
          <w:sz w:val="22"/>
        </w:rPr>
        <w:t>The point-level distribution was right-skewed. Its 95th percentile was 169.1 pixels and its maximum 2492.9 pixels. Twenty-two of 150 points (14.7%) exceeded 100 pixels across 13 sessions; 5 points (3.3%) exceeded 250 pixels across 4 sessions; and 3 points (2.0%) exceeded 500 pixels across 2 sessions. The largest failures were concentrated after impact: follow-through and impact-region point-level 95th percentiles were 498.3 and 361.8 pixels, against 89.8 pixels in backswing. The workflow returned a coordinate at all 150 selected frames, but coordinate availability did not guarantee correct localization. Because frames were selected where the clubhead was visually annotatable, these counts cannot be interpreted as whole-video tracking-success rates.</w:t>
      </w:r>
    </w:p>
    <w:p>
      <w:pPr>
        <w:spacing w:before="0" w:after="0" w:line="240" w:lineRule="auto"/>
        <w:ind w:firstLine="425"/>
        <w:jc w:val="both"/>
      </w:pPr>
      <w:r>
        <w:rPr>
          <w:rFonts w:ascii="Times New Roman" w:hAnsi="Times New Roman" w:cs="Times New Roman"/>
          <w:b w:val="0"/>
          <w:i w:val="0"/>
          <w:sz w:val="22"/>
        </w:rPr>
        <w:t>Exploratory subgroup summaries suggested larger session-median normalized errors at no more than 30 frames/s than at 31-60 frames/s (3.31% versus 2.05%) and below 720 p than at 1080 p or higher (3.70% versus 2.00%). The difficult-quality group had a median of 3.30%, but its four-session confidence interval reached 7.54%. Face-on results were based on only three sessions. These patterns are hypothesis-generating and do not support adjusted or causal comparisons.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5. </w:t>
      </w:r>
      <w:r>
        <w:rPr>
          <w:rFonts w:ascii="Times New Roman" w:hAnsi="Times New Roman" w:cs="Times New Roman"/>
          <w:b/>
          <w:i w:val="0"/>
          <w:sz w:val="22"/>
        </w:rPr>
        <w:t>Clubhead localization agreement with the consensus by swing phase</w:t>
      </w:r>
    </w:p>
    <w:tbl>
      <w:tblPr>
        <w:tblStyle w:val="aff2"/>
        <w:tblW w:type="auto" w:w="0"/>
        <w:jc w:val="center"/>
        <w:tblLayout w:type="fixed"/>
        <w:tblLook w:firstColumn="1" w:firstRow="1" w:lastColumn="0" w:lastRow="0" w:noHBand="0" w:noVBand="1" w:val="04A0"/>
      </w:tblPr>
      <w:tblGrid>
        <w:gridCol w:w="2041"/>
        <w:gridCol w:w="1361"/>
        <w:gridCol w:w="3061"/>
        <w:gridCol w:w="3118"/>
      </w:tblGrid>
      <w:tr>
        <w:trPr>
          <w:tblHeader/>
        </w:trPr>
        <w:tc>
          <w:tcPr>
            <w:tcW w:type="dxa" w:w="2041"/>
          </w:tcPr>
          <w:p>
            <w:pPr>
              <w:spacing w:before="0" w:after="0" w:line="240" w:lineRule="auto"/>
            </w:pPr>
            <w:r/>
            <w:r>
              <w:rPr>
                <w:rFonts w:ascii="Times New Roman" w:hAnsi="Times New Roman" w:cs="Times New Roman"/>
                <w:b/>
                <w:i w:val="0"/>
                <w:sz w:val="18"/>
              </w:rPr>
              <w:t>Phase</w:t>
            </w:r>
          </w:p>
        </w:tc>
        <w:tc>
          <w:tcPr>
            <w:tcW w:type="dxa" w:w="1361"/>
          </w:tcPr>
          <w:p>
            <w:pPr>
              <w:spacing w:before="0" w:after="0" w:line="240" w:lineRule="auto"/>
            </w:pPr>
            <w:r/>
            <w:r>
              <w:rPr>
                <w:rFonts w:ascii="Times New Roman" w:hAnsi="Times New Roman" w:cs="Times New Roman"/>
                <w:b/>
                <w:i w:val="0"/>
                <w:sz w:val="18"/>
              </w:rPr>
              <w:t>n_s / n_p</w:t>
            </w:r>
          </w:p>
        </w:tc>
        <w:tc>
          <w:tcPr>
            <w:tcW w:type="dxa" w:w="3061"/>
          </w:tcPr>
          <w:p>
            <w:pPr>
              <w:spacing w:before="0" w:after="0" w:line="240" w:lineRule="auto"/>
            </w:pPr>
            <w:r/>
            <w:r>
              <w:rPr>
                <w:rFonts w:ascii="Times New Roman" w:hAnsi="Times New Roman" w:cs="Times New Roman"/>
                <w:b/>
                <w:i w:val="0"/>
                <w:sz w:val="18"/>
              </w:rPr>
              <w:t>Median, % diag. (95% CI)</w:t>
            </w:r>
          </w:p>
        </w:tc>
        <w:tc>
          <w:tcPr>
            <w:tcW w:type="dxa" w:w="3118"/>
          </w:tcPr>
          <w:p>
            <w:pPr>
              <w:spacing w:before="0" w:after="0" w:line="240" w:lineRule="auto"/>
            </w:pPr>
            <w:r/>
            <w:r>
              <w:rPr>
                <w:rFonts w:ascii="Times New Roman" w:hAnsi="Times New Roman" w:cs="Times New Roman"/>
                <w:b/>
                <w:i w:val="0"/>
                <w:sz w:val="18"/>
              </w:rPr>
              <w:t>P95 / max, px</w:t>
            </w:r>
          </w:p>
        </w:tc>
      </w:tr>
      <w:tr>
        <w:tc>
          <w:tcPr>
            <w:tcW w:type="dxa" w:w="2041"/>
          </w:tcPr>
          <w:p>
            <w:pPr>
              <w:spacing w:before="0" w:after="0" w:line="240" w:lineRule="auto"/>
            </w:pPr>
            <w:r/>
            <w:r>
              <w:rPr>
                <w:rFonts w:ascii="Times New Roman" w:hAnsi="Times New Roman" w:cs="Times New Roman"/>
                <w:b w:val="0"/>
                <w:i w:val="0"/>
                <w:sz w:val="18"/>
              </w:rPr>
              <w:t>Backswing</w:t>
            </w:r>
          </w:p>
        </w:tc>
        <w:tc>
          <w:tcPr>
            <w:tcW w:type="dxa" w:w="1361"/>
          </w:tcPr>
          <w:p>
            <w:pPr>
              <w:spacing w:before="0" w:after="0" w:line="240" w:lineRule="auto"/>
            </w:pPr>
            <w:r/>
            <w:r>
              <w:rPr>
                <w:rFonts w:ascii="Times New Roman" w:hAnsi="Times New Roman" w:cs="Times New Roman"/>
                <w:b w:val="0"/>
                <w:i w:val="0"/>
                <w:sz w:val="18"/>
              </w:rPr>
              <w:t>25/60</w:t>
            </w:r>
          </w:p>
        </w:tc>
        <w:tc>
          <w:tcPr>
            <w:tcW w:type="dxa" w:w="3061"/>
          </w:tcPr>
          <w:p>
            <w:pPr>
              <w:spacing w:before="0" w:after="0" w:line="240" w:lineRule="auto"/>
            </w:pPr>
            <w:r/>
            <w:r>
              <w:rPr>
                <w:rFonts w:ascii="Times New Roman" w:hAnsi="Times New Roman" w:cs="Times New Roman"/>
                <w:b w:val="0"/>
                <w:i w:val="0"/>
                <w:sz w:val="18"/>
              </w:rPr>
              <w:t>1.94 (1.69–2.26)</w:t>
            </w:r>
          </w:p>
        </w:tc>
        <w:tc>
          <w:tcPr>
            <w:tcW w:type="dxa" w:w="3118"/>
          </w:tcPr>
          <w:p>
            <w:pPr>
              <w:spacing w:before="0" w:after="0" w:line="240" w:lineRule="auto"/>
            </w:pPr>
            <w:r/>
            <w:r>
              <w:rPr>
                <w:rFonts w:ascii="Times New Roman" w:hAnsi="Times New Roman" w:cs="Times New Roman"/>
                <w:b w:val="0"/>
                <w:i w:val="0"/>
                <w:sz w:val="18"/>
              </w:rPr>
              <w:t>89.8 / 120.8</w:t>
            </w:r>
          </w:p>
        </w:tc>
      </w:tr>
      <w:tr>
        <w:tc>
          <w:tcPr>
            <w:tcW w:type="dxa" w:w="2041"/>
          </w:tcPr>
          <w:p>
            <w:pPr>
              <w:spacing w:before="0" w:after="0" w:line="240" w:lineRule="auto"/>
            </w:pPr>
            <w:r/>
            <w:r>
              <w:rPr>
                <w:rFonts w:ascii="Times New Roman" w:hAnsi="Times New Roman" w:cs="Times New Roman"/>
                <w:b w:val="0"/>
                <w:i w:val="0"/>
                <w:sz w:val="18"/>
              </w:rPr>
              <w:t>Transition</w:t>
            </w:r>
          </w:p>
        </w:tc>
        <w:tc>
          <w:tcPr>
            <w:tcW w:type="dxa" w:w="1361"/>
          </w:tcPr>
          <w:p>
            <w:pPr>
              <w:spacing w:before="0" w:after="0" w:line="240" w:lineRule="auto"/>
            </w:pPr>
            <w:r/>
            <w:r>
              <w:rPr>
                <w:rFonts w:ascii="Times New Roman" w:hAnsi="Times New Roman" w:cs="Times New Roman"/>
                <w:b w:val="0"/>
                <w:i w:val="0"/>
                <w:sz w:val="18"/>
              </w:rPr>
              <w:t>8/8</w:t>
            </w:r>
          </w:p>
        </w:tc>
        <w:tc>
          <w:tcPr>
            <w:tcW w:type="dxa" w:w="3061"/>
          </w:tcPr>
          <w:p>
            <w:pPr>
              <w:spacing w:before="0" w:after="0" w:line="240" w:lineRule="auto"/>
            </w:pPr>
            <w:r/>
            <w:r>
              <w:rPr>
                <w:rFonts w:ascii="Times New Roman" w:hAnsi="Times New Roman" w:cs="Times New Roman"/>
                <w:b w:val="0"/>
                <w:i w:val="0"/>
                <w:sz w:val="18"/>
              </w:rPr>
              <w:t>3.25 (2.08–4.53)</w:t>
            </w:r>
          </w:p>
        </w:tc>
        <w:tc>
          <w:tcPr>
            <w:tcW w:type="dxa" w:w="3118"/>
          </w:tcPr>
          <w:p>
            <w:pPr>
              <w:spacing w:before="0" w:after="0" w:line="240" w:lineRule="auto"/>
            </w:pPr>
            <w:r/>
            <w:r>
              <w:rPr>
                <w:rFonts w:ascii="Times New Roman" w:hAnsi="Times New Roman" w:cs="Times New Roman"/>
                <w:b w:val="0"/>
                <w:i w:val="0"/>
                <w:sz w:val="18"/>
              </w:rPr>
              <w:t>94.7 / 98.9</w:t>
            </w:r>
          </w:p>
        </w:tc>
      </w:tr>
      <w:tr>
        <w:tc>
          <w:tcPr>
            <w:tcW w:type="dxa" w:w="2041"/>
          </w:tcPr>
          <w:p>
            <w:pPr>
              <w:spacing w:before="0" w:after="0" w:line="240" w:lineRule="auto"/>
            </w:pPr>
            <w:r/>
            <w:r>
              <w:rPr>
                <w:rFonts w:ascii="Times New Roman" w:hAnsi="Times New Roman" w:cs="Times New Roman"/>
                <w:b w:val="0"/>
                <w:i w:val="0"/>
                <w:sz w:val="18"/>
              </w:rPr>
              <w:t>Downswing</w:t>
            </w:r>
          </w:p>
        </w:tc>
        <w:tc>
          <w:tcPr>
            <w:tcW w:type="dxa" w:w="1361"/>
          </w:tcPr>
          <w:p>
            <w:pPr>
              <w:spacing w:before="0" w:after="0" w:line="240" w:lineRule="auto"/>
            </w:pPr>
            <w:r/>
            <w:r>
              <w:rPr>
                <w:rFonts w:ascii="Times New Roman" w:hAnsi="Times New Roman" w:cs="Times New Roman"/>
                <w:b w:val="0"/>
                <w:i w:val="0"/>
                <w:sz w:val="18"/>
              </w:rPr>
              <w:t>17/26</w:t>
            </w:r>
          </w:p>
        </w:tc>
        <w:tc>
          <w:tcPr>
            <w:tcW w:type="dxa" w:w="3061"/>
          </w:tcPr>
          <w:p>
            <w:pPr>
              <w:spacing w:before="0" w:after="0" w:line="240" w:lineRule="auto"/>
            </w:pPr>
            <w:r/>
            <w:r>
              <w:rPr>
                <w:rFonts w:ascii="Times New Roman" w:hAnsi="Times New Roman" w:cs="Times New Roman"/>
                <w:b w:val="0"/>
                <w:i w:val="0"/>
                <w:sz w:val="18"/>
              </w:rPr>
              <w:t>3.32 (2.20–3.92)</w:t>
            </w:r>
          </w:p>
        </w:tc>
        <w:tc>
          <w:tcPr>
            <w:tcW w:type="dxa" w:w="3118"/>
          </w:tcPr>
          <w:p>
            <w:pPr>
              <w:spacing w:before="0" w:after="0" w:line="240" w:lineRule="auto"/>
            </w:pPr>
            <w:r/>
            <w:r>
              <w:rPr>
                <w:rFonts w:ascii="Times New Roman" w:hAnsi="Times New Roman" w:cs="Times New Roman"/>
                <w:b w:val="0"/>
                <w:i w:val="0"/>
                <w:sz w:val="18"/>
              </w:rPr>
              <w:t>105.3 / 397.3</w:t>
            </w:r>
          </w:p>
        </w:tc>
      </w:tr>
      <w:tr>
        <w:tc>
          <w:tcPr>
            <w:tcW w:type="dxa" w:w="2041"/>
          </w:tcPr>
          <w:p>
            <w:pPr>
              <w:spacing w:before="0" w:after="0" w:line="240" w:lineRule="auto"/>
            </w:pPr>
            <w:r/>
            <w:r>
              <w:rPr>
                <w:rFonts w:ascii="Times New Roman" w:hAnsi="Times New Roman" w:cs="Times New Roman"/>
                <w:b w:val="0"/>
                <w:i w:val="0"/>
                <w:sz w:val="18"/>
              </w:rPr>
              <w:t>Impact region</w:t>
            </w:r>
          </w:p>
        </w:tc>
        <w:tc>
          <w:tcPr>
            <w:tcW w:type="dxa" w:w="1361"/>
          </w:tcPr>
          <w:p>
            <w:pPr>
              <w:spacing w:before="0" w:after="0" w:line="240" w:lineRule="auto"/>
            </w:pPr>
            <w:r/>
            <w:r>
              <w:rPr>
                <w:rFonts w:ascii="Times New Roman" w:hAnsi="Times New Roman" w:cs="Times New Roman"/>
                <w:b w:val="0"/>
                <w:i w:val="0"/>
                <w:sz w:val="18"/>
              </w:rPr>
              <w:t>16/23</w:t>
            </w:r>
          </w:p>
        </w:tc>
        <w:tc>
          <w:tcPr>
            <w:tcW w:type="dxa" w:w="3061"/>
          </w:tcPr>
          <w:p>
            <w:pPr>
              <w:spacing w:before="0" w:after="0" w:line="240" w:lineRule="auto"/>
            </w:pPr>
            <w:r/>
            <w:r>
              <w:rPr>
                <w:rFonts w:ascii="Times New Roman" w:hAnsi="Times New Roman" w:cs="Times New Roman"/>
                <w:b w:val="0"/>
                <w:i w:val="0"/>
                <w:sz w:val="18"/>
              </w:rPr>
              <w:t>2.70 (1.68–6.38)</w:t>
            </w:r>
          </w:p>
        </w:tc>
        <w:tc>
          <w:tcPr>
            <w:tcW w:type="dxa" w:w="3118"/>
          </w:tcPr>
          <w:p>
            <w:pPr>
              <w:spacing w:before="0" w:after="0" w:line="240" w:lineRule="auto"/>
            </w:pPr>
            <w:r/>
            <w:r>
              <w:rPr>
                <w:rFonts w:ascii="Times New Roman" w:hAnsi="Times New Roman" w:cs="Times New Roman"/>
                <w:b w:val="0"/>
                <w:i w:val="0"/>
                <w:sz w:val="18"/>
              </w:rPr>
              <w:t>361.8 / 2103.0</w:t>
            </w:r>
          </w:p>
        </w:tc>
      </w:tr>
      <w:tr>
        <w:tc>
          <w:tcPr>
            <w:tcW w:type="dxa" w:w="2041"/>
          </w:tcPr>
          <w:p>
            <w:pPr>
              <w:spacing w:before="0" w:after="0" w:line="240" w:lineRule="auto"/>
            </w:pPr>
            <w:r/>
            <w:r>
              <w:rPr>
                <w:rFonts w:ascii="Times New Roman" w:hAnsi="Times New Roman" w:cs="Times New Roman"/>
                <w:b w:val="0"/>
                <w:i w:val="0"/>
                <w:sz w:val="18"/>
              </w:rPr>
              <w:t>Follow-through</w:t>
            </w:r>
          </w:p>
        </w:tc>
        <w:tc>
          <w:tcPr>
            <w:tcW w:type="dxa" w:w="1361"/>
          </w:tcPr>
          <w:p>
            <w:pPr>
              <w:spacing w:before="0" w:after="0" w:line="240" w:lineRule="auto"/>
            </w:pPr>
            <w:r/>
            <w:r>
              <w:rPr>
                <w:rFonts w:ascii="Times New Roman" w:hAnsi="Times New Roman" w:cs="Times New Roman"/>
                <w:b w:val="0"/>
                <w:i w:val="0"/>
                <w:sz w:val="18"/>
              </w:rPr>
              <w:t>22/33</w:t>
            </w:r>
          </w:p>
        </w:tc>
        <w:tc>
          <w:tcPr>
            <w:tcW w:type="dxa" w:w="3061"/>
          </w:tcPr>
          <w:p>
            <w:pPr>
              <w:spacing w:before="0" w:after="0" w:line="240" w:lineRule="auto"/>
            </w:pPr>
            <w:r/>
            <w:r>
              <w:rPr>
                <w:rFonts w:ascii="Times New Roman" w:hAnsi="Times New Roman" w:cs="Times New Roman"/>
                <w:b w:val="0"/>
                <w:i w:val="0"/>
                <w:sz w:val="18"/>
              </w:rPr>
              <w:t>2.66 (1.61–3.76)</w:t>
            </w:r>
          </w:p>
        </w:tc>
        <w:tc>
          <w:tcPr>
            <w:tcW w:type="dxa" w:w="3118"/>
          </w:tcPr>
          <w:p>
            <w:pPr>
              <w:spacing w:before="0" w:after="0" w:line="240" w:lineRule="auto"/>
            </w:pPr>
            <w:r/>
            <w:r>
              <w:rPr>
                <w:rFonts w:ascii="Times New Roman" w:hAnsi="Times New Roman" w:cs="Times New Roman"/>
                <w:b w:val="0"/>
                <w:i w:val="0"/>
                <w:sz w:val="18"/>
              </w:rPr>
              <w:t>498.3 / 2492.9</w:t>
            </w:r>
          </w:p>
        </w:tc>
      </w:tr>
      <w:tr>
        <w:tc>
          <w:tcPr>
            <w:tcW w:type="dxa" w:w="2041"/>
          </w:tcPr>
          <w:p>
            <w:pPr>
              <w:spacing w:before="0" w:after="0" w:line="240" w:lineRule="auto"/>
            </w:pPr>
            <w:r/>
            <w:r>
              <w:rPr>
                <w:rFonts w:ascii="Times New Roman" w:hAnsi="Times New Roman" w:cs="Times New Roman"/>
                <w:b w:val="0"/>
                <w:i w:val="0"/>
                <w:sz w:val="18"/>
              </w:rPr>
              <w:t>All phases</w:t>
            </w:r>
          </w:p>
        </w:tc>
        <w:tc>
          <w:tcPr>
            <w:tcW w:type="dxa" w:w="1361"/>
          </w:tcPr>
          <w:p>
            <w:pPr>
              <w:spacing w:before="0" w:after="0" w:line="240" w:lineRule="auto"/>
            </w:pPr>
            <w:r/>
            <w:r>
              <w:rPr>
                <w:rFonts w:ascii="Times New Roman" w:hAnsi="Times New Roman" w:cs="Times New Roman"/>
                <w:b w:val="0"/>
                <w:i w:val="0"/>
                <w:sz w:val="18"/>
              </w:rPr>
              <w:t>25/150</w:t>
            </w:r>
          </w:p>
        </w:tc>
        <w:tc>
          <w:tcPr>
            <w:tcW w:type="dxa" w:w="3061"/>
          </w:tcPr>
          <w:p>
            <w:pPr>
              <w:spacing w:before="0" w:after="0" w:line="240" w:lineRule="auto"/>
            </w:pPr>
            <w:r/>
            <w:r>
              <w:rPr>
                <w:rFonts w:ascii="Times New Roman" w:hAnsi="Times New Roman" w:cs="Times New Roman"/>
                <w:b w:val="0"/>
                <w:i w:val="0"/>
                <w:sz w:val="18"/>
              </w:rPr>
              <w:t>2.54 (1.98–2.88)</w:t>
            </w:r>
          </w:p>
        </w:tc>
        <w:tc>
          <w:tcPr>
            <w:tcW w:type="dxa" w:w="3118"/>
          </w:tcPr>
          <w:p>
            <w:pPr>
              <w:spacing w:before="0" w:after="0" w:line="240" w:lineRule="auto"/>
            </w:pPr>
            <w:r/>
            <w:r>
              <w:rPr>
                <w:rFonts w:ascii="Times New Roman" w:hAnsi="Times New Roman" w:cs="Times New Roman"/>
                <w:b w:val="0"/>
                <w:i w:val="0"/>
                <w:sz w:val="18"/>
              </w:rPr>
              <w:t>169.1 / 2492.9</w:t>
            </w:r>
          </w:p>
        </w:tc>
      </w:tr>
    </w:tbl>
    <w:p>
      <w:pPr>
        <w:spacing w:after="120"/>
        <w:ind w:firstLine="0"/>
        <w:jc w:val="center"/>
      </w:pPr>
      <w:r>
        <w:rPr>
          <w:rFonts w:ascii="Times New Roman" w:hAnsi="Times New Roman" w:cs="Times New Roman"/>
          <w:b/>
          <w:i/>
          <w:sz w:val="16"/>
        </w:rPr>
        <w:t>Source: compiled by the authors; n_s - sessions; n_p - points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136499"/>
            <wp:docPr id="14" name="Picture 14"/>
            <wp:cNvGraphicFramePr>
              <a:graphicFrameLocks noChangeAspect="1"/>
            </wp:cNvGraphicFramePr>
            <a:graphic>
              <a:graphicData uri="http://schemas.openxmlformats.org/drawingml/2006/picture">
                <pic:pic>
                  <pic:nvPicPr>
                    <pic:cNvPr id="0" name="fig_trajectory_error_by_phase.png"/>
                    <pic:cNvPicPr/>
                  </pic:nvPicPr>
                  <pic:blipFill>
                    <a:blip r:embed="rId27"/>
                    <a:stretch>
                      <a:fillRect/>
                    </a:stretch>
                  </pic:blipFill>
                  <pic:spPr>
                    <a:xfrm>
                      <a:off x="0" y="0"/>
                      <a:ext cx="2951999" cy="3136499"/>
                    </a:xfrm>
                    <a:prstGeom prst="rect"/>
                  </pic:spPr>
                </pic:pic>
              </a:graphicData>
            </a:graphic>
          </wp:inline>
        </w:drawing>
      </w:r>
    </w:p>
    <w:p>
      <w:pPr>
        <w:keepNext/>
        <w:ind w:firstLine="0"/>
        <w:jc w:val="center"/>
      </w:pPr>
      <w:r>
        <w:rPr>
          <w:rFonts w:ascii="Times New Roman" w:hAnsi="Times New Roman" w:cs="Times New Roman"/>
          <w:b w:val="0"/>
          <w:i/>
          <w:sz w:val="22"/>
        </w:rPr>
        <w:t xml:space="preserve">Fig. 5. </w:t>
      </w:r>
      <w:r>
        <w:rPr>
          <w:rFonts w:ascii="Times New Roman" w:hAnsi="Times New Roman" w:cs="Times New Roman"/>
          <w:b/>
          <w:i w:val="0"/>
          <w:sz w:val="22"/>
        </w:rPr>
        <w:t>Session-level clubhead agreement by swing phase</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in all 12 scenarios; individual metrics were undefined in up to three sessions per scenario, so scenario-level counts range from 68 to 71. Path efficiency and smoothness index had the lowest overall response, with medians across scenarios of 5.9% and 6.2% and worst scenarios of 24.8% under the larger jitter dose and 15.1% under combined degradation; both had 7 low-response and 5 moderate-response scenarios and no high-response scenario (Table 6; Fig. 6). Maximum angular velocity and maximum speed followed at 17.0% and 18.7%, each with six high-response scenarios, and maximum acceleration at 26.0%. Curvature RMS, backswing peak speed, and swing tempo were the most responsive, with medians of 39.6%, 53.6%, and 74.4% and worst scenarios of 157.4%, 179.8%, and 160.7%.</w:t>
      </w:r>
    </w:p>
    <w:p>
      <w:pPr>
        <w:spacing w:before="0" w:after="0" w:line="240" w:lineRule="auto"/>
        <w:ind w:firstLine="425"/>
        <w:jc w:val="both"/>
      </w:pPr>
      <w:r>
        <w:rPr>
          <w:rFonts w:ascii="Times New Roman" w:hAnsi="Times New Roman" w:cs="Times New Roman"/>
          <w:b w:val="0"/>
          <w:i w:val="0"/>
          <w:sz w:val="22"/>
        </w:rPr>
        <w:t>Magnitude response and rank preservation were not interchangeable. Curvature RMS and maximum angular velocity retained median Spearman correlations of 0.93 and 0.81 despite the largest magnitude changes, whereas path efficiency and smoothness index, the least responsive metrics in magnitude, had median correlations of 0.64 and 0.73. Swing tempo and backswing peak speed were unstable on both criteria, with median correlations of 0.34 and 0.44. Scale perturbations produced the smallest responses for scale-free quantities, while thinning, jitter, and combined degradation dominated most derivative metrics. The complete 12-scenario table, including confidence intervals, is retained as supplementary comma-separated output.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6. </w:t>
      </w:r>
      <w:r>
        <w:rPr>
          <w:rFonts w:ascii="Times New Roman" w:hAnsi="Times New Roman" w:cs="Times New Roman"/>
          <w:b/>
          <w:i w:val="0"/>
          <w:sz w:val="22"/>
        </w:rPr>
        <w:t>Perturbation response and rank preservation of exported metrics</w:t>
      </w:r>
    </w:p>
    <w:tbl>
      <w:tblPr>
        <w:tblStyle w:val="aff2"/>
        <w:tblW w:type="auto" w:w="0"/>
        <w:jc w:val="center"/>
        <w:tblLayout w:type="fixed"/>
        <w:tblLook w:firstColumn="1" w:firstRow="1" w:lastColumn="0" w:lastRow="0" w:noHBand="0" w:noVBand="1" w:val="04A0"/>
      </w:tblPr>
      <w:tblGrid>
        <w:gridCol w:w="2041"/>
        <w:gridCol w:w="1361"/>
        <w:gridCol w:w="1020"/>
        <w:gridCol w:w="1020"/>
        <w:gridCol w:w="1587"/>
        <w:gridCol w:w="2551"/>
      </w:tblGrid>
      <w:tr>
        <w:trPr>
          <w:tblHeader/>
        </w:trPr>
        <w:tc>
          <w:tcPr>
            <w:tcW w:type="dxa" w:w="2041"/>
          </w:tcPr>
          <w:p>
            <w:pPr>
              <w:spacing w:before="0" w:after="0" w:line="240" w:lineRule="auto"/>
            </w:pPr>
            <w:r/>
            <w:r>
              <w:rPr>
                <w:rFonts w:ascii="Times New Roman" w:hAnsi="Times New Roman" w:cs="Times New Roman"/>
                <w:b/>
                <w:i w:val="0"/>
                <w:sz w:val="18"/>
              </w:rPr>
              <w:t>Metric</w:t>
            </w:r>
          </w:p>
        </w:tc>
        <w:tc>
          <w:tcPr>
            <w:tcW w:type="dxa" w:w="1361"/>
          </w:tcPr>
          <w:p>
            <w:pPr>
              <w:spacing w:before="0" w:after="0" w:line="240" w:lineRule="auto"/>
            </w:pPr>
            <w:r/>
            <w:r>
              <w:rPr>
                <w:rFonts w:ascii="Times New Roman" w:hAnsi="Times New Roman" w:cs="Times New Roman"/>
                <w:b/>
                <w:i w:val="0"/>
                <w:sz w:val="18"/>
              </w:rPr>
              <w:t>Median change, %</w:t>
            </w:r>
          </w:p>
        </w:tc>
        <w:tc>
          <w:tcPr>
            <w:tcW w:type="dxa" w:w="1020"/>
          </w:tcPr>
          <w:p>
            <w:pPr>
              <w:spacing w:before="0" w:after="0" w:line="240" w:lineRule="auto"/>
            </w:pPr>
            <w:r/>
            <w:r>
              <w:rPr>
                <w:rFonts w:ascii="Times New Roman" w:hAnsi="Times New Roman" w:cs="Times New Roman"/>
                <w:b/>
                <w:i w:val="0"/>
                <w:sz w:val="18"/>
              </w:rPr>
              <w:t>Worst, %</w:t>
            </w:r>
          </w:p>
        </w:tc>
        <w:tc>
          <w:tcPr>
            <w:tcW w:type="dxa" w:w="1020"/>
          </w:tcPr>
          <w:p>
            <w:pPr>
              <w:spacing w:before="0" w:after="0" w:line="240" w:lineRule="auto"/>
            </w:pPr>
            <w:r/>
            <w:r>
              <w:rPr>
                <w:rFonts w:ascii="Times New Roman" w:hAnsi="Times New Roman" w:cs="Times New Roman"/>
                <w:b/>
                <w:i w:val="0"/>
                <w:sz w:val="18"/>
              </w:rPr>
              <w:t>Median ρ</w:t>
            </w:r>
          </w:p>
        </w:tc>
        <w:tc>
          <w:tcPr>
            <w:tcW w:type="dxa" w:w="1587"/>
          </w:tcPr>
          <w:p>
            <w:pPr>
              <w:spacing w:before="0" w:after="0" w:line="240" w:lineRule="auto"/>
            </w:pPr>
            <w:r/>
            <w:r>
              <w:rPr>
                <w:rFonts w:ascii="Times New Roman" w:hAnsi="Times New Roman" w:cs="Times New Roman"/>
                <w:b/>
                <w:i w:val="0"/>
                <w:sz w:val="18"/>
              </w:rPr>
              <w:t>Low/mod./high</w:t>
            </w:r>
          </w:p>
        </w:tc>
        <w:tc>
          <w:tcPr>
            <w:tcW w:type="dxa" w:w="2551"/>
          </w:tcPr>
          <w:p>
            <w:pPr>
              <w:spacing w:before="0" w:after="0" w:line="240" w:lineRule="auto"/>
            </w:pPr>
            <w:r/>
            <w:r>
              <w:rPr>
                <w:rFonts w:ascii="Times New Roman" w:hAnsi="Times New Roman" w:cs="Times New Roman"/>
                <w:b/>
                <w:i w:val="0"/>
                <w:sz w:val="18"/>
              </w:rPr>
              <w:t>Interpretation</w:t>
            </w:r>
          </w:p>
        </w:tc>
      </w:tr>
      <w:tr>
        <w:tc>
          <w:tcPr>
            <w:tcW w:type="dxa" w:w="2041"/>
          </w:tcPr>
          <w:p>
            <w:pPr>
              <w:spacing w:before="0" w:after="0" w:line="240" w:lineRule="auto"/>
            </w:pPr>
            <w:r/>
            <w:r>
              <w:rPr>
                <w:rFonts w:ascii="Times New Roman" w:hAnsi="Times New Roman" w:cs="Times New Roman"/>
                <w:b w:val="0"/>
                <w:i w:val="0"/>
                <w:sz w:val="18"/>
              </w:rPr>
              <w:t>Path efficiency</w:t>
            </w:r>
          </w:p>
        </w:tc>
        <w:tc>
          <w:tcPr>
            <w:tcW w:type="dxa" w:w="1361"/>
          </w:tcPr>
          <w:p>
            <w:pPr>
              <w:spacing w:before="0" w:after="0" w:line="240" w:lineRule="auto"/>
            </w:pPr>
            <w:r/>
            <w:r>
              <w:rPr>
                <w:rFonts w:ascii="Times New Roman" w:hAnsi="Times New Roman" w:cs="Times New Roman"/>
                <w:b w:val="0"/>
                <w:i w:val="0"/>
                <w:sz w:val="18"/>
              </w:rPr>
              <w:t>5.9</w:t>
            </w:r>
          </w:p>
        </w:tc>
        <w:tc>
          <w:tcPr>
            <w:tcW w:type="dxa" w:w="1020"/>
          </w:tcPr>
          <w:p>
            <w:pPr>
              <w:spacing w:before="0" w:after="0" w:line="240" w:lineRule="auto"/>
            </w:pPr>
            <w:r/>
            <w:r>
              <w:rPr>
                <w:rFonts w:ascii="Times New Roman" w:hAnsi="Times New Roman" w:cs="Times New Roman"/>
                <w:b w:val="0"/>
                <w:i w:val="0"/>
                <w:sz w:val="18"/>
              </w:rPr>
              <w:t>24.8</w:t>
            </w:r>
          </w:p>
        </w:tc>
        <w:tc>
          <w:tcPr>
            <w:tcW w:type="dxa" w:w="1020"/>
          </w:tcPr>
          <w:p>
            <w:pPr>
              <w:spacing w:before="0" w:after="0" w:line="240" w:lineRule="auto"/>
            </w:pPr>
            <w:r/>
            <w:r>
              <w:rPr>
                <w:rFonts w:ascii="Times New Roman" w:hAnsi="Times New Roman" w:cs="Times New Roman"/>
                <w:b w:val="0"/>
                <w:i w:val="0"/>
                <w:sz w:val="18"/>
              </w:rPr>
              <w:t>0.63</w:t>
            </w:r>
          </w:p>
        </w:tc>
        <w:tc>
          <w:tcPr>
            <w:tcW w:type="dxa" w:w="1587"/>
          </w:tcPr>
          <w:p>
            <w:pPr>
              <w:spacing w:before="0" w:after="0" w:line="240" w:lineRule="auto"/>
            </w:pPr>
            <w:r/>
            <w:r>
              <w:rPr>
                <w:rFonts w:ascii="Times New Roman" w:hAnsi="Times New Roman" w:cs="Times New Roman"/>
                <w:b w:val="0"/>
                <w:i w:val="0"/>
                <w:sz w:val="18"/>
              </w:rPr>
              <w:t>7/5/0</w:t>
            </w:r>
          </w:p>
        </w:tc>
        <w:tc>
          <w:tcPr>
            <w:tcW w:type="dxa" w:w="2551"/>
          </w:tcPr>
          <w:p>
            <w:pPr>
              <w:spacing w:before="0" w:after="0" w:line="240" w:lineRule="auto"/>
            </w:pPr>
            <w:r/>
            <w:r>
              <w:rPr>
                <w:rFonts w:ascii="Times New Roman" w:hAnsi="Times New Roman" w:cs="Times New Roman"/>
                <w:b w:val="0"/>
                <w:i w:val="0"/>
                <w:sz w:val="18"/>
              </w:rPr>
              <w:t>Candidate only</w:t>
            </w:r>
          </w:p>
        </w:tc>
      </w:tr>
      <w:tr>
        <w:tc>
          <w:tcPr>
            <w:tcW w:type="dxa" w:w="2041"/>
          </w:tcPr>
          <w:p>
            <w:pPr>
              <w:spacing w:before="0" w:after="0" w:line="240" w:lineRule="auto"/>
            </w:pPr>
            <w:r/>
            <w:r>
              <w:rPr>
                <w:rFonts w:ascii="Times New Roman" w:hAnsi="Times New Roman" w:cs="Times New Roman"/>
                <w:b w:val="0"/>
                <w:i w:val="0"/>
                <w:sz w:val="18"/>
              </w:rPr>
              <w:t>Smoothness index</w:t>
            </w:r>
          </w:p>
        </w:tc>
        <w:tc>
          <w:tcPr>
            <w:tcW w:type="dxa" w:w="1361"/>
          </w:tcPr>
          <w:p>
            <w:pPr>
              <w:spacing w:before="0" w:after="0" w:line="240" w:lineRule="auto"/>
            </w:pPr>
            <w:r/>
            <w:r>
              <w:rPr>
                <w:rFonts w:ascii="Times New Roman" w:hAnsi="Times New Roman" w:cs="Times New Roman"/>
                <w:b w:val="0"/>
                <w:i w:val="0"/>
                <w:sz w:val="18"/>
              </w:rPr>
              <w:t>6.2</w:t>
            </w:r>
          </w:p>
        </w:tc>
        <w:tc>
          <w:tcPr>
            <w:tcW w:type="dxa" w:w="1020"/>
          </w:tcPr>
          <w:p>
            <w:pPr>
              <w:spacing w:before="0" w:after="0" w:line="240" w:lineRule="auto"/>
            </w:pPr>
            <w:r/>
            <w:r>
              <w:rPr>
                <w:rFonts w:ascii="Times New Roman" w:hAnsi="Times New Roman" w:cs="Times New Roman"/>
                <w:b w:val="0"/>
                <w:i w:val="0"/>
                <w:sz w:val="18"/>
              </w:rPr>
              <w:t>15.1</w:t>
            </w:r>
          </w:p>
        </w:tc>
        <w:tc>
          <w:tcPr>
            <w:tcW w:type="dxa" w:w="1020"/>
          </w:tcPr>
          <w:p>
            <w:pPr>
              <w:spacing w:before="0" w:after="0" w:line="240" w:lineRule="auto"/>
            </w:pPr>
            <w:r/>
            <w:r>
              <w:rPr>
                <w:rFonts w:ascii="Times New Roman" w:hAnsi="Times New Roman" w:cs="Times New Roman"/>
                <w:b w:val="0"/>
                <w:i w:val="0"/>
                <w:sz w:val="18"/>
              </w:rPr>
              <w:t>0.73</w:t>
            </w:r>
          </w:p>
        </w:tc>
        <w:tc>
          <w:tcPr>
            <w:tcW w:type="dxa" w:w="1587"/>
          </w:tcPr>
          <w:p>
            <w:pPr>
              <w:spacing w:before="0" w:after="0" w:line="240" w:lineRule="auto"/>
            </w:pPr>
            <w:r/>
            <w:r>
              <w:rPr>
                <w:rFonts w:ascii="Times New Roman" w:hAnsi="Times New Roman" w:cs="Times New Roman"/>
                <w:b w:val="0"/>
                <w:i w:val="0"/>
                <w:sz w:val="18"/>
              </w:rPr>
              <w:t>7/5/0</w:t>
            </w:r>
          </w:p>
        </w:tc>
        <w:tc>
          <w:tcPr>
            <w:tcW w:type="dxa" w:w="2551"/>
          </w:tcPr>
          <w:p>
            <w:pPr>
              <w:spacing w:before="0" w:after="0" w:line="240" w:lineRule="auto"/>
            </w:pPr>
            <w:r/>
            <w:r>
              <w:rPr>
                <w:rFonts w:ascii="Times New Roman" w:hAnsi="Times New Roman" w:cs="Times New Roman"/>
                <w:b w:val="0"/>
                <w:i w:val="0"/>
                <w:sz w:val="18"/>
              </w:rPr>
              <w:t>Candidate only</w:t>
            </w:r>
          </w:p>
        </w:tc>
      </w:tr>
      <w:tr>
        <w:tc>
          <w:tcPr>
            <w:tcW w:type="dxa" w:w="2041"/>
          </w:tcPr>
          <w:p>
            <w:pPr>
              <w:spacing w:before="0" w:after="0" w:line="240" w:lineRule="auto"/>
            </w:pPr>
            <w:r/>
            <w:r>
              <w:rPr>
                <w:rFonts w:ascii="Times New Roman" w:hAnsi="Times New Roman" w:cs="Times New Roman"/>
                <w:b w:val="0"/>
                <w:i w:val="0"/>
                <w:sz w:val="18"/>
              </w:rPr>
              <w:t>Maximum angular velocity</w:t>
            </w:r>
          </w:p>
        </w:tc>
        <w:tc>
          <w:tcPr>
            <w:tcW w:type="dxa" w:w="1361"/>
          </w:tcPr>
          <w:p>
            <w:pPr>
              <w:spacing w:before="0" w:after="0" w:line="240" w:lineRule="auto"/>
            </w:pPr>
            <w:r/>
            <w:r>
              <w:rPr>
                <w:rFonts w:ascii="Times New Roman" w:hAnsi="Times New Roman" w:cs="Times New Roman"/>
                <w:b w:val="0"/>
                <w:i w:val="0"/>
                <w:sz w:val="18"/>
              </w:rPr>
              <w:t>17.0</w:t>
            </w:r>
          </w:p>
        </w:tc>
        <w:tc>
          <w:tcPr>
            <w:tcW w:type="dxa" w:w="1020"/>
          </w:tcPr>
          <w:p>
            <w:pPr>
              <w:spacing w:before="0" w:after="0" w:line="240" w:lineRule="auto"/>
            </w:pPr>
            <w:r/>
            <w:r>
              <w:rPr>
                <w:rFonts w:ascii="Times New Roman" w:hAnsi="Times New Roman" w:cs="Times New Roman"/>
                <w:b w:val="0"/>
                <w:i w:val="0"/>
                <w:sz w:val="18"/>
              </w:rPr>
              <w:t>89.9</w:t>
            </w:r>
          </w:p>
        </w:tc>
        <w:tc>
          <w:tcPr>
            <w:tcW w:type="dxa" w:w="1020"/>
          </w:tcPr>
          <w:p>
            <w:pPr>
              <w:spacing w:before="0" w:after="0" w:line="240" w:lineRule="auto"/>
            </w:pPr>
            <w:r/>
            <w:r>
              <w:rPr>
                <w:rFonts w:ascii="Times New Roman" w:hAnsi="Times New Roman" w:cs="Times New Roman"/>
                <w:b w:val="0"/>
                <w:i w:val="0"/>
                <w:sz w:val="18"/>
              </w:rPr>
              <w:t>0.81</w:t>
            </w:r>
          </w:p>
        </w:tc>
        <w:tc>
          <w:tcPr>
            <w:tcW w:type="dxa" w:w="1587"/>
          </w:tcPr>
          <w:p>
            <w:pPr>
              <w:spacing w:before="0" w:after="0" w:line="240" w:lineRule="auto"/>
            </w:pPr>
            <w:r/>
            <w:r>
              <w:rPr>
                <w:rFonts w:ascii="Times New Roman" w:hAnsi="Times New Roman" w:cs="Times New Roman"/>
                <w:b w:val="0"/>
                <w:i w:val="0"/>
                <w:sz w:val="18"/>
              </w:rPr>
              <w:t>6/0/6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Maximum speed</w:t>
            </w:r>
          </w:p>
        </w:tc>
        <w:tc>
          <w:tcPr>
            <w:tcW w:type="dxa" w:w="1361"/>
          </w:tcPr>
          <w:p>
            <w:pPr>
              <w:spacing w:before="0" w:after="0" w:line="240" w:lineRule="auto"/>
            </w:pPr>
            <w:r/>
            <w:r>
              <w:rPr>
                <w:rFonts w:ascii="Times New Roman" w:hAnsi="Times New Roman" w:cs="Times New Roman"/>
                <w:b w:val="0"/>
                <w:i w:val="0"/>
                <w:sz w:val="18"/>
              </w:rPr>
              <w:t>18.7</w:t>
            </w:r>
          </w:p>
        </w:tc>
        <w:tc>
          <w:tcPr>
            <w:tcW w:type="dxa" w:w="1020"/>
          </w:tcPr>
          <w:p>
            <w:pPr>
              <w:spacing w:before="0" w:after="0" w:line="240" w:lineRule="auto"/>
            </w:pPr>
            <w:r/>
            <w:r>
              <w:rPr>
                <w:rFonts w:ascii="Times New Roman" w:hAnsi="Times New Roman" w:cs="Times New Roman"/>
                <w:b w:val="0"/>
                <w:i w:val="0"/>
                <w:sz w:val="18"/>
              </w:rPr>
              <w:t>60.8</w:t>
            </w:r>
          </w:p>
        </w:tc>
        <w:tc>
          <w:tcPr>
            <w:tcW w:type="dxa" w:w="1020"/>
          </w:tcPr>
          <w:p>
            <w:pPr>
              <w:spacing w:before="0" w:after="0" w:line="240" w:lineRule="auto"/>
            </w:pPr>
            <w:r/>
            <w:r>
              <w:rPr>
                <w:rFonts w:ascii="Times New Roman" w:hAnsi="Times New Roman" w:cs="Times New Roman"/>
                <w:b w:val="0"/>
                <w:i w:val="0"/>
                <w:sz w:val="18"/>
              </w:rPr>
              <w:t>0.56</w:t>
            </w:r>
          </w:p>
        </w:tc>
        <w:tc>
          <w:tcPr>
            <w:tcW w:type="dxa" w:w="1587"/>
          </w:tcPr>
          <w:p>
            <w:pPr>
              <w:spacing w:before="0" w:after="0" w:line="240" w:lineRule="auto"/>
            </w:pPr>
            <w:r/>
            <w:r>
              <w:rPr>
                <w:rFonts w:ascii="Times New Roman" w:hAnsi="Times New Roman" w:cs="Times New Roman"/>
                <w:b w:val="0"/>
                <w:i w:val="0"/>
                <w:sz w:val="18"/>
              </w:rPr>
              <w:t>5/1/6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Maximum acceleration</w:t>
            </w:r>
          </w:p>
        </w:tc>
        <w:tc>
          <w:tcPr>
            <w:tcW w:type="dxa" w:w="1361"/>
          </w:tcPr>
          <w:p>
            <w:pPr>
              <w:spacing w:before="0" w:after="0" w:line="240" w:lineRule="auto"/>
            </w:pPr>
            <w:r/>
            <w:r>
              <w:rPr>
                <w:rFonts w:ascii="Times New Roman" w:hAnsi="Times New Roman" w:cs="Times New Roman"/>
                <w:b w:val="0"/>
                <w:i w:val="0"/>
                <w:sz w:val="18"/>
              </w:rPr>
              <w:t>26.0</w:t>
            </w:r>
          </w:p>
        </w:tc>
        <w:tc>
          <w:tcPr>
            <w:tcW w:type="dxa" w:w="1020"/>
          </w:tcPr>
          <w:p>
            <w:pPr>
              <w:spacing w:before="0" w:after="0" w:line="240" w:lineRule="auto"/>
            </w:pPr>
            <w:r/>
            <w:r>
              <w:rPr>
                <w:rFonts w:ascii="Times New Roman" w:hAnsi="Times New Roman" w:cs="Times New Roman"/>
                <w:b w:val="0"/>
                <w:i w:val="0"/>
                <w:sz w:val="18"/>
              </w:rPr>
              <w:t>93.5</w:t>
            </w:r>
          </w:p>
        </w:tc>
        <w:tc>
          <w:tcPr>
            <w:tcW w:type="dxa" w:w="1020"/>
          </w:tcPr>
          <w:p>
            <w:pPr>
              <w:spacing w:before="0" w:after="0" w:line="240" w:lineRule="auto"/>
            </w:pPr>
            <w:r/>
            <w:r>
              <w:rPr>
                <w:rFonts w:ascii="Times New Roman" w:hAnsi="Times New Roman" w:cs="Times New Roman"/>
                <w:b w:val="0"/>
                <w:i w:val="0"/>
                <w:sz w:val="18"/>
              </w:rPr>
              <w:t>0.46</w:t>
            </w:r>
          </w:p>
        </w:tc>
        <w:tc>
          <w:tcPr>
            <w:tcW w:type="dxa" w:w="1587"/>
          </w:tcPr>
          <w:p>
            <w:pPr>
              <w:spacing w:before="0" w:after="0" w:line="240" w:lineRule="auto"/>
            </w:pPr>
            <w:r/>
            <w:r>
              <w:rPr>
                <w:rFonts w:ascii="Times New Roman" w:hAnsi="Times New Roman" w:cs="Times New Roman"/>
                <w:b w:val="0"/>
                <w:i w:val="0"/>
                <w:sz w:val="18"/>
              </w:rPr>
              <w:t>4/2/6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Curvature RMS</w:t>
            </w:r>
          </w:p>
        </w:tc>
        <w:tc>
          <w:tcPr>
            <w:tcW w:type="dxa" w:w="1361"/>
          </w:tcPr>
          <w:p>
            <w:pPr>
              <w:spacing w:before="0" w:after="0" w:line="240" w:lineRule="auto"/>
            </w:pPr>
            <w:r/>
            <w:r>
              <w:rPr>
                <w:rFonts w:ascii="Times New Roman" w:hAnsi="Times New Roman" w:cs="Times New Roman"/>
                <w:b w:val="0"/>
                <w:i w:val="0"/>
                <w:sz w:val="18"/>
              </w:rPr>
              <w:t>39.6</w:t>
            </w:r>
          </w:p>
        </w:tc>
        <w:tc>
          <w:tcPr>
            <w:tcW w:type="dxa" w:w="1020"/>
          </w:tcPr>
          <w:p>
            <w:pPr>
              <w:spacing w:before="0" w:after="0" w:line="240" w:lineRule="auto"/>
            </w:pPr>
            <w:r/>
            <w:r>
              <w:rPr>
                <w:rFonts w:ascii="Times New Roman" w:hAnsi="Times New Roman" w:cs="Times New Roman"/>
                <w:b w:val="0"/>
                <w:i w:val="0"/>
                <w:sz w:val="18"/>
              </w:rPr>
              <w:t>157.4</w:t>
            </w:r>
          </w:p>
        </w:tc>
        <w:tc>
          <w:tcPr>
            <w:tcW w:type="dxa" w:w="1020"/>
          </w:tcPr>
          <w:p>
            <w:pPr>
              <w:spacing w:before="0" w:after="0" w:line="240" w:lineRule="auto"/>
            </w:pPr>
            <w:r/>
            <w:r>
              <w:rPr>
                <w:rFonts w:ascii="Times New Roman" w:hAnsi="Times New Roman" w:cs="Times New Roman"/>
                <w:b w:val="0"/>
                <w:i w:val="0"/>
                <w:sz w:val="18"/>
              </w:rPr>
              <w:t>0.93</w:t>
            </w:r>
          </w:p>
        </w:tc>
        <w:tc>
          <w:tcPr>
            <w:tcW w:type="dxa" w:w="1587"/>
          </w:tcPr>
          <w:p>
            <w:pPr>
              <w:spacing w:before="0" w:after="0" w:line="240" w:lineRule="auto"/>
            </w:pPr>
            <w:r/>
            <w:r>
              <w:rPr>
                <w:rFonts w:ascii="Times New Roman" w:hAnsi="Times New Roman" w:cs="Times New Roman"/>
                <w:b w:val="0"/>
                <w:i w:val="0"/>
                <w:sz w:val="18"/>
              </w:rPr>
              <w:t>4/1/7</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Backswing peak speed</w:t>
            </w:r>
          </w:p>
        </w:tc>
        <w:tc>
          <w:tcPr>
            <w:tcW w:type="dxa" w:w="1361"/>
          </w:tcPr>
          <w:p>
            <w:pPr>
              <w:spacing w:before="0" w:after="0" w:line="240" w:lineRule="auto"/>
            </w:pPr>
            <w:r/>
            <w:r>
              <w:rPr>
                <w:rFonts w:ascii="Times New Roman" w:hAnsi="Times New Roman" w:cs="Times New Roman"/>
                <w:b w:val="0"/>
                <w:i w:val="0"/>
                <w:sz w:val="18"/>
              </w:rPr>
              <w:t>53.6</w:t>
            </w:r>
          </w:p>
        </w:tc>
        <w:tc>
          <w:tcPr>
            <w:tcW w:type="dxa" w:w="1020"/>
          </w:tcPr>
          <w:p>
            <w:pPr>
              <w:spacing w:before="0" w:after="0" w:line="240" w:lineRule="auto"/>
            </w:pPr>
            <w:r/>
            <w:r>
              <w:rPr>
                <w:rFonts w:ascii="Times New Roman" w:hAnsi="Times New Roman" w:cs="Times New Roman"/>
                <w:b w:val="0"/>
                <w:i w:val="0"/>
                <w:sz w:val="18"/>
              </w:rPr>
              <w:t>179.8</w:t>
            </w:r>
          </w:p>
        </w:tc>
        <w:tc>
          <w:tcPr>
            <w:tcW w:type="dxa" w:w="1020"/>
          </w:tcPr>
          <w:p>
            <w:pPr>
              <w:spacing w:before="0" w:after="0" w:line="240" w:lineRule="auto"/>
            </w:pPr>
            <w:r/>
            <w:r>
              <w:rPr>
                <w:rFonts w:ascii="Times New Roman" w:hAnsi="Times New Roman" w:cs="Times New Roman"/>
                <w:b w:val="0"/>
                <w:i w:val="0"/>
                <w:sz w:val="18"/>
              </w:rPr>
              <w:t>0.44</w:t>
            </w:r>
          </w:p>
        </w:tc>
        <w:tc>
          <w:tcPr>
            <w:tcW w:type="dxa" w:w="1587"/>
          </w:tcPr>
          <w:p>
            <w:pPr>
              <w:spacing w:before="0" w:after="0" w:line="240" w:lineRule="auto"/>
            </w:pPr>
            <w:r/>
            <w:r>
              <w:rPr>
                <w:rFonts w:ascii="Times New Roman" w:hAnsi="Times New Roman" w:cs="Times New Roman"/>
                <w:b w:val="0"/>
                <w:i w:val="0"/>
                <w:sz w:val="18"/>
              </w:rPr>
              <w:t>4/1/7</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Swing tempo</w:t>
            </w:r>
          </w:p>
        </w:tc>
        <w:tc>
          <w:tcPr>
            <w:tcW w:type="dxa" w:w="1361"/>
          </w:tcPr>
          <w:p>
            <w:pPr>
              <w:spacing w:before="0" w:after="0" w:line="240" w:lineRule="auto"/>
            </w:pPr>
            <w:r/>
            <w:r>
              <w:rPr>
                <w:rFonts w:ascii="Times New Roman" w:hAnsi="Times New Roman" w:cs="Times New Roman"/>
                <w:b w:val="0"/>
                <w:i w:val="0"/>
                <w:sz w:val="18"/>
              </w:rPr>
              <w:t>74.4</w:t>
            </w:r>
          </w:p>
        </w:tc>
        <w:tc>
          <w:tcPr>
            <w:tcW w:type="dxa" w:w="1020"/>
          </w:tcPr>
          <w:p>
            <w:pPr>
              <w:spacing w:before="0" w:after="0" w:line="240" w:lineRule="auto"/>
            </w:pPr>
            <w:r/>
            <w:r>
              <w:rPr>
                <w:rFonts w:ascii="Times New Roman" w:hAnsi="Times New Roman" w:cs="Times New Roman"/>
                <w:b w:val="0"/>
                <w:i w:val="0"/>
                <w:sz w:val="18"/>
              </w:rPr>
              <w:t>160.7</w:t>
            </w:r>
          </w:p>
        </w:tc>
        <w:tc>
          <w:tcPr>
            <w:tcW w:type="dxa" w:w="1020"/>
          </w:tcPr>
          <w:p>
            <w:pPr>
              <w:spacing w:before="0" w:after="0" w:line="240" w:lineRule="auto"/>
            </w:pPr>
            <w:r/>
            <w:r>
              <w:rPr>
                <w:rFonts w:ascii="Times New Roman" w:hAnsi="Times New Roman" w:cs="Times New Roman"/>
                <w:b w:val="0"/>
                <w:i w:val="0"/>
                <w:sz w:val="18"/>
              </w:rPr>
              <w:t>0.34</w:t>
            </w:r>
          </w:p>
        </w:tc>
        <w:tc>
          <w:tcPr>
            <w:tcW w:type="dxa" w:w="1587"/>
          </w:tcPr>
          <w:p>
            <w:pPr>
              <w:spacing w:before="0" w:after="0" w:line="240" w:lineRule="auto"/>
            </w:pPr>
            <w:r/>
            <w:r>
              <w:rPr>
                <w:rFonts w:ascii="Times New Roman" w:hAnsi="Times New Roman" w:cs="Times New Roman"/>
                <w:b w:val="0"/>
                <w:i w:val="0"/>
                <w:sz w:val="18"/>
              </w:rPr>
              <w:t>4/0/8</w:t>
            </w:r>
          </w:p>
        </w:tc>
        <w:tc>
          <w:tcPr>
            <w:tcW w:type="dxa" w:w="2551"/>
          </w:tcPr>
          <w:p>
            <w:pPr>
              <w:spacing w:before="0" w:after="0" w:line="240" w:lineRule="auto"/>
            </w:pPr>
            <w:r/>
            <w:r>
              <w:rPr>
                <w:rFonts w:ascii="Times New Roman" w:hAnsi="Times New Roman" w:cs="Times New Roman"/>
                <w:b w:val="0"/>
                <w:i w:val="0"/>
                <w:sz w:val="18"/>
              </w:rPr>
              <w:t>High perturbation sensitivity</w:t>
            </w:r>
          </w:p>
        </w:tc>
      </w:tr>
    </w:tbl>
    <w:p>
      <w:pPr>
        <w:spacing w:after="120"/>
        <w:ind w:firstLine="0"/>
        <w:jc w:val="center"/>
      </w:pPr>
      <w:r>
        <w:rPr>
          <w:rFonts w:ascii="Times New Roman" w:hAnsi="Times New Roman" w:cs="Times New Roman"/>
          <w:b/>
          <w:i/>
          <w:sz w:val="16"/>
        </w:rPr>
        <w:t>Source: compiled by the authors; response bands are study-specific descriptive labels, not measurement tolerances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4427998"/>
            <wp:docPr id="15" name="Picture 15"/>
            <wp:cNvGraphicFramePr>
              <a:graphicFrameLocks noChangeAspect="1"/>
            </wp:cNvGraphicFramePr>
            <a:graphic>
              <a:graphicData uri="http://schemas.openxmlformats.org/drawingml/2006/picture">
                <pic:pic>
                  <pic:nvPicPr>
                    <pic:cNvPr id="0" name="fig_sensitivity_metric_heatmap.png"/>
                    <pic:cNvPicPr/>
                  </pic:nvPicPr>
                  <pic:blipFill>
                    <a:blip r:embed="rId28"/>
                    <a:stretch>
                      <a:fillRect/>
                    </a:stretch>
                  </pic:blipFill>
                  <pic:spPr>
                    <a:xfrm>
                      <a:off x="0" y="0"/>
                      <a:ext cx="2951999" cy="4427998"/>
                    </a:xfrm>
                    <a:prstGeom prst="rect"/>
                  </pic:spPr>
                </pic:pic>
              </a:graphicData>
            </a:graphic>
          </wp:inline>
        </w:drawing>
      </w:r>
    </w:p>
    <w:p>
      <w:pPr>
        <w:keepNext/>
        <w:ind w:firstLine="0"/>
        <w:jc w:val="center"/>
      </w:pPr>
      <w:r>
        <w:rPr>
          <w:rFonts w:ascii="Times New Roman" w:hAnsi="Times New Roman" w:cs="Times New Roman"/>
          <w:b w:val="0"/>
          <w:i/>
          <w:sz w:val="22"/>
        </w:rPr>
        <w:t xml:space="preserve">Fig. 6. </w:t>
      </w:r>
      <w:r>
        <w:rPr>
          <w:rFonts w:ascii="Times New Roman" w:hAnsi="Times New Roman" w:cs="Times New Roman"/>
          <w:b/>
          <w:i w:val="0"/>
          <w:sz w:val="22"/>
        </w:rPr>
        <w:t>Metric response by perturbation family</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Production-stage ablation</w:t>
      </w:r>
    </w:p>
    <w:p>
      <w:pPr>
        <w:spacing w:before="0" w:after="0" w:line="240" w:lineRule="auto"/>
        <w:ind w:firstLine="425"/>
        <w:jc w:val="both"/>
      </w:pPr>
      <w:r>
        <w:rPr>
          <w:rFonts w:ascii="Times New Roman" w:hAnsi="Times New Roman" w:cs="Times New Roman"/>
          <w:b w:val="0"/>
          <w:i w:val="0"/>
          <w:sz w:val="22"/>
        </w:rPr>
        <w:t>The corrected ablation did not show monotonic improvement (Table 7; Fig. 7). Median RMS jerk decreased from 17 334 m/s³ for raw landmarks to 14 448 after the median stage and 881 after the production Kalman stage, at which point half the sessions retained only 66 valid samples because innovation gating rejected measurements, so that variant is not directly comparable with the others. The production Rauch-Tung-Striebel stage reduced RMS jerk further to 181 m/s³ but moved a median 141.4 cm from the raw path, with a median 95th-percentile deviation of 280.7 cm, and reduced median maximum speed to 1.27 m/s. Restoring the process-noise term to the smoother's predicted covariance reduced but did not remove this behaviour, so the smoothed output still departs from the observed path far more than measurement noise would justify.</w:t>
      </w:r>
    </w:p>
    <w:p>
      <w:pPr>
        <w:spacing w:before="0" w:after="0" w:line="240" w:lineRule="auto"/>
        <w:ind w:firstLine="425"/>
        <w:jc w:val="both"/>
      </w:pPr>
      <w:r>
        <w:rPr>
          <w:rFonts w:ascii="Times New Roman" w:hAnsi="Times New Roman" w:cs="Times New Roman"/>
          <w:b w:val="0"/>
          <w:i w:val="0"/>
          <w:sz w:val="22"/>
        </w:rPr>
        <w:t>Despiking changed zero points in every one of the 71 sessions, so no contribution can be attributed to that stage under the current thresholds, and its row is numerically identical to the preceding one. Final bounded reconstruction changed a median 162 points and returned mean deviation to 1.9 cm, the closest of any stage to the observed path, but RMS jerk rose to 11 835 m/s³. The final stage therefore restores proximity to the observed path while reintroducing derivative variation. These findings identify implementation and parameter issues; they do not validate the causal benefit of each pipeline stage.</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7. </w:t>
      </w:r>
      <w:r>
        <w:rPr>
          <w:rFonts w:ascii="Times New Roman" w:hAnsi="Times New Roman" w:cs="Times New Roman"/>
          <w:b/>
          <w:i w:val="0"/>
          <w:sz w:val="22"/>
        </w:rPr>
        <w:t>Nested ablation of actual production stages</w:t>
      </w:r>
    </w:p>
    <w:tbl>
      <w:tblPr>
        <w:tblStyle w:val="aff2"/>
        <w:tblW w:type="auto" w:w="0"/>
        <w:jc w:val="center"/>
        <w:tblLayout w:type="fixed"/>
        <w:tblLook w:firstColumn="1" w:firstRow="1" w:lastColumn="0" w:lastRow="0" w:noHBand="0" w:noVBand="1" w:val="04A0"/>
      </w:tblPr>
      <w:tblGrid>
        <w:gridCol w:w="3061"/>
        <w:gridCol w:w="1814"/>
        <w:gridCol w:w="2041"/>
        <w:gridCol w:w="2665"/>
      </w:tblGrid>
      <w:tr>
        <w:trPr>
          <w:tblHeader/>
        </w:trPr>
        <w:tc>
          <w:tcPr>
            <w:tcW w:type="dxa" w:w="3061"/>
          </w:tcPr>
          <w:p>
            <w:pPr>
              <w:spacing w:before="0" w:after="0" w:line="240" w:lineRule="auto"/>
            </w:pPr>
            <w:r/>
            <w:r>
              <w:rPr>
                <w:rFonts w:ascii="Times New Roman" w:hAnsi="Times New Roman" w:cs="Times New Roman"/>
                <w:b/>
                <w:i w:val="0"/>
                <w:sz w:val="18"/>
              </w:rPr>
              <w:t>Stage</w:t>
            </w:r>
          </w:p>
        </w:tc>
        <w:tc>
          <w:tcPr>
            <w:tcW w:type="dxa" w:w="1814"/>
          </w:tcPr>
          <w:p>
            <w:pPr>
              <w:spacing w:before="0" w:after="0" w:line="240" w:lineRule="auto"/>
            </w:pPr>
            <w:r/>
            <w:r>
              <w:rPr>
                <w:rFonts w:ascii="Times New Roman" w:hAnsi="Times New Roman" w:cs="Times New Roman"/>
                <w:b/>
                <w:i w:val="0"/>
                <w:sz w:val="18"/>
              </w:rPr>
              <w:t>Δpoints, n</w:t>
            </w:r>
          </w:p>
        </w:tc>
        <w:tc>
          <w:tcPr>
            <w:tcW w:type="dxa" w:w="2041"/>
          </w:tcPr>
          <w:p>
            <w:pPr>
              <w:spacing w:before="0" w:after="0" w:line="240" w:lineRule="auto"/>
            </w:pPr>
            <w:r/>
            <w:r>
              <w:rPr>
                <w:rFonts w:ascii="Times New Roman" w:hAnsi="Times New Roman" w:cs="Times New Roman"/>
                <w:b/>
                <w:i w:val="0"/>
                <w:sz w:val="18"/>
              </w:rPr>
              <w:t>Δraw, cm</w:t>
            </w:r>
          </w:p>
        </w:tc>
        <w:tc>
          <w:tcPr>
            <w:tcW w:type="dxa" w:w="2665"/>
          </w:tcPr>
          <w:p>
            <w:pPr>
              <w:spacing w:before="0" w:after="0" w:line="240" w:lineRule="auto"/>
            </w:pPr>
            <w:r/>
            <w:r>
              <w:rPr>
                <w:rFonts w:ascii="Times New Roman" w:hAnsi="Times New Roman" w:cs="Times New Roman"/>
                <w:b/>
                <w:i w:val="0"/>
                <w:sz w:val="18"/>
              </w:rPr>
              <w:t>RMS jerk, m/s³</w:t>
            </w:r>
          </w:p>
        </w:tc>
      </w:tr>
      <w:tr>
        <w:tc>
          <w:tcPr>
            <w:tcW w:type="dxa" w:w="3061"/>
          </w:tcPr>
          <w:p>
            <w:pPr>
              <w:spacing w:before="0" w:after="0" w:line="240" w:lineRule="auto"/>
            </w:pPr>
            <w:r/>
            <w:r>
              <w:rPr>
                <w:rFonts w:ascii="Times New Roman" w:hAnsi="Times New Roman" w:cs="Times New Roman"/>
                <w:b w:val="0"/>
                <w:i w:val="0"/>
                <w:sz w:val="18"/>
              </w:rPr>
              <w:t>Raw landmarks</w:t>
            </w:r>
          </w:p>
        </w:tc>
        <w:tc>
          <w:tcPr>
            <w:tcW w:type="dxa" w:w="1814"/>
          </w:tcPr>
          <w:p>
            <w:pPr>
              <w:spacing w:before="0" w:after="0" w:line="240" w:lineRule="auto"/>
            </w:pPr>
            <w:r/>
            <w:r>
              <w:rPr>
                <w:rFonts w:ascii="Times New Roman" w:hAnsi="Times New Roman" w:cs="Times New Roman"/>
                <w:b w:val="0"/>
                <w:i w:val="0"/>
                <w:sz w:val="18"/>
              </w:rPr>
              <w:t>0</w:t>
            </w:r>
          </w:p>
        </w:tc>
        <w:tc>
          <w:tcPr>
            <w:tcW w:type="dxa" w:w="2041"/>
          </w:tcPr>
          <w:p>
            <w:pPr>
              <w:spacing w:before="0" w:after="0" w:line="240" w:lineRule="auto"/>
            </w:pPr>
            <w:r/>
            <w:r>
              <w:rPr>
                <w:rFonts w:ascii="Times New Roman" w:hAnsi="Times New Roman" w:cs="Times New Roman"/>
                <w:b w:val="0"/>
                <w:i w:val="0"/>
                <w:sz w:val="18"/>
              </w:rPr>
              <w:t>0.0</w:t>
            </w:r>
          </w:p>
        </w:tc>
        <w:tc>
          <w:tcPr>
            <w:tcW w:type="dxa" w:w="2665"/>
          </w:tcPr>
          <w:p>
            <w:pPr>
              <w:spacing w:before="0" w:after="0" w:line="240" w:lineRule="auto"/>
            </w:pPr>
            <w:r/>
            <w:r>
              <w:rPr>
                <w:rFonts w:ascii="Times New Roman" w:hAnsi="Times New Roman" w:cs="Times New Roman"/>
                <w:b w:val="0"/>
                <w:i w:val="0"/>
                <w:sz w:val="18"/>
              </w:rPr>
              <w:t>17334</w:t>
            </w:r>
          </w:p>
        </w:tc>
      </w:tr>
      <w:tr>
        <w:tc>
          <w:tcPr>
            <w:tcW w:type="dxa" w:w="3061"/>
          </w:tcPr>
          <w:p>
            <w:pPr>
              <w:spacing w:before="0" w:after="0" w:line="240" w:lineRule="auto"/>
            </w:pPr>
            <w:r/>
            <w:r>
              <w:rPr>
                <w:rFonts w:ascii="Times New Roman" w:hAnsi="Times New Roman" w:cs="Times New Roman"/>
                <w:b w:val="0"/>
                <w:i w:val="0"/>
                <w:sz w:val="18"/>
              </w:rPr>
              <w:t>Median only</w:t>
            </w:r>
          </w:p>
        </w:tc>
        <w:tc>
          <w:tcPr>
            <w:tcW w:type="dxa" w:w="1814"/>
          </w:tcPr>
          <w:p>
            <w:pPr>
              <w:spacing w:before="0" w:after="0" w:line="240" w:lineRule="auto"/>
            </w:pPr>
            <w:r/>
            <w:r>
              <w:rPr>
                <w:rFonts w:ascii="Times New Roman" w:hAnsi="Times New Roman" w:cs="Times New Roman"/>
                <w:b w:val="0"/>
                <w:i w:val="0"/>
                <w:sz w:val="18"/>
              </w:rPr>
              <w:t>143</w:t>
            </w:r>
          </w:p>
        </w:tc>
        <w:tc>
          <w:tcPr>
            <w:tcW w:type="dxa" w:w="2041"/>
          </w:tcPr>
          <w:p>
            <w:pPr>
              <w:spacing w:before="0" w:after="0" w:line="240" w:lineRule="auto"/>
            </w:pPr>
            <w:r/>
            <w:r>
              <w:rPr>
                <w:rFonts w:ascii="Times New Roman" w:hAnsi="Times New Roman" w:cs="Times New Roman"/>
                <w:b w:val="0"/>
                <w:i w:val="0"/>
                <w:sz w:val="18"/>
              </w:rPr>
              <w:t>15.3</w:t>
            </w:r>
          </w:p>
        </w:tc>
        <w:tc>
          <w:tcPr>
            <w:tcW w:type="dxa" w:w="2665"/>
          </w:tcPr>
          <w:p>
            <w:pPr>
              <w:spacing w:before="0" w:after="0" w:line="240" w:lineRule="auto"/>
            </w:pPr>
            <w:r/>
            <w:r>
              <w:rPr>
                <w:rFonts w:ascii="Times New Roman" w:hAnsi="Times New Roman" w:cs="Times New Roman"/>
                <w:b w:val="0"/>
                <w:i w:val="0"/>
                <w:sz w:val="18"/>
              </w:rPr>
              <w:t>14448</w:t>
            </w:r>
          </w:p>
        </w:tc>
      </w:tr>
      <w:tr>
        <w:tc>
          <w:tcPr>
            <w:tcW w:type="dxa" w:w="3061"/>
          </w:tcPr>
          <w:p>
            <w:pPr>
              <w:spacing w:before="0" w:after="0" w:line="240" w:lineRule="auto"/>
            </w:pPr>
            <w:r/>
            <w:r>
              <w:rPr>
                <w:rFonts w:ascii="Times New Roman" w:hAnsi="Times New Roman" w:cs="Times New Roman"/>
                <w:b w:val="0"/>
                <w:i w:val="0"/>
                <w:sz w:val="18"/>
              </w:rPr>
              <w:t>Kalman only</w:t>
            </w:r>
          </w:p>
        </w:tc>
        <w:tc>
          <w:tcPr>
            <w:tcW w:type="dxa" w:w="1814"/>
          </w:tcPr>
          <w:p>
            <w:pPr>
              <w:spacing w:before="0" w:after="0" w:line="240" w:lineRule="auto"/>
            </w:pPr>
            <w:r/>
            <w:r>
              <w:rPr>
                <w:rFonts w:ascii="Times New Roman" w:hAnsi="Times New Roman" w:cs="Times New Roman"/>
                <w:b w:val="0"/>
                <w:i w:val="0"/>
                <w:sz w:val="18"/>
              </w:rPr>
              <w:t>157</w:t>
            </w:r>
          </w:p>
        </w:tc>
        <w:tc>
          <w:tcPr>
            <w:tcW w:type="dxa" w:w="2041"/>
          </w:tcPr>
          <w:p>
            <w:pPr>
              <w:spacing w:before="0" w:after="0" w:line="240" w:lineRule="auto"/>
            </w:pPr>
            <w:r/>
            <w:r>
              <w:rPr>
                <w:rFonts w:ascii="Times New Roman" w:hAnsi="Times New Roman" w:cs="Times New Roman"/>
                <w:b w:val="0"/>
                <w:i w:val="0"/>
                <w:sz w:val="18"/>
              </w:rPr>
              <w:t>9.4</w:t>
            </w:r>
          </w:p>
        </w:tc>
        <w:tc>
          <w:tcPr>
            <w:tcW w:type="dxa" w:w="2665"/>
          </w:tcPr>
          <w:p>
            <w:pPr>
              <w:spacing w:before="0" w:after="0" w:line="240" w:lineRule="auto"/>
            </w:pPr>
            <w:r/>
            <w:r>
              <w:rPr>
                <w:rFonts w:ascii="Times New Roman" w:hAnsi="Times New Roman" w:cs="Times New Roman"/>
                <w:b w:val="0"/>
                <w:i w:val="0"/>
                <w:sz w:val="18"/>
              </w:rPr>
              <w:t>881</w:t>
            </w:r>
          </w:p>
        </w:tc>
      </w:tr>
      <w:tr>
        <w:tc>
          <w:tcPr>
            <w:tcW w:type="dxa" w:w="3061"/>
          </w:tcPr>
          <w:p>
            <w:pPr>
              <w:spacing w:before="0" w:after="0" w:line="240" w:lineRule="auto"/>
            </w:pPr>
            <w:r/>
            <w:r>
              <w:rPr>
                <w:rFonts w:ascii="Times New Roman" w:hAnsi="Times New Roman" w:cs="Times New Roman"/>
                <w:b w:val="0"/>
                <w:i w:val="0"/>
                <w:sz w:val="18"/>
              </w:rPr>
              <w:t>Kalman + RTS</w:t>
            </w:r>
          </w:p>
        </w:tc>
        <w:tc>
          <w:tcPr>
            <w:tcW w:type="dxa" w:w="1814"/>
          </w:tcPr>
          <w:p>
            <w:pPr>
              <w:spacing w:before="0" w:after="0" w:line="240" w:lineRule="auto"/>
            </w:pPr>
            <w:r/>
            <w:r>
              <w:rPr>
                <w:rFonts w:ascii="Times New Roman" w:hAnsi="Times New Roman" w:cs="Times New Roman"/>
                <w:b w:val="0"/>
                <w:i w:val="0"/>
                <w:sz w:val="18"/>
              </w:rPr>
              <w:t>162</w:t>
            </w:r>
          </w:p>
        </w:tc>
        <w:tc>
          <w:tcPr>
            <w:tcW w:type="dxa" w:w="2041"/>
          </w:tcPr>
          <w:p>
            <w:pPr>
              <w:spacing w:before="0" w:after="0" w:line="240" w:lineRule="auto"/>
            </w:pPr>
            <w:r/>
            <w:r>
              <w:rPr>
                <w:rFonts w:ascii="Times New Roman" w:hAnsi="Times New Roman" w:cs="Times New Roman"/>
                <w:b w:val="0"/>
                <w:i w:val="0"/>
                <w:sz w:val="18"/>
              </w:rPr>
              <w:t>141.4</w:t>
            </w:r>
          </w:p>
        </w:tc>
        <w:tc>
          <w:tcPr>
            <w:tcW w:type="dxa" w:w="2665"/>
          </w:tcPr>
          <w:p>
            <w:pPr>
              <w:spacing w:before="0" w:after="0" w:line="240" w:lineRule="auto"/>
            </w:pPr>
            <w:r/>
            <w:r>
              <w:rPr>
                <w:rFonts w:ascii="Times New Roman" w:hAnsi="Times New Roman" w:cs="Times New Roman"/>
                <w:b w:val="0"/>
                <w:i w:val="0"/>
                <w:sz w:val="18"/>
              </w:rPr>
              <w:t>181</w:t>
            </w:r>
          </w:p>
        </w:tc>
      </w:tr>
      <w:tr>
        <w:tc>
          <w:tcPr>
            <w:tcW w:type="dxa" w:w="3061"/>
          </w:tcPr>
          <w:p>
            <w:pPr>
              <w:spacing w:before="0" w:after="0" w:line="240" w:lineRule="auto"/>
            </w:pPr>
            <w:r/>
            <w:r>
              <w:rPr>
                <w:rFonts w:ascii="Times New Roman" w:hAnsi="Times New Roman" w:cs="Times New Roman"/>
                <w:b w:val="0"/>
                <w:i w:val="0"/>
                <w:sz w:val="18"/>
              </w:rPr>
              <w:t>Kalman + RTS + despiking</w:t>
            </w:r>
          </w:p>
        </w:tc>
        <w:tc>
          <w:tcPr>
            <w:tcW w:type="dxa" w:w="1814"/>
          </w:tcPr>
          <w:p>
            <w:pPr>
              <w:spacing w:before="0" w:after="0" w:line="240" w:lineRule="auto"/>
            </w:pPr>
            <w:r/>
            <w:r>
              <w:rPr>
                <w:rFonts w:ascii="Times New Roman" w:hAnsi="Times New Roman" w:cs="Times New Roman"/>
                <w:b w:val="0"/>
                <w:i w:val="0"/>
                <w:sz w:val="18"/>
              </w:rPr>
              <w:t>0</w:t>
            </w:r>
          </w:p>
        </w:tc>
        <w:tc>
          <w:tcPr>
            <w:tcW w:type="dxa" w:w="2041"/>
          </w:tcPr>
          <w:p>
            <w:pPr>
              <w:spacing w:before="0" w:after="0" w:line="240" w:lineRule="auto"/>
            </w:pPr>
            <w:r/>
            <w:r>
              <w:rPr>
                <w:rFonts w:ascii="Times New Roman" w:hAnsi="Times New Roman" w:cs="Times New Roman"/>
                <w:b w:val="0"/>
                <w:i w:val="0"/>
                <w:sz w:val="18"/>
              </w:rPr>
              <w:t>141.4</w:t>
            </w:r>
          </w:p>
        </w:tc>
        <w:tc>
          <w:tcPr>
            <w:tcW w:type="dxa" w:w="2665"/>
          </w:tcPr>
          <w:p>
            <w:pPr>
              <w:spacing w:before="0" w:after="0" w:line="240" w:lineRule="auto"/>
            </w:pPr>
            <w:r/>
            <w:r>
              <w:rPr>
                <w:rFonts w:ascii="Times New Roman" w:hAnsi="Times New Roman" w:cs="Times New Roman"/>
                <w:b w:val="0"/>
                <w:i w:val="0"/>
                <w:sz w:val="18"/>
              </w:rPr>
              <w:t>181</w:t>
            </w:r>
          </w:p>
        </w:tc>
      </w:tr>
      <w:tr>
        <w:tc>
          <w:tcPr>
            <w:tcW w:type="dxa" w:w="3061"/>
          </w:tcPr>
          <w:p>
            <w:pPr>
              <w:spacing w:before="0" w:after="0" w:line="240" w:lineRule="auto"/>
            </w:pPr>
            <w:r/>
            <w:r>
              <w:rPr>
                <w:rFonts w:ascii="Times New Roman" w:hAnsi="Times New Roman" w:cs="Times New Roman"/>
                <w:b w:val="0"/>
                <w:i w:val="0"/>
                <w:sz w:val="18"/>
              </w:rPr>
              <w:t>Full pipeline</w:t>
            </w:r>
          </w:p>
        </w:tc>
        <w:tc>
          <w:tcPr>
            <w:tcW w:type="dxa" w:w="1814"/>
          </w:tcPr>
          <w:p>
            <w:pPr>
              <w:spacing w:before="0" w:after="0" w:line="240" w:lineRule="auto"/>
            </w:pPr>
            <w:r/>
            <w:r>
              <w:rPr>
                <w:rFonts w:ascii="Times New Roman" w:hAnsi="Times New Roman" w:cs="Times New Roman"/>
                <w:b w:val="0"/>
                <w:i w:val="0"/>
                <w:sz w:val="18"/>
              </w:rPr>
              <w:t>162</w:t>
            </w:r>
          </w:p>
        </w:tc>
        <w:tc>
          <w:tcPr>
            <w:tcW w:type="dxa" w:w="2041"/>
          </w:tcPr>
          <w:p>
            <w:pPr>
              <w:spacing w:before="0" w:after="0" w:line="240" w:lineRule="auto"/>
            </w:pPr>
            <w:r/>
            <w:r>
              <w:rPr>
                <w:rFonts w:ascii="Times New Roman" w:hAnsi="Times New Roman" w:cs="Times New Roman"/>
                <w:b w:val="0"/>
                <w:i w:val="0"/>
                <w:sz w:val="18"/>
              </w:rPr>
              <w:t>1.9</w:t>
            </w:r>
          </w:p>
        </w:tc>
        <w:tc>
          <w:tcPr>
            <w:tcW w:type="dxa" w:w="2665"/>
          </w:tcPr>
          <w:p>
            <w:pPr>
              <w:spacing w:before="0" w:after="0" w:line="240" w:lineRule="auto"/>
            </w:pPr>
            <w:r/>
            <w:r>
              <w:rPr>
                <w:rFonts w:ascii="Times New Roman" w:hAnsi="Times New Roman" w:cs="Times New Roman"/>
                <w:b w:val="0"/>
                <w:i w:val="0"/>
                <w:sz w:val="18"/>
              </w:rPr>
              <w:t>11835</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874499"/>
            <wp:docPr id="16" name="Picture 16"/>
            <wp:cNvGraphicFramePr>
              <a:graphicFrameLocks noChangeAspect="1"/>
            </wp:cNvGraphicFramePr>
            <a:graphic>
              <a:graphicData uri="http://schemas.openxmlformats.org/drawingml/2006/picture">
                <pic:pic>
                  <pic:nvPicPr>
                    <pic:cNvPr id="0" name="fig_ablation_jerk_reduction.png"/>
                    <pic:cNvPicPr/>
                  </pic:nvPicPr>
                  <pic:blipFill>
                    <a:blip r:embed="rId29"/>
                    <a:stretch>
                      <a:fillRect/>
                    </a:stretch>
                  </pic:blipFill>
                  <pic:spPr>
                    <a:xfrm>
                      <a:off x="0" y="0"/>
                      <a:ext cx="2951999" cy="3874499"/>
                    </a:xfrm>
                    <a:prstGeom prst="rect"/>
                  </pic:spPr>
                </pic:pic>
              </a:graphicData>
            </a:graphic>
          </wp:inline>
        </w:drawing>
      </w:r>
    </w:p>
    <w:p>
      <w:pPr>
        <w:keepNext/>
        <w:ind w:firstLine="0"/>
        <w:jc w:val="center"/>
      </w:pPr>
      <w:r>
        <w:rPr>
          <w:rFonts w:ascii="Times New Roman" w:hAnsi="Times New Roman" w:cs="Times New Roman"/>
          <w:b w:val="0"/>
          <w:i/>
          <w:sz w:val="22"/>
        </w:rPr>
        <w:t xml:space="preserve">Fig. 7. </w:t>
      </w:r>
      <w:r>
        <w:rPr>
          <w:rFonts w:ascii="Times New Roman" w:hAnsi="Times New Roman" w:cs="Times New Roman"/>
          <w:b/>
          <w:i w:val="0"/>
          <w:sz w:val="22"/>
        </w:rPr>
        <w:t>Root-mean-square jerk across production stages</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DISCUSSION OF RESULTS</w:t>
      </w:r>
    </w:p>
    <w:p>
      <w:pPr>
        <w:spacing w:before="0" w:after="0" w:line="240" w:lineRule="auto"/>
        <w:ind w:firstLine="425"/>
        <w:jc w:val="both"/>
      </w:pPr>
      <w:r>
        <w:rPr>
          <w:rFonts w:ascii="Times New Roman" w:hAnsi="Times New Roman" w:cs="Times New Roman"/>
          <w:b w:val="0"/>
          <w:i w:val="0"/>
          <w:sz w:val="22"/>
        </w:rPr>
        <w:t>The central result is bounded by the reference rather than by the algorithm. Selected-frame clubhead positions agreed with the two-annotator consensus to a session-level median of 2.54% of the image diagonal, and the point-level discrepancy was smaller than the disagreement between the two annotators on the same frames. That ordering is the key interpretive fact: with a reference whose own median disagreement is 4.03% of the diagonal, and whose within-observer repetition is no tighter, this design cannot demonstrate tracker accuracy below a few per cent of the frame. Reporting a single number without that comparison would overstate what a sparse visual reference can support, and the threefold change in magnitude between the consensus and a single-annotator reference makes the same point quantitatively. The centimetre estimate remains secondary because the evaluated workflow supplied its own scale and actual club lengths were not available.</w:t>
      </w:r>
    </w:p>
    <w:p>
      <w:pPr>
        <w:spacing w:before="0" w:after="0" w:line="240" w:lineRule="auto"/>
        <w:ind w:firstLine="425"/>
        <w:jc w:val="both"/>
      </w:pPr>
      <w:r>
        <w:rPr>
          <w:rFonts w:ascii="Times New Roman" w:hAnsi="Times New Roman" w:cs="Times New Roman"/>
          <w:b w:val="0"/>
          <w:i w:val="0"/>
          <w:sz w:val="22"/>
        </w:rPr>
        <w:t>Adding a second annotator and a repeat round therefore did more than satisfy a reviewer requirement: it changed the conclusion. The intra-rater round shows that the dispersion is not a disagreement between people about swing mechanics, since one observer repeating the same frames scattered as widely as two observers did. What limits precision is the operational definition of a clubhead point on blurred, fast-moving frames, and improving it - for example by annotating a geometrically defined landmark such as the shaft-head junction, or by restricting annotation to frames with a resolvable head - is a prerequisite for any tighter geometric claim.</w:t>
      </w:r>
    </w:p>
    <w:p>
      <w:pPr>
        <w:spacing w:before="0" w:after="0" w:line="240" w:lineRule="auto"/>
        <w:ind w:firstLine="425"/>
        <w:jc w:val="both"/>
      </w:pPr>
      <w:r>
        <w:rPr>
          <w:rFonts w:ascii="Times New Roman" w:hAnsi="Times New Roman" w:cs="Times New Roman"/>
          <w:b w:val="0"/>
          <w:i w:val="0"/>
          <w:sz w:val="22"/>
        </w:rPr>
        <w:t>The timing audit materially changes interpretation of the event result. Presentation-time and landmark-grid discrepancies were at most tens of milliseconds and the inter-rater event disagreement was 4 frames, whereas the automatic event disagreement was 38 to 40 frames, or 780 to 940 ms. The large early bias therefore survives both a processed-video time-base check and an explicit measurement of reference uncertainty, which is what distinguishes it from the trajectory result. The transition comparison additionally exposed a definition problem: one automatic transition output had been presented as if it independently detected top of backswing and downswing transition. The revised analysis treats these as two comparisons of one proxy, and the human data support that treatment, because the annotators themselves separated the two events by a median of only 3 frames. Source-video trimming and preprocessing history remain unverified.</w:t>
      </w:r>
    </w:p>
    <w:p>
      <w:pPr>
        <w:spacing w:before="0" w:after="0" w:line="240" w:lineRule="auto"/>
        <w:ind w:firstLine="425"/>
        <w:jc w:val="both"/>
      </w:pPr>
      <w:r>
        <w:rPr>
          <w:rFonts w:ascii="Times New Roman" w:hAnsi="Times New Roman" w:cs="Times New Roman"/>
          <w:b w:val="0"/>
          <w:i w:val="0"/>
          <w:sz w:val="22"/>
        </w:rPr>
        <w:t>The perturbation study supports a relative statement, not a validity claim. Path efficiency and smoothness index responded less than the other tested outputs and reached no high-response scenario, but neither has been validated against expertise, shot outcome, coach judgement, or user benefit, and path efficiency still changed by 24.8% under the larger jitter dose. Rank preservation ran in the opposite direction to magnitude stability, with curvature RMS and maximum angular velocity retaining session ordering better than the two least responsive metrics, which shows why a single "robust" label is inadequate. Numerical stability is one property of an implementation; construct validity and application tolerance are separate questions.</w:t>
      </w:r>
    </w:p>
    <w:p>
      <w:pPr>
        <w:spacing w:before="0" w:after="0" w:line="240" w:lineRule="auto"/>
        <w:ind w:firstLine="425"/>
        <w:jc w:val="both"/>
      </w:pPr>
      <w:r>
        <w:rPr>
          <w:rFonts w:ascii="Times New Roman" w:hAnsi="Times New Roman" w:cs="Times New Roman"/>
          <w:b w:val="0"/>
          <w:i w:val="0"/>
          <w:sz w:val="22"/>
        </w:rPr>
        <w:t>The production-stage ablation is a negative but actionable diagnostic. Correcting the smoother's predicted covariance was necessary for the production and ablation paths to describe the same algorithm, but it did not make the smoothed output usable on its own: the stage still moves the trajectory more than a metre from the observed path, despiking never activates, and bounded reconstruction blends the path back toward raw observations at the cost of derivative variation. The appropriate response is not to claim that every stage contributes, but to retune the smoother's noise model, retune or remove the inactive stage, and repeat all reference and perturbation analyses on the revised pipeline.</w:t>
      </w:r>
    </w:p>
    <w:p>
      <w:pPr>
        <w:spacing w:before="0" w:after="0" w:line="240" w:lineRule="auto"/>
        <w:ind w:firstLine="425"/>
        <w:jc w:val="both"/>
      </w:pPr>
      <w:r>
        <w:rPr>
          <w:rFonts w:ascii="Times New Roman" w:hAnsi="Times New Roman" w:cs="Times New Roman"/>
          <w:b w:val="0"/>
          <w:i w:val="0"/>
          <w:sz w:val="22"/>
        </w:rPr>
        <w:t>The study has substantial limitations. The reference is sparse, two-dimensional, and imprecise at the scale discussed above, and it covers frames chosen because a click was possible, which creates verification bias. Two annotators and one repeat round support agreement statistics but no intraclass correlation, standard error of measurement, or minimal detectable change, because participant identities and repeated athlete trials are unavailable. Points are clustered within sessions and viewpoint groups are imbalanced. The consensus mean rule is disclosed but arbitrary; an expert re-adjudication of each disagreement would give a different reference. The perturbations are author-defined stress tests with one stochastic realization per session. Monocular two-dimensional coordinates cannot resolve depth, perspective, or foreshortening. Participant identities and detailed acquisition metadata are unavailable in the export. These limitations affect the strength of the conclusions and are not dismissed as inconsequential.</w:t>
      </w:r>
    </w:p>
    <w:p>
      <w:pPr>
        <w:spacing w:before="0" w:after="0" w:line="240" w:lineRule="auto"/>
        <w:ind w:firstLine="425"/>
        <w:jc w:val="both"/>
      </w:pPr>
      <w:r>
        <w:rPr>
          <w:rFonts w:ascii="Times New Roman" w:hAnsi="Times New Roman" w:cs="Times New Roman"/>
          <w:b w:val="0"/>
          <w:i w:val="0"/>
          <w:sz w:val="22"/>
        </w:rPr>
        <w:t>For application, the observed agreement may be compatible with coarse trajectory visualization in some settings, but application-specific acceptability thresholds have not been established, and the event output is not usable for phase-based feedback. The data do not justify biomechanical impact analysis, athlete-to-athlete comparison, real-time reliability claims, or unqualified coaching and virtual-reality feedback. Such uses require an independently calibrated reference, verified provenance, repeated athlete trials, a tighter annotation definition, and a user- or task-specific tolerance study.</w:t>
      </w:r>
    </w:p>
    <w:p>
      <w:pPr>
        <w:keepNext/>
        <w:spacing w:before="120" w:after="120" w:line="240" w:lineRule="auto"/>
        <w:ind w:firstLine="0"/>
        <w:jc w:val="center"/>
      </w:pPr>
      <w:r>
        <w:rPr>
          <w:rFonts w:ascii="Times New Roman" w:hAnsi="Times New Roman" w:cs="Times New Roman"/>
          <w:b/>
          <w:i w:val="0"/>
          <w:sz w:val="22"/>
        </w:rPr>
        <w:t>CONCLUSIONS</w:t>
      </w:r>
    </w:p>
    <w:p>
      <w:pPr>
        <w:spacing w:before="0" w:after="0" w:line="240" w:lineRule="auto"/>
        <w:ind w:firstLine="425"/>
        <w:jc w:val="both"/>
      </w:pPr>
      <w:r>
        <w:rPr>
          <w:rFonts w:ascii="Times New Roman" w:hAnsi="Times New Roman" w:cs="Times New Roman"/>
          <w:b w:val="0"/>
          <w:i w:val="0"/>
          <w:sz w:val="22"/>
        </w:rPr>
        <w:t>The study demonstrates that the current workflow disagrees substantially with a two-annotator consensus on event frames, firing a median 38 to 40 frames, or 780 to 940 ms, early. That disagreement is about ten times the inter-rater event disagreement of 4 frames and two orders of magnitude larger than the 67 ms maximum time-base discrepancy, so it reflects detector behaviour rather than reference noise or synchronization error. One automatic transition output had additionally been compared with two manual definitions that the annotators themselves separated by a median of only 3 frames.</w:t>
      </w:r>
    </w:p>
    <w:p>
      <w:pPr>
        <w:spacing w:before="0" w:after="0" w:line="240" w:lineRule="auto"/>
        <w:ind w:firstLine="425"/>
        <w:jc w:val="both"/>
      </w:pPr>
      <w:r>
        <w:rPr>
          <w:rFonts w:ascii="Times New Roman" w:hAnsi="Times New Roman" w:cs="Times New Roman"/>
          <w:b w:val="0"/>
          <w:i w:val="0"/>
          <w:sz w:val="22"/>
        </w:rPr>
        <w:t>For selected clubhead frames, the median of session-specific discrepancies with the consensus was 2.54% of the image diagonal, or 46.2 pixels, with 14.7% of points above 100 pixels and 2.0% above 500 pixels. Because the two annotators disagreed by a median of 4.03% of the diagonal, and because one annotator repeating the same frames was no more consistent, this result establishes agreement at the resolution the reference can support and does not establish tracker accuracy below that level.</w:t>
      </w:r>
    </w:p>
    <w:p>
      <w:pPr>
        <w:spacing w:before="0" w:after="0" w:line="240" w:lineRule="auto"/>
        <w:ind w:firstLine="425"/>
        <w:jc w:val="both"/>
      </w:pPr>
      <w:r>
        <w:rPr>
          <w:rFonts w:ascii="Times New Roman" w:hAnsi="Times New Roman" w:cs="Times New Roman"/>
          <w:b w:val="0"/>
          <w:i w:val="0"/>
          <w:sz w:val="22"/>
        </w:rPr>
        <w:t>Path efficiency and smoothness index showed the lowest response to the 12 study-specific perturbations, with no high-response scenario, while derivative metrics showed larger magnitude responses but sometimes better rank preservation. These results describe numerical sensitivity only. They do not establish that any metric validly measures swing quality or is suitable for cross-athlete comparison.</w:t>
      </w:r>
    </w:p>
    <w:p>
      <w:pPr>
        <w:spacing w:before="0" w:after="0" w:line="240" w:lineRule="auto"/>
        <w:ind w:firstLine="425"/>
        <w:jc w:val="both"/>
      </w:pPr>
      <w:r>
        <w:rPr>
          <w:rFonts w:ascii="Times New Roman" w:hAnsi="Times New Roman" w:cs="Times New Roman"/>
          <w:b w:val="0"/>
          <w:i w:val="0"/>
          <w:sz w:val="22"/>
        </w:rPr>
        <w:t>The production-stage ablation, repeated after a process-noise correction to the Rauch-Tung-Striebel smoother, identified a residual departure of the smoothed trajectory from the observed path, no activation of despiking, and renewed derivative variation after final reconstruction. Before submission as a validation study, the pipeline should be corrected and re-evaluated; a tighter clubhead annotation definition, repeat athlete trials, independent spatial calibration, and complete acquisition metadata are required. The present contribution is therefore a reproducible multi-rater protocol, an explicit measurement of reference precision, and a bounded 2D agreement and stress-test result, not full external validation or reliability evidence.</w:t>
      </w:r>
    </w:p>
    <w:p>
      <w:pPr>
        <w:keepNext/>
        <w:spacing w:before="120" w:after="120" w:line="240" w:lineRule="auto"/>
        <w:ind w:firstLine="0"/>
        <w:jc w:val="center"/>
      </w:pPr>
      <w:r>
        <w:rPr>
          <w:rFonts w:ascii="Times New Roman" w:hAnsi="Times New Roman" w:cs="Times New Roman"/>
          <w:b/>
          <w:i w:val="0"/>
          <w:sz w:val="22"/>
        </w:rPr>
        <w:t>ACKNOWLEDGMENTS</w:t>
      </w:r>
    </w:p>
    <w:p>
      <w:pPr>
        <w:spacing w:before="0" w:after="0" w:line="240" w:lineRule="auto"/>
        <w:ind w:firstLine="425"/>
        <w:jc w:val="both"/>
      </w:pPr>
      <w:r>
        <w:rPr>
          <w:rFonts w:ascii="Times New Roman" w:hAnsi="Times New Roman" w:cs="Times New Roman"/>
          <w:b w:val="0"/>
          <w:i w:val="0"/>
          <w:sz w:val="22"/>
        </w:rPr>
        <w:t>The authors thank Daria Plokhotniuk for independent reference annotation, and the research supervisor and collaborators who reviewed the manuscript and the motion-analysis workflow. Responsibility for the data, analysis, interpretation, and final text remains with the authors.</w:t>
      </w:r>
    </w:p>
    <w:p>
      <w:pPr>
        <w:spacing w:before="0" w:after="0" w:line="240" w:lineRule="auto"/>
        <w:ind w:firstLine="425"/>
        <w:jc w:val="both"/>
      </w:pPr>
      <w:r>
        <w:rPr>
          <w:rFonts w:ascii="Times New Roman" w:hAnsi="Times New Roman" w:cs="Times New Roman"/>
          <w:b w:val="0"/>
          <w:i w:val="0"/>
          <w:sz w:val="22"/>
        </w:rPr>
        <w:t>Use of generative AI tools: AI-assisted language revision, consistency checking, and code review were performed with GPT-5.6 Sol, Claude Opus 5, and Cursor Grok 4.6 in Cursor during manuscript preparation in 2026. The authors reviewed the resulting text and remain responsible for the data, methods, interpretation, references, and final manuscript.</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b w:val="0"/>
          <w:i w:val="0"/>
          <w:sz w:val="22"/>
        </w:rPr>
        <w:t xml:space="preserve">7. Davis, D. J. &amp; Challis, J. H. “Automatic segment filtering procedure for processing non-stationary signals”. </w:t>
      </w:r>
      <w:r>
        <w:rPr>
          <w:rFonts w:ascii="Times New Roman" w:hAnsi="Times New Roman" w:cs="Times New Roman"/>
          <w:b w:val="0"/>
          <w:i/>
          <w:sz w:val="22"/>
        </w:rPr>
        <w:t>Journal of Biomechanics</w:t>
      </w:r>
      <w:r>
        <w:rPr>
          <w:rFonts w:ascii="Times New Roman" w:hAnsi="Times New Roman" w:cs="Times New Roman"/>
          <w:b w:val="0"/>
          <w:i w:val="0"/>
          <w:sz w:val="22"/>
        </w:rPr>
        <w:t>. 2020; Vol. 101: 109619. DOI: https://doi.org/10.1016/j.jbiomech.2020.109619.</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b w:val="0"/>
          <w:i w:val="0"/>
          <w:sz w:val="22"/>
        </w:rPr>
        <w:t xml:space="preserve">24. Kim, S. E., Burket Koltsov, J. C., Richards, A. W., Zhou, J., Schadl, K., Ladd, A. L. &amp; Rose, J. “Validation of inertial measurement units for analyzing golf swing rotational biomechanics”. </w:t>
      </w:r>
      <w:r>
        <w:rPr>
          <w:rFonts w:ascii="Times New Roman" w:hAnsi="Times New Roman" w:cs="Times New Roman"/>
          <w:b w:val="0"/>
          <w:i/>
          <w:sz w:val="22"/>
        </w:rPr>
        <w:t>Sensors</w:t>
      </w:r>
      <w:r>
        <w:rPr>
          <w:rFonts w:ascii="Times New Roman" w:hAnsi="Times New Roman" w:cs="Times New Roman"/>
          <w:b w:val="0"/>
          <w:i w:val="0"/>
          <w:sz w:val="22"/>
        </w:rPr>
        <w:t>. 2023; Vol. 23, No. 20: 8433. DOI: https://doi.org/10.3390/s23208433.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b w:val="0"/>
          <w:i w:val="0"/>
          <w:sz w:val="22"/>
        </w:rPr>
        <w:t xml:space="preserve">30. Ingwersen, C. K., Nørtoft Jensen, J., Rieger Hannemose, M. &amp; Bjorholm Dahl, A. “Evaluating current state of monocular 3D pose models for golf”. </w:t>
      </w:r>
      <w:r>
        <w:rPr>
          <w:rFonts w:ascii="Times New Roman" w:hAnsi="Times New Roman" w:cs="Times New Roman"/>
          <w:b w:val="0"/>
          <w:i/>
          <w:sz w:val="22"/>
        </w:rPr>
        <w:t>Proceedings of the Northern Lights Deep Learning Workshop</w:t>
      </w:r>
      <w:r>
        <w:rPr>
          <w:rFonts w:ascii="Times New Roman" w:hAnsi="Times New Roman" w:cs="Times New Roman"/>
          <w:b w:val="0"/>
          <w:i w:val="0"/>
          <w:sz w:val="22"/>
        </w:rPr>
        <w:t>. 2023; Vol. 4. DOI: https://doi.org/10.7557/18.6793.</w:t>
      </w:r>
    </w:p>
    <w:p>
      <w:pPr>
        <w:spacing w:before="0" w:after="0" w:line="240" w:lineRule="auto"/>
        <w:ind w:firstLine="425"/>
        <w:jc w:val="both"/>
      </w:pPr>
      <w:r>
        <w:rPr>
          <w:rFonts w:ascii="Times New Roman" w:hAnsi="Times New Roman" w:cs="Times New Roman"/>
          <w:b w:val="0"/>
          <w:i w:val="0"/>
          <w:sz w:val="22"/>
        </w:rPr>
        <w:t xml:space="preserve">31. Yamamoto, K., Hasegawa, Y., Suzuki, T., Suzuki, H., Tanabe, H. &amp; Fujii, K. “Extracting proficiency differences and individual characteristics in golfers' swing using single-video markerless motion analysis”. </w:t>
      </w:r>
      <w:r>
        <w:rPr>
          <w:rFonts w:ascii="Times New Roman" w:hAnsi="Times New Roman" w:cs="Times New Roman"/>
          <w:b w:val="0"/>
          <w:i/>
          <w:sz w:val="22"/>
        </w:rPr>
        <w:t>Frontiers in Sports and Active Living</w:t>
      </w:r>
      <w:r>
        <w:rPr>
          <w:rFonts w:ascii="Times New Roman" w:hAnsi="Times New Roman" w:cs="Times New Roman"/>
          <w:b w:val="0"/>
          <w:i w:val="0"/>
          <w:sz w:val="22"/>
        </w:rPr>
        <w:t>. 2023; Vol. 5: 1272038. DOI: https://doi.org/10.3389/fspor.2023.1272038.</w:t>
      </w:r>
    </w:p>
    <w:p>
      <w:pPr>
        <w:spacing w:before="0" w:after="0" w:line="240" w:lineRule="auto"/>
        <w:ind w:firstLine="425"/>
        <w:jc w:val="both"/>
      </w:pPr>
      <w:r>
        <w:rPr>
          <w:rFonts w:ascii="Times New Roman" w:hAnsi="Times New Roman" w:cs="Times New Roman"/>
          <w:b w:val="0"/>
          <w:i w:val="0"/>
          <w:sz w:val="22"/>
        </w:rPr>
        <w:t xml:space="preserve">32. Syniuk, I. M., Maksymov, M. V., Maksymov, O. M. &amp; Iyer, K. “Markerless video-based golf-stick motion analysis using Kalman filtering and RTS smoothing”. </w:t>
      </w:r>
      <w:r>
        <w:rPr>
          <w:rFonts w:ascii="Times New Roman" w:hAnsi="Times New Roman" w:cs="Times New Roman"/>
          <w:b w:val="0"/>
          <w:i/>
          <w:sz w:val="22"/>
        </w:rPr>
        <w:t>Unpublished manuscript</w:t>
      </w:r>
      <w:r>
        <w:rPr>
          <w:rFonts w:ascii="Times New Roman" w:hAnsi="Times New Roman" w:cs="Times New Roman"/>
          <w:b w:val="0"/>
          <w:i w:val="0"/>
          <w:sz w:val="22"/>
        </w:rPr>
        <w:t>. 2026.</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pPr>
        <w:spacing w:line="240" w:lineRule="auto"/>
        <w:ind w:firstLine="0"/>
        <w:jc w:val="both"/>
      </w:pPr>
      <w:r>
        <w:rPr>
          <w:rFonts w:ascii="Times New Roman" w:hAnsi="Times New Roman" w:cs="Times New Roman"/>
          <w:b w:val="0"/>
          <w:i w:val="0"/>
          <w:sz w:val="22"/>
        </w:rPr>
        <w:t>Ethics and consent: No ethics-committee approval was required. The analysed recordings are anonymized public demonstration footage used for algorithmic evaluation; they do not constitute identifiable human-participant research data for the purposes reported here. No participant image is reproduced.</w:t>
      </w:r>
    </w:p>
    <w:p>
      <w:pPr>
        <w:spacing w:line="240" w:lineRule="auto"/>
        <w:ind w:firstLine="0"/>
        <w:jc w:val="both"/>
      </w:pPr>
      <w:r>
        <w:rPr>
          <w:rFonts w:ascii="Times New Roman" w:hAnsi="Times New Roman" w:cs="Times New Roman"/>
          <w:b w:val="0"/>
          <w:i w:val="0"/>
          <w:sz w:val="22"/>
        </w:rPr>
        <w:t>Data availability: Analysis code, derived aggregate tables, and de-identified session-level outputs can be made available on request. Source demonstration videos are not separately released as a public dataset in this submission.</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Еталонне оцінювання двовимірної узгодженості та чутливості до збурень безмаркерного відеоаналізу руху ключки для гольфу за неоднорідних умов зйомки</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Безмаркерний відеоаналіз може розширити доступ до вимірювання гольф-свінгу, однак візуальна правдоподібність не доводить валідності вимірювань, а один анотатор не дає змоги оцінити точність самого еталона. У дослідженні оцінено узгодженість і чутливість до збурень монокулярного пайплайну аналізу руху ключки для гольфу щодо багатоекспертного візуального еталона, власну невизначеність якого визначено попередньо. Із 71 неоднорідного опрацьованого запису за стратами ракурсу, класу швидкості зйомки та якості відео відібрано 25 сесій. Два анотатори незалежно позначили вихідне положення, вершину замаху, перехід до даунсвінгу та удар у всіх 25 сесіях, а також позначили головку ключки на спільному плані з 150 кадрів; перший анотатор повторив 10 сесій для внутрішньоекспертного раунду. Анотатори не бачили автоматичних накладень і координат один одного. Розкрите правило середнього об'єднало раунди у консенсусний еталон, який використано для всіх порівнянь з алгоритмом. Між анотаторами кадри подій узгоджувалися з медіаною 4 кадри, або 80 мс, за 13% точних збігів і межами узгодженості від -13,1 до +12,9 кадру, тоді як повторний раунд одного анотатора дав медіану 2 кадри. Позначення головки ключки узгоджувалися значно гірше: медіанна розбіжність становила 77,1 пікселя, або 4,03% діагоналі кадру, між анотаторами та 78,5 пікселя в межах одного анотатора, тому сам еталон визначає положення головки лише з точністю кількох відсотків кадру. Один автоматичний вихід переходу використовувався як проксі для двох ручних подій і не був двома незалежними детекторами; анотатори розділяли ці події медіаною лише 3 кадри. Щодо консенсусу автоматичні події спрацьовували на 38-40 кадрів, або 780-940 мс, раніше, із середнім зміщенням від -1699 до -1824 мс, що приблизно вдесятеро перевищує людську розбіжність і значно перевищує максимальну розбіжність часової сітки 67 мс. Медіана сесійних медіан розбіжності головки ключки становила 2,54% діагоналі кадру (95% довірчий інтервал 1,98-2,88%), або 46,2 пікселя (41,4-51,9), що нижче міжекспертної розбіжності самого еталона; похибка 22 із 150 точок перевищувала 100 пікселів, а 3 точок - 500 пікселів. Ефективність траєкторії та індекс плавності мали найменшу реакцію на збурення з медіанними абсолютними симетричними змінами 5,9% і 6,2% без сценаріїв високої реакції серед дванадцяти, тоді як темп свінгу, пікова швидкість бек-свінгу та середньоквадратична кривина змінювалися на 39,6-74,4%. Абляція виробничих етапів, виконана після внесення шуму процесу у згладжувач Рауха-Тунга-Штрібеля, показала, що згладжений результат усе ще відходить від спостережуваного шляху на медіанні 141,4 см, що видалення викидів не змінило жодної точки, а фінальна обмежена реконструкція відновлює геометрію, повертаючи середньоквадратичний ривок до 11 835 м/с³. Отримані дані доводять розріджену двовимірну узгодженість, обмежену точністю еталона, і реакцію алгоритму на стрес-тести. Вони не доводять зовнішньої біомеханічної валідності, надійності test-retest, порівнюваності між спортсменами чи достатності для тренерського зворотного зв'язку та віртуальної реальності.</w:t>
      </w:r>
    </w:p>
    <w:p>
      <w:pPr>
        <w:spacing w:before="120" w:after="0" w:line="240" w:lineRule="auto"/>
        <w:ind w:firstLine="425"/>
        <w:jc w:val="both"/>
      </w:pPr>
      <w:r>
        <w:rPr>
          <w:rFonts w:ascii="Times New Roman" w:hAnsi="Times New Roman" w:cs="Times New Roman"/>
          <w:b/>
          <w:i w:val="0"/>
          <w:sz w:val="18"/>
        </w:rPr>
        <w:t xml:space="preserve">Ключові слова: </w:t>
      </w:r>
      <w:r>
        <w:rPr>
          <w:rFonts w:ascii="Times New Roman" w:hAnsi="Times New Roman" w:cs="Times New Roman"/>
          <w:b w:val="0"/>
          <w:i w:val="0"/>
          <w:sz w:val="18"/>
        </w:rPr>
        <w:t>безмаркерний аналіз руху; гольф-свінг; відстеження головки ключки; міжекспертна узгодженість; аналіз збурень; узгодженість вимірювань</w:t>
      </w:r>
    </w:p>
    <w:p>
      <w:pPr>
        <w:spacing w:before="240" w:after="120" w:line="240" w:lineRule="auto"/>
        <w:ind w:firstLine="0"/>
        <w:jc w:val="both"/>
      </w:pPr>
      <w:r>
        <w:rPr>
          <w:rFonts w:ascii="Times New Roman" w:hAnsi="Times New Roman" w:cs="Times New Roman"/>
          <w:b/>
          <w:i/>
          <w:sz w:val="16"/>
        </w:rPr>
        <w:t xml:space="preserve">Для цитування: </w:t>
      </w:r>
      <w:r>
        <w:rPr>
          <w:rFonts w:ascii="Times New Roman" w:hAnsi="Times New Roman" w:cs="Times New Roman"/>
          <w:b/>
          <w:i w:val="0"/>
          <w:sz w:val="16"/>
        </w:rPr>
        <w:t>Синюк І. М., Максимов М. В., Максимов О. М., Айєр К. «Еталонне оцінювання двовимірної узгодженості та чутливості до збурень безмаркерного відеоаналізу руху ключки для гольфу за неоднорідних умов зйомки».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