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Stargazer AI SaaS Website Product Requirements</w:t>
      </w:r>
    </w:p>
    <w:p>
      <w:pPr>
        <w:pStyle w:val="Subtitle"/>
      </w:pPr>
      <w:r>
        <w:t>Version 1.0 | 24 October 2026 | Prepared for Ivan Tang</w:t>
      </w:r>
    </w:p>
    <w:p>
      <w:bookmarkStart w:id="1" w:name="section_1"/>
      <w:pPr>
        <w:pStyle w:val="Heading1"/>
      </w:pPr>
      <w:r>
        <w:t>1 Product summary and decisions</w:t>
      </w:r>
      <w:bookmarkEnd w:id="1"/>
    </w:p>
    <w:p>
      <w:r>
        <w:t>Stargazer will provide a public website and an authenticated SaaS workspace that help businesses evaluate, purchase, and use practical AI software. The proposed first paid product is the Knowledge Workspace: a shared collection of approved business documents that employees can question in English or Traditional Chinese, with answers linked to supporting passages. This product choice is a planning proposal to validate with prospective customers. The website will explain the product, provide a controlled demonstration, start trials, qualify implementation enquiries, and support recurring subscriptions.</w:t>
      </w:r>
    </w:p>
    <w:p>
      <w:r>
        <w:t>The first release must deliver one complete customer journey: understand the use case, try sample questions, register, upload documents, receive a useful answer, inspect its sources, and purchase continued access. This journey determines the MVP. A broader product catalogue can follow after customers demonstrate repeat use and willingness to pay.</w:t>
      </w:r>
    </w:p>
    <w:p>
      <w:r>
        <w:t>Stargazer is the product brand. The final domain, contracting entity, and relationship to any existing company brand are publication decisions. The site must display the correct legal entity in its terms, privacy notice, invoices, and contact information. Existing products, client logos, testimonials, and revenue figures may appear only after their ownership and publication permission are verified.</w:t>
      </w:r>
    </w:p>
    <w:p>
      <w:r>
        <w:t>This specification proposes Hong Kong SMEs and professional services teams as the initial audience. English and Traditional Chinese are required at launch. Prices, conversion targets, delivery estimates, and operating limits are planning hypotheses to validate through customer interviews and a controlled beta; they are not claims about existing performance or market benchmarks.</w:t>
      </w:r>
    </w:p>
    <w:p>
      <w:r>
        <w:t>The product owner is responsible for scope, commercial decisions, and acceptance. Design owns the interface and content presentation. Engineering owns implementation and operational readiness. A named privacy reviewer and customer support owner must be assigned before external customers upload business information.</w:t>
      </w:r>
    </w:p>
    <w:p>
      <w:r>
        <w:br w:type="page"/>
      </w:r>
    </w:p>
    <w:p>
      <w:pPr>
        <w:pStyle w:val="Heading1"/>
        <w:spacing w:before="0"/>
      </w:pPr>
      <w:r>
        <w:t>Contents</w:t>
      </w:r>
    </w:p>
    <w:p>
      <w:pPr>
        <w:spacing w:after="100" w:line="252" w:lineRule="auto"/>
      </w:pPr>
      <w:hyperlink w:anchor="section_1" w:history="1">
        <w:r>
          <w:rPr>
            <w:color w:val="000000"/>
            <w:rFonts w:ascii="Nimbus Sans" w:hAnsi="Nimbus Sans"/>
            <w:sz w:val="22"/>
          </w:rPr>
          <w:t>1 Product summary and decisions</w:t>
        </w:r>
      </w:hyperlink>
    </w:p>
    <w:p>
      <w:pPr>
        <w:spacing w:after="100" w:line="252" w:lineRule="auto"/>
      </w:pPr>
      <w:hyperlink w:anchor="section_2" w:history="1">
        <w:r>
          <w:rPr>
            <w:color w:val="000000"/>
            <w:rFonts w:ascii="Nimbus Sans" w:hAnsi="Nimbus Sans"/>
            <w:sz w:val="22"/>
          </w:rPr>
          <w:t>2 Customer problem and product proposition</w:t>
        </w:r>
      </w:hyperlink>
    </w:p>
    <w:p>
      <w:pPr>
        <w:spacing w:after="100" w:line="252" w:lineRule="auto"/>
      </w:pPr>
      <w:hyperlink w:anchor="section_3" w:history="1">
        <w:r>
          <w:rPr>
            <w:color w:val="000000"/>
            <w:rFonts w:ascii="Nimbus Sans" w:hAnsi="Nimbus Sans"/>
            <w:sz w:val="22"/>
          </w:rPr>
          <w:t>3 Users and buying situations</w:t>
        </w:r>
      </w:hyperlink>
    </w:p>
    <w:p>
      <w:pPr>
        <w:spacing w:after="100" w:line="252" w:lineRule="auto"/>
      </w:pPr>
      <w:hyperlink w:anchor="section_4" w:history="1">
        <w:r>
          <w:rPr>
            <w:color w:val="000000"/>
            <w:rFonts w:ascii="Nimbus Sans" w:hAnsi="Nimbus Sans"/>
            <w:sz w:val="22"/>
          </w:rPr>
          <w:t>4 Goals and measurement</w:t>
        </w:r>
      </w:hyperlink>
    </w:p>
    <w:p>
      <w:pPr>
        <w:spacing w:after="100" w:line="252" w:lineRule="auto"/>
      </w:pPr>
      <w:hyperlink w:anchor="section_5" w:history="1">
        <w:r>
          <w:rPr>
            <w:color w:val="000000"/>
            <w:rFonts w:ascii="Nimbus Sans" w:hAnsi="Nimbus Sans"/>
            <w:sz w:val="22"/>
          </w:rPr>
          <w:t>5 Scope and release boundaries</w:t>
        </w:r>
      </w:hyperlink>
    </w:p>
    <w:p>
      <w:pPr>
        <w:spacing w:after="100" w:line="252" w:lineRule="auto"/>
      </w:pPr>
      <w:hyperlink w:anchor="section_6" w:history="1">
        <w:r>
          <w:rPr>
            <w:color w:val="000000"/>
            <w:rFonts w:ascii="Nimbus Sans" w:hAnsi="Nimbus Sans"/>
            <w:sz w:val="22"/>
          </w:rPr>
          <w:t>6 Information architecture</w:t>
        </w:r>
      </w:hyperlink>
    </w:p>
    <w:p>
      <w:pPr>
        <w:spacing w:after="100" w:line="252" w:lineRule="auto"/>
      </w:pPr>
      <w:hyperlink w:anchor="section_7" w:history="1">
        <w:r>
          <w:rPr>
            <w:color w:val="000000"/>
            <w:rFonts w:ascii="Nimbus Sans" w:hAnsi="Nimbus Sans"/>
            <w:sz w:val="22"/>
          </w:rPr>
          <w:t>7 Brand and interface direction</w:t>
        </w:r>
      </w:hyperlink>
    </w:p>
    <w:p>
      <w:pPr>
        <w:spacing w:after="100" w:line="252" w:lineRule="auto"/>
      </w:pPr>
      <w:hyperlink w:anchor="section_8" w:history="1">
        <w:r>
          <w:rPr>
            <w:color w:val="000000"/>
            <w:rFonts w:ascii="Nimbus Sans" w:hAnsi="Nimbus Sans"/>
            <w:sz w:val="22"/>
          </w:rPr>
          <w:t>8 Public website requirements</w:t>
        </w:r>
      </w:hyperlink>
    </w:p>
    <w:p>
      <w:pPr>
        <w:spacing w:after="100" w:line="252" w:lineRule="auto"/>
      </w:pPr>
      <w:hyperlink w:anchor="section_9" w:history="1">
        <w:r>
          <w:rPr>
            <w:color w:val="000000"/>
            <w:rFonts w:ascii="Nimbus Sans" w:hAnsi="Nimbus Sans"/>
            <w:sz w:val="22"/>
          </w:rPr>
          <w:t>9 Demo and onboarding</w:t>
        </w:r>
      </w:hyperlink>
    </w:p>
    <w:p>
      <w:pPr>
        <w:spacing w:after="100" w:line="252" w:lineRule="auto"/>
      </w:pPr>
      <w:hyperlink w:anchor="section_10" w:history="1">
        <w:r>
          <w:rPr>
            <w:color w:val="000000"/>
            <w:rFonts w:ascii="Nimbus Sans" w:hAnsi="Nimbus Sans"/>
            <w:sz w:val="22"/>
          </w:rPr>
          <w:t>10 Knowledge Workspace requirements</w:t>
        </w:r>
      </w:hyperlink>
    </w:p>
    <w:p>
      <w:pPr>
        <w:spacing w:after="100" w:line="252" w:lineRule="auto"/>
      </w:pPr>
      <w:hyperlink w:anchor="section_11" w:history="1">
        <w:r>
          <w:rPr>
            <w:color w:val="000000"/>
            <w:rFonts w:ascii="Nimbus Sans" w:hAnsi="Nimbus Sans"/>
            <w:sz w:val="22"/>
          </w:rPr>
          <w:t>11 Roles and organization controls</w:t>
        </w:r>
      </w:hyperlink>
    </w:p>
    <w:p>
      <w:pPr>
        <w:spacing w:after="100" w:line="252" w:lineRule="auto"/>
      </w:pPr>
      <w:hyperlink w:anchor="section_12" w:history="1">
        <w:r>
          <w:rPr>
            <w:color w:val="000000"/>
            <w:rFonts w:ascii="Nimbus Sans" w:hAnsi="Nimbus Sans"/>
            <w:sz w:val="22"/>
          </w:rPr>
          <w:t>12 Pricing and subscription behavior</w:t>
        </w:r>
      </w:hyperlink>
    </w:p>
    <w:p>
      <w:pPr>
        <w:spacing w:after="100" w:line="252" w:lineRule="auto"/>
      </w:pPr>
      <w:hyperlink w:anchor="section_13" w:history="1">
        <w:r>
          <w:rPr>
            <w:color w:val="000000"/>
            <w:rFonts w:ascii="Nimbus Sans" w:hAnsi="Nimbus Sans"/>
            <w:sz w:val="22"/>
          </w:rPr>
          <w:t>13 Administration and support</w:t>
        </w:r>
      </w:hyperlink>
    </w:p>
    <w:p>
      <w:pPr>
        <w:spacing w:after="100" w:line="252" w:lineRule="auto"/>
      </w:pPr>
      <w:hyperlink w:anchor="section_14" w:history="1">
        <w:r>
          <w:rPr>
            <w:color w:val="000000"/>
            <w:rFonts w:ascii="Nimbus Sans" w:hAnsi="Nimbus Sans"/>
            <w:sz w:val="22"/>
          </w:rPr>
          <w:t>14 AI behavior and quality assurance</w:t>
        </w:r>
      </w:hyperlink>
    </w:p>
    <w:p>
      <w:pPr>
        <w:spacing w:after="100" w:line="252" w:lineRule="auto"/>
      </w:pPr>
      <w:hyperlink w:anchor="section_15" w:history="1">
        <w:r>
          <w:rPr>
            <w:color w:val="000000"/>
            <w:rFonts w:ascii="Nimbus Sans" w:hAnsi="Nimbus Sans"/>
            <w:sz w:val="22"/>
          </w:rPr>
          <w:t>15 Technical architecture</w:t>
        </w:r>
      </w:hyperlink>
    </w:p>
    <w:p>
      <w:pPr>
        <w:spacing w:after="100" w:line="252" w:lineRule="auto"/>
      </w:pPr>
      <w:hyperlink w:anchor="section_16" w:history="1">
        <w:r>
          <w:rPr>
            <w:color w:val="000000"/>
            <w:rFonts w:ascii="Nimbus Sans" w:hAnsi="Nimbus Sans"/>
            <w:sz w:val="22"/>
          </w:rPr>
          <w:t>16 Data model and API contracts</w:t>
        </w:r>
      </w:hyperlink>
    </w:p>
    <w:p>
      <w:pPr>
        <w:spacing w:after="100" w:line="252" w:lineRule="auto"/>
      </w:pPr>
      <w:hyperlink w:anchor="section_17" w:history="1">
        <w:r>
          <w:rPr>
            <w:color w:val="000000"/>
            <w:rFonts w:ascii="Nimbus Sans" w:hAnsi="Nimbus Sans"/>
            <w:sz w:val="22"/>
          </w:rPr>
          <w:t>17 Privacy and security requirements</w:t>
        </w:r>
      </w:hyperlink>
    </w:p>
    <w:p>
      <w:pPr>
        <w:spacing w:after="100" w:line="252" w:lineRule="auto"/>
      </w:pPr>
      <w:hyperlink w:anchor="section_18" w:history="1">
        <w:r>
          <w:rPr>
            <w:color w:val="000000"/>
            <w:rFonts w:ascii="Nimbus Sans" w:hAnsi="Nimbus Sans"/>
            <w:sz w:val="22"/>
          </w:rPr>
          <w:t>18 Accessibility and service quality</w:t>
        </w:r>
      </w:hyperlink>
    </w:p>
    <w:p>
      <w:pPr>
        <w:spacing w:after="100" w:line="252" w:lineRule="auto"/>
      </w:pPr>
      <w:hyperlink w:anchor="section_19" w:history="1">
        <w:r>
          <w:rPr>
            <w:color w:val="000000"/>
            <w:rFonts w:ascii="Nimbus Sans" w:hAnsi="Nimbus Sans"/>
            <w:sz w:val="22"/>
          </w:rPr>
          <w:t>19 Localization and search discovery</w:t>
        </w:r>
      </w:hyperlink>
    </w:p>
    <w:p>
      <w:pPr>
        <w:spacing w:after="100" w:line="252" w:lineRule="auto"/>
      </w:pPr>
      <w:hyperlink w:anchor="section_20" w:history="1">
        <w:r>
          <w:rPr>
            <w:color w:val="000000"/>
            <w:rFonts w:ascii="Nimbus Sans" w:hAnsi="Nimbus Sans"/>
            <w:sz w:val="22"/>
          </w:rPr>
          <w:t>20 Analytics and growth experiments</w:t>
        </w:r>
      </w:hyperlink>
    </w:p>
    <w:p>
      <w:pPr>
        <w:spacing w:after="100" w:line="252" w:lineRule="auto"/>
      </w:pPr>
      <w:hyperlink w:anchor="section_21" w:history="1">
        <w:r>
          <w:rPr>
            <w:color w:val="000000"/>
            <w:rFonts w:ascii="Nimbus Sans" w:hAnsi="Nimbus Sans"/>
            <w:sz w:val="22"/>
          </w:rPr>
          <w:t>21 Delivery plan and dependencies</w:t>
        </w:r>
      </w:hyperlink>
    </w:p>
    <w:p>
      <w:pPr>
        <w:spacing w:after="100" w:line="252" w:lineRule="auto"/>
      </w:pPr>
      <w:hyperlink w:anchor="section_22" w:history="1">
        <w:r>
          <w:rPr>
            <w:color w:val="000000"/>
            <w:rFonts w:ascii="Nimbus Sans" w:hAnsi="Nimbus Sans"/>
            <w:sz w:val="22"/>
          </w:rPr>
          <w:t>22 Acceptance and release verification</w:t>
        </w:r>
      </w:hyperlink>
    </w:p>
    <w:p>
      <w:pPr>
        <w:spacing w:after="100" w:line="252" w:lineRule="auto"/>
      </w:pPr>
      <w:hyperlink w:anchor="section_23" w:history="1">
        <w:r>
          <w:rPr>
            <w:color w:val="000000"/>
            <w:rFonts w:ascii="Nimbus Sans" w:hAnsi="Nimbus Sans"/>
            <w:sz w:val="22"/>
          </w:rPr>
          <w:t>23 Risks and decision register</w:t>
        </w:r>
      </w:hyperlink>
    </w:p>
    <w:p>
      <w:pPr>
        <w:spacing w:after="100" w:line="252" w:lineRule="auto"/>
      </w:pPr>
      <w:hyperlink w:anchor="section_24" w:history="1">
        <w:r>
          <w:rPr>
            <w:color w:val="000000"/>
            <w:rFonts w:ascii="Nimbus Sans" w:hAnsi="Nimbus Sans"/>
            <w:sz w:val="22"/>
          </w:rPr>
          <w:t>24 Reference sources</w:t>
        </w:r>
      </w:hyperlink>
    </w:p>
    <w:p>
      <w:r>
        <w:br w:type="page"/>
      </w:r>
    </w:p>
    <w:p>
      <w:bookmarkStart w:id="2" w:name="section_2"/>
      <w:pPr>
        <w:pStyle w:val="Heading1"/>
        <w:spacing w:before="0"/>
      </w:pPr>
      <w:r>
        <w:t>2 Customer problem and product proposition</w:t>
      </w:r>
      <w:bookmarkEnd w:id="2"/>
    </w:p>
    <w:p>
      <w:r>
        <w:t>The central hypothesis is that small teams lose time finding approved answers across policies, product information, operating instructions, and other business documents. Employees often ask a colleague because they do not know which document is current or where the relevant passage appears. A generic AI conversation may produce plausible text without establishing whether that text reflects the company's actual procedures.</w:t>
      </w:r>
    </w:p>
    <w:p>
      <w:r>
        <w:t>Stargazer will organize a narrower workflow around approved source material. A workspace administrator uploads documents, checks processing status, and maintains the collection. An employee asks a question and examines the supporting evidence. When the documents do not contain the answer, the product explains the gap and identifies what additional information would help. The value proposition depends on useful retrieval, understandable evidence, and a manageable setup process.</w:t>
      </w:r>
    </w:p>
    <w:p>
      <w:r>
        <w:t>The proposed website headline is "Answers from your business documents, with sources your team can check." Supporting copy should explain inputs, outputs, setup, and limitations in ordinary language. Marketing must avoid unverified percentages, promises of perfect accuracy, and claims that a subscription replaces professional judgment.</w:t>
      </w:r>
    </w:p>
    <w:p>
      <w:r>
        <w:t>The website supports two purchasing paths. Smaller customers can start a trial and subscribe independently. Customers needing document preparation, staff training, or integrations can request a scoped implementation discussion. Software subscriptions and implementation services must have separate descriptions, prices, and revenue reporting so the business can assess whether the repeatable product is succeeding.</w:t>
      </w:r>
    </w:p>
    <w:p>
      <w:bookmarkStart w:id="3" w:name="section_3"/>
      <w:pPr>
        <w:pStyle w:val="Heading1"/>
      </w:pPr>
      <w:r>
        <w:t>3 Users and buying situations</w:t>
      </w:r>
      <w:bookmarkEnd w:id="3"/>
    </w:p>
    <w:p>
      <w:r>
        <w:t>The primary buyer is an SME founder or operations manager responsible for recurring internal questions and process consistency. This buyer needs a clear demonstration, predictable spending, a credible description of data handling, and enough control to introduce the product to a small team. Their key question is whether Stargazer solves a recurring task with less setup and supervision than their current process.</w:t>
      </w:r>
    </w:p>
    <w:p>
      <w:r>
        <w:t>The primary daily user is an employee looking for an answer while performing a task. They need a readable response, a source passage, and an easy way to report a problem. Model selection, token accounting, and retrieval configuration should remain outside their normal workflow.</w:t>
      </w:r>
    </w:p>
    <w:p>
      <w:r>
        <w:t>A workspace administrator maintains the shared knowledge collection and team membership. They need clear document states, version replacement, usage visibility, and an understanding of which files every member can access. A technical or procurement reviewer needs accurate details about subprocessors, retention, access controls, support, and contractual responsibilities.</w:t>
      </w:r>
    </w:p>
    <w:p>
      <w:r>
        <w:t>Initial use cases are internal operations, employee onboarding, product information, and customer support preparation. The first release should focus on ordinary business reference material. Workflows requiring departmental confidentiality, autonomous transactions, or specialized regulated decisions need additional product controls and are outside the initial shared-document model.</w:t>
      </w:r>
    </w:p>
    <w:p>
      <w:r>
        <w:t>Before finalizing positioning, interview at least ten prospective buyers and observe at least five existing document-search workflows. Record question frequency, document formats, language needs, setup effort, current alternatives, and willingness to pay. Use these observations to select the first demonstration dataset and three solution-page examples.</w:t>
      </w:r>
    </w:p>
    <w:p>
      <w:bookmarkStart w:id="4" w:name="section_4"/>
      <w:pPr>
        <w:pStyle w:val="Heading1"/>
      </w:pPr>
      <w:r>
        <w:t>4 Goals and measurement</w:t>
      </w:r>
      <w:bookmarkEnd w:id="4"/>
    </w:p>
    <w:p>
      <w:r>
        <w:t>The main product goal is a workspace that customers return to because it produces useful, inspectable answers. Acquisition measures indicate whether the website attracts interest; activation and retention establish whether the SaaS delivers value. Revenue alone can conceal a product that depends on substantial manual support, so cost and support effort must also be measured.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256"/>
        <w:gridCol w:w="3024"/>
      </w:tblGrid>
      <w:tr>
        <w:trPr>
          <w:cantSplit/>
          <w:tblHeader/>
        </w:trPr>
        <w:tc>
          <w:tcPr>
            <w:tcW w:type="dxa" w:w="1800"/>
            <w:vAlign w:val="center"/>
            <w:tcMar>
              <w:top w:w="85" w:type="dxa"/>
              <w:bottom w:w="85" w:type="dxa"/>
              <w:left w:w="95" w:type="dxa"/>
              <w:right w:w="95" w:type="dxa"/>
            </w:tcMar>
            <w:shd w:fill="203D59"/>
          </w:tcPr>
          <w:p>
            <w:pPr>
              <w:spacing w:after="0" w:line="252" w:lineRule="auto"/>
            </w:pPr>
            <w:r>
              <w:rPr>
                <w:b/>
                <w:color w:val="FFFFFF"/>
                <w:sz w:val="20"/>
              </w:rPr>
              <w:t>Measure</w:t>
            </w:r>
          </w:p>
        </w:tc>
        <w:tc>
          <w:tcPr>
            <w:tcW w:type="dxa" w:w="5256"/>
            <w:vAlign w:val="center"/>
            <w:tcMar>
              <w:top w:w="85" w:type="dxa"/>
              <w:bottom w:w="85" w:type="dxa"/>
              <w:left w:w="95" w:type="dxa"/>
              <w:right w:w="95" w:type="dxa"/>
            </w:tcMar>
            <w:shd w:fill="203D59"/>
          </w:tcPr>
          <w:p>
            <w:pPr>
              <w:spacing w:after="0" w:line="252" w:lineRule="auto"/>
            </w:pPr>
            <w:r>
              <w:rPr>
                <w:b/>
                <w:color w:val="FFFFFF"/>
                <w:sz w:val="20"/>
              </w:rPr>
              <w:t>Definition</w:t>
            </w:r>
          </w:p>
        </w:tc>
        <w:tc>
          <w:tcPr>
            <w:tcW w:type="dxa" w:w="3024"/>
            <w:vAlign w:val="center"/>
            <w:tcMar>
              <w:top w:w="85" w:type="dxa"/>
              <w:bottom w:w="85" w:type="dxa"/>
              <w:left w:w="95" w:type="dxa"/>
              <w:right w:w="95" w:type="dxa"/>
            </w:tcMar>
            <w:shd w:fill="203D59"/>
          </w:tcPr>
          <w:p>
            <w:pPr>
              <w:spacing w:after="0" w:line="252" w:lineRule="auto"/>
            </w:pPr>
            <w:r>
              <w:rPr>
                <w:b/>
                <w:color w:val="FFFFFF"/>
                <w:sz w:val="20"/>
              </w:rPr>
              <w:t>Initial target</w:t>
            </w:r>
          </w:p>
        </w:tc>
      </w:tr>
      <w:tr>
        <w:trPr>
          <w:cantSplit/>
        </w:trPr>
        <w:tc>
          <w:tcPr>
            <w:tcW w:type="dxa" w:w="1800"/>
            <w:vAlign w:val="center"/>
            <w:tcMar>
              <w:top w:w="85" w:type="dxa"/>
              <w:bottom w:w="85" w:type="dxa"/>
              <w:left w:w="95" w:type="dxa"/>
              <w:right w:w="95" w:type="dxa"/>
            </w:tcMar>
            <w:shd w:fill="FFFFFF"/>
          </w:tcPr>
          <w:p>
            <w:pPr>
              <w:spacing w:after="0" w:line="252" w:lineRule="auto"/>
            </w:pPr>
            <w:r>
              <w:rPr>
                <w:sz w:val="20"/>
              </w:rPr>
              <w:t>Activation</w:t>
            </w:r>
          </w:p>
        </w:tc>
        <w:tc>
          <w:tcPr>
            <w:tcW w:type="dxa" w:w="5256"/>
            <w:vAlign w:val="center"/>
            <w:tcMar>
              <w:top w:w="85" w:type="dxa"/>
              <w:bottom w:w="85" w:type="dxa"/>
              <w:left w:w="95" w:type="dxa"/>
              <w:right w:w="95" w:type="dxa"/>
            </w:tcMar>
            <w:shd w:fill="FFFFFF"/>
          </w:tcPr>
          <w:p>
            <w:pPr>
              <w:spacing w:after="0" w:line="252" w:lineRule="auto"/>
            </w:pPr>
            <w:r>
              <w:rPr>
                <w:sz w:val="20"/>
              </w:rPr>
              <w:t>New organization receives an answer from its own documents and opens a cited source within seven days</w:t>
            </w:r>
          </w:p>
        </w:tc>
        <w:tc>
          <w:tcPr>
            <w:tcW w:type="dxa" w:w="3024"/>
            <w:vAlign w:val="center"/>
            <w:tcMar>
              <w:top w:w="85" w:type="dxa"/>
              <w:bottom w:w="85" w:type="dxa"/>
              <w:left w:w="95" w:type="dxa"/>
              <w:right w:w="95" w:type="dxa"/>
            </w:tcMar>
            <w:shd w:fill="FFFFFF"/>
          </w:tcPr>
          <w:p>
            <w:pPr>
              <w:spacing w:after="0" w:line="252" w:lineRule="auto"/>
            </w:pPr>
            <w:r>
              <w:rPr>
                <w:sz w:val="20"/>
              </w:rPr>
              <w:t>40 percent of verified trial organizations</w:t>
            </w:r>
          </w:p>
        </w:tc>
      </w:tr>
      <w:tr>
        <w:trPr>
          <w:cantSplit/>
        </w:trPr>
        <w:tc>
          <w:tcPr>
            <w:tcW w:type="dxa" w:w="1800"/>
            <w:vAlign w:val="center"/>
            <w:tcMar>
              <w:top w:w="85" w:type="dxa"/>
              <w:bottom w:w="85" w:type="dxa"/>
              <w:left w:w="95" w:type="dxa"/>
              <w:right w:w="95" w:type="dxa"/>
            </w:tcMar>
            <w:shd w:fill="F2F5F8"/>
          </w:tcPr>
          <w:p>
            <w:pPr>
              <w:spacing w:after="0" w:line="252" w:lineRule="auto"/>
            </w:pPr>
            <w:r>
              <w:rPr>
                <w:sz w:val="20"/>
              </w:rPr>
              <w:t>Time to first value</w:t>
            </w:r>
          </w:p>
        </w:tc>
        <w:tc>
          <w:tcPr>
            <w:tcW w:type="dxa" w:w="5256"/>
            <w:vAlign w:val="center"/>
            <w:tcMar>
              <w:top w:w="85" w:type="dxa"/>
              <w:bottom w:w="85" w:type="dxa"/>
              <w:left w:w="95" w:type="dxa"/>
              <w:right w:w="95" w:type="dxa"/>
            </w:tcMar>
            <w:shd w:fill="F2F5F8"/>
          </w:tcPr>
          <w:p>
            <w:pPr>
              <w:spacing w:after="0" w:line="252" w:lineRule="auto"/>
            </w:pPr>
            <w:r>
              <w:rPr>
                <w:sz w:val="20"/>
              </w:rPr>
              <w:t>Time from first eligible upload to first source inspection</w:t>
            </w:r>
          </w:p>
        </w:tc>
        <w:tc>
          <w:tcPr>
            <w:tcW w:type="dxa" w:w="3024"/>
            <w:vAlign w:val="center"/>
            <w:tcMar>
              <w:top w:w="85" w:type="dxa"/>
              <w:bottom w:w="85" w:type="dxa"/>
              <w:left w:w="95" w:type="dxa"/>
              <w:right w:w="95" w:type="dxa"/>
            </w:tcMar>
            <w:shd w:fill="F2F5F8"/>
          </w:tcPr>
          <w:p>
            <w:pPr>
              <w:spacing w:after="0" w:line="252" w:lineRule="auto"/>
            </w:pPr>
            <w:r>
              <w:rPr>
                <w:sz w:val="20"/>
              </w:rPr>
              <w:t>Median below ten minutes, excluding user inactivity</w:t>
            </w:r>
          </w:p>
        </w:tc>
      </w:tr>
      <w:tr>
        <w:trPr>
          <w:cantSplit/>
        </w:trPr>
        <w:tc>
          <w:tcPr>
            <w:tcW w:type="dxa" w:w="1800"/>
            <w:vAlign w:val="center"/>
            <w:tcMar>
              <w:top w:w="85" w:type="dxa"/>
              <w:bottom w:w="85" w:type="dxa"/>
              <w:left w:w="95" w:type="dxa"/>
              <w:right w:w="95" w:type="dxa"/>
            </w:tcMar>
            <w:shd w:fill="FFFFFF"/>
          </w:tcPr>
          <w:p>
            <w:pPr>
              <w:spacing w:after="0" w:line="252" w:lineRule="auto"/>
            </w:pPr>
            <w:r>
              <w:rPr>
                <w:sz w:val="20"/>
              </w:rPr>
              <w:t>Trial conversion</w:t>
            </w:r>
          </w:p>
        </w:tc>
        <w:tc>
          <w:tcPr>
            <w:tcW w:type="dxa" w:w="5256"/>
            <w:vAlign w:val="center"/>
            <w:tcMar>
              <w:top w:w="85" w:type="dxa"/>
              <w:bottom w:w="85" w:type="dxa"/>
              <w:left w:w="95" w:type="dxa"/>
              <w:right w:w="95" w:type="dxa"/>
            </w:tcMar>
            <w:shd w:fill="FFFFFF"/>
          </w:tcPr>
          <w:p>
            <w:pPr>
              <w:spacing w:after="0" w:line="252" w:lineRule="auto"/>
            </w:pPr>
            <w:r>
              <w:rPr>
                <w:sz w:val="20"/>
              </w:rPr>
              <w:t>Trial organization becomes a paying organization within thirty days of trial creation</w:t>
            </w:r>
          </w:p>
        </w:tc>
        <w:tc>
          <w:tcPr>
            <w:tcW w:type="dxa" w:w="3024"/>
            <w:vAlign w:val="center"/>
            <w:tcMar>
              <w:top w:w="85" w:type="dxa"/>
              <w:bottom w:w="85" w:type="dxa"/>
              <w:left w:w="95" w:type="dxa"/>
              <w:right w:w="95" w:type="dxa"/>
            </w:tcMar>
            <w:shd w:fill="FFFFFF"/>
          </w:tcPr>
          <w:p>
            <w:pPr>
              <w:spacing w:after="0" w:line="252" w:lineRule="auto"/>
            </w:pPr>
            <w:r>
              <w:rPr>
                <w:sz w:val="20"/>
              </w:rPr>
              <w:t>15 percent, assessed after at least fifty trials</w:t>
            </w:r>
          </w:p>
        </w:tc>
      </w:tr>
      <w:tr>
        <w:trPr>
          <w:cantSplit/>
        </w:trPr>
        <w:tc>
          <w:tcPr>
            <w:tcW w:type="dxa" w:w="1800"/>
            <w:vAlign w:val="center"/>
            <w:tcMar>
              <w:top w:w="85" w:type="dxa"/>
              <w:bottom w:w="85" w:type="dxa"/>
              <w:left w:w="95" w:type="dxa"/>
              <w:right w:w="95" w:type="dxa"/>
            </w:tcMar>
            <w:shd w:fill="F2F5F8"/>
          </w:tcPr>
          <w:p>
            <w:pPr>
              <w:spacing w:after="0" w:line="252" w:lineRule="auto"/>
            </w:pPr>
            <w:r>
              <w:rPr>
                <w:sz w:val="20"/>
              </w:rPr>
              <w:t>Weekly retained use</w:t>
            </w:r>
          </w:p>
        </w:tc>
        <w:tc>
          <w:tcPr>
            <w:tcW w:type="dxa" w:w="5256"/>
            <w:vAlign w:val="center"/>
            <w:tcMar>
              <w:top w:w="85" w:type="dxa"/>
              <w:bottom w:w="85" w:type="dxa"/>
              <w:left w:w="95" w:type="dxa"/>
              <w:right w:w="95" w:type="dxa"/>
            </w:tcMar>
            <w:shd w:fill="F2F5F8"/>
          </w:tcPr>
          <w:p>
            <w:pPr>
              <w:spacing w:after="0" w:line="252" w:lineRule="auto"/>
            </w:pPr>
            <w:r>
              <w:rPr>
                <w:sz w:val="20"/>
              </w:rPr>
              <w:t>Activated organizations complete at least three questions in week four</w:t>
            </w:r>
          </w:p>
        </w:tc>
        <w:tc>
          <w:tcPr>
            <w:tcW w:type="dxa" w:w="3024"/>
            <w:vAlign w:val="center"/>
            <w:tcMar>
              <w:top w:w="85" w:type="dxa"/>
              <w:bottom w:w="85" w:type="dxa"/>
              <w:left w:w="95" w:type="dxa"/>
              <w:right w:w="95" w:type="dxa"/>
            </w:tcMar>
            <w:shd w:fill="F2F5F8"/>
          </w:tcPr>
          <w:p>
            <w:pPr>
              <w:spacing w:after="0" w:line="252" w:lineRule="auto"/>
            </w:pPr>
            <w:r>
              <w:rPr>
                <w:sz w:val="20"/>
              </w:rPr>
              <w:t>50 percent of eligible activated organizations</w:t>
            </w:r>
          </w:p>
        </w:tc>
      </w:tr>
      <w:tr>
        <w:trPr>
          <w:cantSplit/>
        </w:trPr>
        <w:tc>
          <w:tcPr>
            <w:tcW w:type="dxa" w:w="1800"/>
            <w:vAlign w:val="center"/>
            <w:tcMar>
              <w:top w:w="85" w:type="dxa"/>
              <w:bottom w:w="85" w:type="dxa"/>
              <w:left w:w="95" w:type="dxa"/>
              <w:right w:w="95" w:type="dxa"/>
            </w:tcMar>
            <w:shd w:fill="FFFFFF"/>
          </w:tcPr>
          <w:p>
            <w:pPr>
              <w:spacing w:after="0" w:line="252" w:lineRule="auto"/>
            </w:pPr>
            <w:r>
              <w:rPr>
                <w:sz w:val="20"/>
              </w:rPr>
              <w:t>Answer usefulness</w:t>
            </w:r>
          </w:p>
        </w:tc>
        <w:tc>
          <w:tcPr>
            <w:tcW w:type="dxa" w:w="5256"/>
            <w:vAlign w:val="center"/>
            <w:tcMar>
              <w:top w:w="85" w:type="dxa"/>
              <w:bottom w:w="85" w:type="dxa"/>
              <w:left w:w="95" w:type="dxa"/>
              <w:right w:w="95" w:type="dxa"/>
            </w:tcMar>
            <w:shd w:fill="FFFFFF"/>
          </w:tcPr>
          <w:p>
            <w:pPr>
              <w:spacing w:after="0" w:line="252" w:lineRule="auto"/>
            </w:pPr>
            <w:r>
              <w:rPr>
                <w:sz w:val="20"/>
              </w:rPr>
              <w:t>Reviewed benchmark answers are correct enough for the stated task and adequately supported</w:t>
            </w:r>
          </w:p>
        </w:tc>
        <w:tc>
          <w:tcPr>
            <w:tcW w:type="dxa" w:w="3024"/>
            <w:vAlign w:val="center"/>
            <w:tcMar>
              <w:top w:w="85" w:type="dxa"/>
              <w:bottom w:w="85" w:type="dxa"/>
              <w:left w:w="95" w:type="dxa"/>
              <w:right w:w="95" w:type="dxa"/>
            </w:tcMar>
            <w:shd w:fill="FFFFFF"/>
          </w:tcPr>
          <w:p>
            <w:pPr>
              <w:spacing w:after="0" w:line="252" w:lineRule="auto"/>
            </w:pPr>
            <w:r>
              <w:rPr>
                <w:sz w:val="20"/>
              </w:rPr>
              <w:t>At least 85 percent</w:t>
            </w:r>
          </w:p>
        </w:tc>
      </w:tr>
      <w:tr>
        <w:trPr>
          <w:cantSplit/>
        </w:trPr>
        <w:tc>
          <w:tcPr>
            <w:tcW w:type="dxa" w:w="1800"/>
            <w:vAlign w:val="center"/>
            <w:tcMar>
              <w:top w:w="85" w:type="dxa"/>
              <w:bottom w:w="85" w:type="dxa"/>
              <w:left w:w="95" w:type="dxa"/>
              <w:right w:w="95" w:type="dxa"/>
            </w:tcMar>
            <w:shd w:fill="F2F5F8"/>
          </w:tcPr>
          <w:p>
            <w:pPr>
              <w:spacing w:after="0" w:line="252" w:lineRule="auto"/>
            </w:pPr>
            <w:r>
              <w:rPr>
                <w:sz w:val="20"/>
              </w:rPr>
              <w:t>Contribution margin</w:t>
            </w:r>
          </w:p>
        </w:tc>
        <w:tc>
          <w:tcPr>
            <w:tcW w:type="dxa" w:w="5256"/>
            <w:vAlign w:val="center"/>
            <w:tcMar>
              <w:top w:w="85" w:type="dxa"/>
              <w:bottom w:w="85" w:type="dxa"/>
              <w:left w:w="95" w:type="dxa"/>
              <w:right w:w="95" w:type="dxa"/>
            </w:tcMar>
            <w:shd w:fill="F2F5F8"/>
          </w:tcPr>
          <w:p>
            <w:pPr>
              <w:spacing w:after="0" w:line="252" w:lineRule="auto"/>
            </w:pPr>
            <w:r>
              <w:rPr>
                <w:sz w:val="20"/>
              </w:rPr>
              <w:t>Subscription revenue less attributable model, infrastructure, payment, and variable support costs</w:t>
            </w:r>
          </w:p>
        </w:tc>
        <w:tc>
          <w:tcPr>
            <w:tcW w:type="dxa" w:w="3024"/>
            <w:vAlign w:val="center"/>
            <w:tcMar>
              <w:top w:w="85" w:type="dxa"/>
              <w:bottom w:w="85" w:type="dxa"/>
              <w:left w:w="95" w:type="dxa"/>
              <w:right w:w="95" w:type="dxa"/>
            </w:tcMar>
            <w:shd w:fill="F2F5F8"/>
          </w:tcPr>
          <w:p>
            <w:pPr>
              <w:spacing w:after="0" w:line="252" w:lineRule="auto"/>
            </w:pPr>
            <w:r>
              <w:rPr>
                <w:sz w:val="20"/>
              </w:rPr>
              <w:t>At least 70 percent at normal paid usage</w:t>
            </w:r>
          </w:p>
        </w:tc>
      </w:tr>
      <w:tr>
        <w:trPr>
          <w:cantSplit/>
        </w:trPr>
        <w:tc>
          <w:tcPr>
            <w:tcW w:type="dxa" w:w="1800"/>
            <w:vAlign w:val="center"/>
            <w:tcMar>
              <w:top w:w="85" w:type="dxa"/>
              <w:bottom w:w="85" w:type="dxa"/>
              <w:left w:w="95" w:type="dxa"/>
              <w:right w:w="95" w:type="dxa"/>
            </w:tcMar>
            <w:shd w:fill="FFFFFF"/>
          </w:tcPr>
          <w:p>
            <w:pPr>
              <w:spacing w:after="0" w:line="252" w:lineRule="auto"/>
            </w:pPr>
            <w:r>
              <w:rPr>
                <w:sz w:val="20"/>
              </w:rPr>
              <w:t>Initial commercial validation</w:t>
            </w:r>
          </w:p>
        </w:tc>
        <w:tc>
          <w:tcPr>
            <w:tcW w:type="dxa" w:w="5256"/>
            <w:vAlign w:val="center"/>
            <w:tcMar>
              <w:top w:w="85" w:type="dxa"/>
              <w:bottom w:w="85" w:type="dxa"/>
              <w:left w:w="95" w:type="dxa"/>
              <w:right w:w="95" w:type="dxa"/>
            </w:tcMar>
            <w:shd w:fill="FFFFFF"/>
          </w:tcPr>
          <w:p>
            <w:pPr>
              <w:spacing w:after="0" w:line="252" w:lineRule="auto"/>
            </w:pPr>
            <w:r>
              <w:rPr>
                <w:sz w:val="20"/>
              </w:rPr>
              <w:t>Paying organizations recruited through a controlled pilot</w:t>
            </w:r>
          </w:p>
        </w:tc>
        <w:tc>
          <w:tcPr>
            <w:tcW w:type="dxa" w:w="3024"/>
            <w:vAlign w:val="center"/>
            <w:tcMar>
              <w:top w:w="85" w:type="dxa"/>
              <w:bottom w:w="85" w:type="dxa"/>
              <w:left w:w="95" w:type="dxa"/>
              <w:right w:w="95" w:type="dxa"/>
            </w:tcMar>
            <w:shd w:fill="FFFFFF"/>
          </w:tcPr>
          <w:p>
            <w:pPr>
              <w:spacing w:after="0" w:line="252" w:lineRule="auto"/>
            </w:pPr>
            <w:r>
              <w:rPr>
                <w:sz w:val="20"/>
              </w:rPr>
              <w:t>Five paying organizations before adding a second product</w:t>
            </w:r>
          </w:p>
        </w:tc>
      </w:tr>
    </w:tbl>
    <w:p>
      <w:pPr>
        <w:spacing w:after="60" w:before="0" w:line="48" w:lineRule="auto"/>
      </w:pPr>
      <w:r>
        <w:rPr>
          <w:sz w:val="4"/>
        </w:rPr>
      </w:r>
    </w:p>
    <w:p>
      <w:r>
        <w:t>These targets are decision thresholds, not promises. Report sample sizes and cohort dates next to percentages. Review failed onboarding sessions and cancellation reasons alongside dashboards. The first operational dashboard should distinguish production users, staff accounts, demonstrations, bots, and test transactions.</w:t>
      </w:r>
    </w:p>
    <w:p>
      <w:r>
        <w:t>The north-star measure is the number of paying organizations completing useful knowledge tasks each week. A completed task requires a response and an observable follow-up such as opening a source, copying the answer, or submitting positive feedback. This is an imperfect usage proxy; interviews must establish whether the task actually helped the customer.</w:t>
      </w:r>
    </w:p>
    <w:p>
      <w:bookmarkStart w:id="5" w:name="section_5"/>
      <w:pPr>
        <w:pStyle w:val="Heading1"/>
      </w:pPr>
      <w:r>
        <w:t>5 Scope and release boundaries</w:t>
      </w:r>
      <w:bookmarkEnd w:id="5"/>
    </w:p>
    <w:p>
      <w:r>
        <w:t>P0 is required for the paid launch. It includes the bilingual public website, a synthetic-data demo, registration, one workspace per organization, role-based access, document processing, source-linked answers, private conversation history, two self-service subscription plans, usage controls, customer support, basic content administration, analytics, and operational monitoring.</w:t>
      </w:r>
    </w:p>
    <w:p>
      <w:r>
        <w:t>P1 follows evidence from the pilot. Candidates include scanned-document OCR, annual billing, additional seats, saved answer templates, approved conversation sharing, and selected integrations. Each candidate needs an owner, customer evidence, a cost estimate, and acceptance criteria before it enters a committed sprint.</w:t>
      </w:r>
    </w:p>
    <w:p>
      <w:r>
        <w:t>P2 includes separate document-generation products, workflow automation, a public API, departmental permissions, enterprise identity integrations, and a partner marketplace. These capabilities must not be represented as available on the launch website. The catalogue may show a clearly labelled planned product with an interest form, but only the Knowledge Workspace receives a purchase button.</w:t>
      </w:r>
    </w:p>
    <w:p>
      <w:r>
        <w:t>The MVP excludes native mobile applications, custom model training, open web crawling, autonomous email sending, arbitrary code execution, and customer-configurable agent tools. These exclusions reduce the number of operational and permission models required for the first release. They do not prevent the architecture from supporting later expansion.</w:t>
      </w:r>
    </w:p>
    <w:p>
      <w:r>
        <w:t>The public website may launch before the paid product as a separate milestone. Until production readiness is established, its calls to action must lead to the sample demo, an interest list, or a sales enquiry. It must not accept production uploads or charge for an unfinished subscription.</w:t>
      </w:r>
    </w:p>
    <w:p>
      <w:bookmarkStart w:id="6" w:name="section_6"/>
      <w:pPr>
        <w:pStyle w:val="Heading1"/>
      </w:pPr>
      <w:r>
        <w:t>6 Information architecture</w:t>
      </w:r>
      <w:bookmarkEnd w:id="6"/>
    </w:p>
    <w:p>
      <w:r>
        <w:t>The primary navigation will contain Product, Solutions, Pricing, Resources, and Company. Persistent actions are Try the demo and Sign in. Start a trial appears on product and pricing pages. Book a consultation is a secondary action for implementation needs.</w:t>
      </w:r>
    </w:p>
    <w:p>
      <w:r>
        <w:t xml:space="preserve">Public pages use language prefixes such as </w:t>
      </w:r>
      <w:r>
        <w:rPr>
          <w:rFonts w:ascii="Nimbus Mono PS" w:hAnsi="Nimbus Mono PS"/>
          <w:sz w:val="21"/>
        </w:rPr>
        <w:t>/en</w:t>
      </w:r>
      <w:r>
        <w:t xml:space="preserve"> and </w:t>
      </w:r>
      <w:r>
        <w:rPr>
          <w:rFonts w:ascii="Nimbus Mono PS" w:hAnsi="Nimbus Mono PS"/>
          <w:sz w:val="21"/>
        </w:rPr>
        <w:t>/zh-hant</w:t>
      </w:r>
      <w:r>
        <w:t xml:space="preserve">. Authenticated routes use </w:t>
      </w:r>
      <w:r>
        <w:rPr>
          <w:rFonts w:ascii="Nimbus Mono PS" w:hAnsi="Nimbus Mono PS"/>
          <w:sz w:val="21"/>
        </w:rPr>
        <w:t>/app</w:t>
      </w:r>
      <w:r>
        <w:t>, with interface language stored in the user profile. The following routes describe page responsibilities rather than requiring a particular domain.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264"/>
      </w:tblGrid>
      <w:tr>
        <w:trPr>
          <w:cantSplit/>
          <w:tblHeader/>
        </w:trPr>
        <w:tc>
          <w:tcPr>
            <w:tcW w:type="dxa" w:w="3816"/>
            <w:vAlign w:val="center"/>
            <w:tcMar>
              <w:top w:w="85" w:type="dxa"/>
              <w:bottom w:w="85" w:type="dxa"/>
              <w:left w:w="95" w:type="dxa"/>
              <w:right w:w="95" w:type="dxa"/>
            </w:tcMar>
            <w:shd w:fill="203D59"/>
          </w:tcPr>
          <w:p>
            <w:pPr>
              <w:spacing w:after="0" w:line="252" w:lineRule="auto"/>
            </w:pPr>
            <w:r>
              <w:rPr>
                <w:b/>
                <w:color w:val="FFFFFF"/>
                <w:sz w:val="20"/>
              </w:rPr>
              <w:t>Page or route</w:t>
            </w:r>
          </w:p>
        </w:tc>
        <w:tc>
          <w:tcPr>
            <w:tcW w:type="dxa" w:w="6264"/>
            <w:vAlign w:val="center"/>
            <w:tcMar>
              <w:top w:w="85" w:type="dxa"/>
              <w:bottom w:w="85" w:type="dxa"/>
              <w:left w:w="95" w:type="dxa"/>
              <w:right w:w="95" w:type="dxa"/>
            </w:tcMar>
            <w:shd w:fill="203D59"/>
          </w:tcPr>
          <w:p>
            <w:pPr>
              <w:spacing w:after="0" w:line="252" w:lineRule="auto"/>
            </w:pPr>
            <w:r>
              <w:rPr>
                <w:b/>
                <w:color w:val="FFFFFF"/>
                <w:sz w:val="20"/>
              </w:rPr>
              <w:t>Required purpose</w:t>
            </w:r>
          </w:p>
        </w:tc>
      </w:tr>
      <w:tr>
        <w:trPr>
          <w:cantSplit/>
        </w:trPr>
        <w:tc>
          <w:tcPr>
            <w:tcW w:type="dxa" w:w="3816"/>
            <w:vAlign w:val="center"/>
            <w:tcMar>
              <w:top w:w="85" w:type="dxa"/>
              <w:bottom w:w="85" w:type="dxa"/>
              <w:left w:w="95" w:type="dxa"/>
              <w:right w:w="95" w:type="dxa"/>
            </w:tcMar>
            <w:shd w:fill="FFFFFF"/>
          </w:tcPr>
          <w:p>
            <w:pPr>
              <w:spacing w:after="0" w:line="252" w:lineRule="auto"/>
            </w:pPr>
            <w:r>
              <w:rPr>
                <w:rFonts w:ascii="Nimbus Mono PS" w:hAnsi="Nimbus Mono PS"/>
                <w:sz w:val="19"/>
              </w:rPr>
              <w:t>/en</w:t>
            </w:r>
          </w:p>
        </w:tc>
        <w:tc>
          <w:tcPr>
            <w:tcW w:type="dxa" w:w="6264"/>
            <w:vAlign w:val="center"/>
            <w:tcMar>
              <w:top w:w="85" w:type="dxa"/>
              <w:bottom w:w="85" w:type="dxa"/>
              <w:left w:w="95" w:type="dxa"/>
              <w:right w:w="95" w:type="dxa"/>
            </w:tcMar>
            <w:shd w:fill="FFFFFF"/>
          </w:tcPr>
          <w:p>
            <w:pPr>
              <w:spacing w:after="0" w:line="252" w:lineRule="auto"/>
            </w:pPr>
            <w:r>
              <w:rPr>
                <w:sz w:val="20"/>
              </w:rPr>
              <w:t>Explain the product and lead to the demo or trial</w:t>
            </w:r>
          </w:p>
        </w:tc>
      </w:tr>
      <w:tr>
        <w:trPr>
          <w:cantSplit/>
        </w:trPr>
        <w:tc>
          <w:tcPr>
            <w:tcW w:type="dxa" w:w="3816"/>
            <w:vAlign w:val="center"/>
            <w:tcMar>
              <w:top w:w="85" w:type="dxa"/>
              <w:bottom w:w="85" w:type="dxa"/>
              <w:left w:w="95" w:type="dxa"/>
              <w:right w:w="95" w:type="dxa"/>
            </w:tcMar>
            <w:shd w:fill="F2F5F8"/>
          </w:tcPr>
          <w:p>
            <w:pPr>
              <w:spacing w:after="0" w:line="252" w:lineRule="auto"/>
            </w:pPr>
            <w:r>
              <w:rPr>
                <w:rFonts w:ascii="Nimbus Mono PS" w:hAnsi="Nimbus Mono PS"/>
                <w:sz w:val="19"/>
              </w:rPr>
              <w:t>/en/products/knowledge</w:t>
            </w:r>
          </w:p>
        </w:tc>
        <w:tc>
          <w:tcPr>
            <w:tcW w:type="dxa" w:w="6264"/>
            <w:vAlign w:val="center"/>
            <w:tcMar>
              <w:top w:w="85" w:type="dxa"/>
              <w:bottom w:w="85" w:type="dxa"/>
              <w:left w:w="95" w:type="dxa"/>
              <w:right w:w="95" w:type="dxa"/>
            </w:tcMar>
            <w:shd w:fill="F2F5F8"/>
          </w:tcPr>
          <w:p>
            <w:pPr>
              <w:spacing w:after="0" w:line="252" w:lineRule="auto"/>
            </w:pPr>
            <w:r>
              <w:rPr>
                <w:sz w:val="20"/>
              </w:rPr>
              <w:t>Explain features, inputs, outputs, limitations, and onboarding</w:t>
            </w:r>
          </w:p>
        </w:tc>
      </w:tr>
      <w:tr>
        <w:trPr>
          <w:cantSplit/>
        </w:trPr>
        <w:tc>
          <w:tcPr>
            <w:tcW w:type="dxa" w:w="3816"/>
            <w:vAlign w:val="center"/>
            <w:tcMar>
              <w:top w:w="85" w:type="dxa"/>
              <w:bottom w:w="85" w:type="dxa"/>
              <w:left w:w="95" w:type="dxa"/>
              <w:right w:w="95" w:type="dxa"/>
            </w:tcMar>
            <w:shd w:fill="FFFFFF"/>
          </w:tcPr>
          <w:p>
            <w:pPr>
              <w:spacing w:after="0" w:line="252" w:lineRule="auto"/>
            </w:pPr>
            <w:r>
              <w:rPr>
                <w:rFonts w:ascii="Nimbus Mono PS" w:hAnsi="Nimbus Mono PS"/>
                <w:sz w:val="19"/>
              </w:rPr>
              <w:t>/en/solutions/operations</w:t>
            </w:r>
          </w:p>
        </w:tc>
        <w:tc>
          <w:tcPr>
            <w:tcW w:type="dxa" w:w="6264"/>
            <w:vAlign w:val="center"/>
            <w:tcMar>
              <w:top w:w="85" w:type="dxa"/>
              <w:bottom w:w="85" w:type="dxa"/>
              <w:left w:w="95" w:type="dxa"/>
              <w:right w:w="95" w:type="dxa"/>
            </w:tcMar>
            <w:shd w:fill="FFFFFF"/>
          </w:tcPr>
          <w:p>
            <w:pPr>
              <w:spacing w:after="0" w:line="252" w:lineRule="auto"/>
            </w:pPr>
            <w:r>
              <w:rPr>
                <w:sz w:val="20"/>
              </w:rPr>
              <w:t>Demonstrate an internal operations workflow</w:t>
            </w:r>
          </w:p>
        </w:tc>
      </w:tr>
      <w:tr>
        <w:trPr>
          <w:cantSplit/>
        </w:trPr>
        <w:tc>
          <w:tcPr>
            <w:tcW w:type="dxa" w:w="3816"/>
            <w:vAlign w:val="center"/>
            <w:tcMar>
              <w:top w:w="85" w:type="dxa"/>
              <w:bottom w:w="85" w:type="dxa"/>
              <w:left w:w="95" w:type="dxa"/>
              <w:right w:w="95" w:type="dxa"/>
            </w:tcMar>
            <w:shd w:fill="F2F5F8"/>
          </w:tcPr>
          <w:p>
            <w:pPr>
              <w:spacing w:after="0" w:line="252" w:lineRule="auto"/>
            </w:pPr>
            <w:r>
              <w:rPr>
                <w:rFonts w:ascii="Nimbus Mono PS" w:hAnsi="Nimbus Mono PS"/>
                <w:sz w:val="19"/>
              </w:rPr>
              <w:t>/en/solutions/support</w:t>
            </w:r>
          </w:p>
        </w:tc>
        <w:tc>
          <w:tcPr>
            <w:tcW w:type="dxa" w:w="6264"/>
            <w:vAlign w:val="center"/>
            <w:tcMar>
              <w:top w:w="85" w:type="dxa"/>
              <w:bottom w:w="85" w:type="dxa"/>
              <w:left w:w="95" w:type="dxa"/>
              <w:right w:w="95" w:type="dxa"/>
            </w:tcMar>
            <w:shd w:fill="F2F5F8"/>
          </w:tcPr>
          <w:p>
            <w:pPr>
              <w:spacing w:after="0" w:line="252" w:lineRule="auto"/>
            </w:pPr>
            <w:r>
              <w:rPr>
                <w:sz w:val="20"/>
              </w:rPr>
              <w:t>Demonstrate support preparation from approved documents</w:t>
            </w:r>
          </w:p>
        </w:tc>
      </w:tr>
      <w:tr>
        <w:trPr>
          <w:cantSplit/>
        </w:trPr>
        <w:tc>
          <w:tcPr>
            <w:tcW w:type="dxa" w:w="3816"/>
            <w:vAlign w:val="center"/>
            <w:tcMar>
              <w:top w:w="85" w:type="dxa"/>
              <w:bottom w:w="85" w:type="dxa"/>
              <w:left w:w="95" w:type="dxa"/>
              <w:right w:w="95" w:type="dxa"/>
            </w:tcMar>
            <w:shd w:fill="FFFFFF"/>
          </w:tcPr>
          <w:p>
            <w:pPr>
              <w:spacing w:after="0" w:line="252" w:lineRule="auto"/>
            </w:pPr>
            <w:r>
              <w:rPr>
                <w:rFonts w:ascii="Nimbus Mono PS" w:hAnsi="Nimbus Mono PS"/>
                <w:sz w:val="19"/>
              </w:rPr>
              <w:t>/en/pricing</w:t>
            </w:r>
          </w:p>
        </w:tc>
        <w:tc>
          <w:tcPr>
            <w:tcW w:type="dxa" w:w="6264"/>
            <w:vAlign w:val="center"/>
            <w:tcMar>
              <w:top w:w="85" w:type="dxa"/>
              <w:bottom w:w="85" w:type="dxa"/>
              <w:left w:w="95" w:type="dxa"/>
              <w:right w:w="95" w:type="dxa"/>
            </w:tcMar>
            <w:shd w:fill="FFFFFF"/>
          </w:tcPr>
          <w:p>
            <w:pPr>
              <w:spacing w:after="0" w:line="252" w:lineRule="auto"/>
            </w:pPr>
            <w:r>
              <w:rPr>
                <w:sz w:val="20"/>
              </w:rPr>
              <w:t>Compare plans, limits, trial conditions, and cancellation</w:t>
            </w:r>
          </w:p>
        </w:tc>
      </w:tr>
      <w:tr>
        <w:trPr>
          <w:cantSplit/>
        </w:trPr>
        <w:tc>
          <w:tcPr>
            <w:tcW w:type="dxa" w:w="3816"/>
            <w:vAlign w:val="center"/>
            <w:tcMar>
              <w:top w:w="85" w:type="dxa"/>
              <w:bottom w:w="85" w:type="dxa"/>
              <w:left w:w="95" w:type="dxa"/>
              <w:right w:w="95" w:type="dxa"/>
            </w:tcMar>
            <w:shd w:fill="F2F5F8"/>
          </w:tcPr>
          <w:p>
            <w:pPr>
              <w:spacing w:after="0" w:line="252" w:lineRule="auto"/>
            </w:pPr>
            <w:r>
              <w:rPr>
                <w:rFonts w:ascii="Nimbus Mono PS" w:hAnsi="Nimbus Mono PS"/>
                <w:sz w:val="19"/>
              </w:rPr>
              <w:t>/en/demo</w:t>
            </w:r>
          </w:p>
        </w:tc>
        <w:tc>
          <w:tcPr>
            <w:tcW w:type="dxa" w:w="6264"/>
            <w:vAlign w:val="center"/>
            <w:tcMar>
              <w:top w:w="85" w:type="dxa"/>
              <w:bottom w:w="85" w:type="dxa"/>
              <w:left w:w="95" w:type="dxa"/>
              <w:right w:w="95" w:type="dxa"/>
            </w:tcMar>
            <w:shd w:fill="F2F5F8"/>
          </w:tcPr>
          <w:p>
            <w:pPr>
              <w:spacing w:after="0" w:line="252" w:lineRule="auto"/>
            </w:pPr>
            <w:r>
              <w:rPr>
                <w:sz w:val="20"/>
              </w:rPr>
              <w:t>Offer a controlled experience with synthetic documents</w:t>
            </w:r>
          </w:p>
        </w:tc>
      </w:tr>
      <w:tr>
        <w:trPr>
          <w:cantSplit/>
        </w:trPr>
        <w:tc>
          <w:tcPr>
            <w:tcW w:type="dxa" w:w="3816"/>
            <w:vAlign w:val="center"/>
            <w:tcMar>
              <w:top w:w="85" w:type="dxa"/>
              <w:bottom w:w="85" w:type="dxa"/>
              <w:left w:w="95" w:type="dxa"/>
              <w:right w:w="95" w:type="dxa"/>
            </w:tcMar>
            <w:shd w:fill="FFFFFF"/>
          </w:tcPr>
          <w:p>
            <w:pPr>
              <w:spacing w:after="0" w:line="252" w:lineRule="auto"/>
            </w:pPr>
            <w:r>
              <w:rPr>
                <w:rFonts w:ascii="Nimbus Mono PS" w:hAnsi="Nimbus Mono PS"/>
                <w:sz w:val="19"/>
              </w:rPr>
              <w:t>/en/resources</w:t>
            </w:r>
          </w:p>
        </w:tc>
        <w:tc>
          <w:tcPr>
            <w:tcW w:type="dxa" w:w="6264"/>
            <w:vAlign w:val="center"/>
            <w:tcMar>
              <w:top w:w="85" w:type="dxa"/>
              <w:bottom w:w="85" w:type="dxa"/>
              <w:left w:w="95" w:type="dxa"/>
              <w:right w:w="95" w:type="dxa"/>
            </w:tcMar>
            <w:shd w:fill="FFFFFF"/>
          </w:tcPr>
          <w:p>
            <w:pPr>
              <w:spacing w:after="0" w:line="252" w:lineRule="auto"/>
            </w:pPr>
            <w:r>
              <w:rPr>
                <w:sz w:val="20"/>
              </w:rPr>
              <w:t>Publish guides, release notes, and product education</w:t>
            </w:r>
          </w:p>
        </w:tc>
      </w:tr>
      <w:tr>
        <w:trPr>
          <w:cantSplit/>
        </w:trPr>
        <w:tc>
          <w:tcPr>
            <w:tcW w:type="dxa" w:w="3816"/>
            <w:vAlign w:val="center"/>
            <w:tcMar>
              <w:top w:w="85" w:type="dxa"/>
              <w:bottom w:w="85" w:type="dxa"/>
              <w:left w:w="95" w:type="dxa"/>
              <w:right w:w="95" w:type="dxa"/>
            </w:tcMar>
            <w:shd w:fill="F2F5F8"/>
          </w:tcPr>
          <w:p>
            <w:pPr>
              <w:spacing w:after="0" w:line="252" w:lineRule="auto"/>
            </w:pPr>
            <w:r>
              <w:rPr>
                <w:rFonts w:ascii="Nimbus Mono PS" w:hAnsi="Nimbus Mono PS"/>
                <w:sz w:val="19"/>
              </w:rPr>
              <w:t>/en/about</w:t>
            </w:r>
            <w:r>
              <w:rPr>
                <w:sz w:val="20"/>
              </w:rPr>
              <w:t xml:space="preserve"> and </w:t>
            </w:r>
            <w:r>
              <w:rPr>
                <w:rFonts w:ascii="Nimbus Mono PS" w:hAnsi="Nimbus Mono PS"/>
                <w:sz w:val="19"/>
              </w:rPr>
              <w:t>/en/contact</w:t>
            </w:r>
          </w:p>
        </w:tc>
        <w:tc>
          <w:tcPr>
            <w:tcW w:type="dxa" w:w="6264"/>
            <w:vAlign w:val="center"/>
            <w:tcMar>
              <w:top w:w="85" w:type="dxa"/>
              <w:bottom w:w="85" w:type="dxa"/>
              <w:left w:w="95" w:type="dxa"/>
              <w:right w:w="95" w:type="dxa"/>
            </w:tcMar>
            <w:shd w:fill="F2F5F8"/>
          </w:tcPr>
          <w:p>
            <w:pPr>
              <w:spacing w:after="0" w:line="252" w:lineRule="auto"/>
            </w:pPr>
            <w:r>
              <w:rPr>
                <w:sz w:val="20"/>
              </w:rPr>
              <w:t>Identify the business and capture relevant enquiries</w:t>
            </w:r>
          </w:p>
        </w:tc>
      </w:tr>
      <w:tr>
        <w:trPr>
          <w:cantSplit/>
        </w:trPr>
        <w:tc>
          <w:tcPr>
            <w:tcW w:type="dxa" w:w="3816"/>
            <w:vAlign w:val="center"/>
            <w:tcMar>
              <w:top w:w="85" w:type="dxa"/>
              <w:bottom w:w="85" w:type="dxa"/>
              <w:left w:w="95" w:type="dxa"/>
              <w:right w:w="95" w:type="dxa"/>
            </w:tcMar>
            <w:shd w:fill="FFFFFF"/>
          </w:tcPr>
          <w:p>
            <w:pPr>
              <w:spacing w:after="0" w:line="252" w:lineRule="auto"/>
            </w:pPr>
            <w:r>
              <w:rPr>
                <w:rFonts w:ascii="Nimbus Mono PS" w:hAnsi="Nimbus Mono PS"/>
                <w:sz w:val="19"/>
              </w:rPr>
              <w:t>/en/security</w:t>
            </w:r>
            <w:r>
              <w:rPr>
                <w:sz w:val="20"/>
              </w:rPr>
              <w:t xml:space="preserve">, </w:t>
            </w:r>
            <w:r>
              <w:rPr>
                <w:rFonts w:ascii="Nimbus Mono PS" w:hAnsi="Nimbus Mono PS"/>
                <w:sz w:val="19"/>
              </w:rPr>
              <w:t>/en/privacy</w:t>
            </w:r>
            <w:r>
              <w:rPr>
                <w:sz w:val="20"/>
              </w:rPr>
              <w:t xml:space="preserve">, </w:t>
            </w:r>
            <w:r>
              <w:rPr>
                <w:rFonts w:ascii="Nimbus Mono PS" w:hAnsi="Nimbus Mono PS"/>
                <w:sz w:val="19"/>
              </w:rPr>
              <w:t>/en/terms</w:t>
            </w:r>
          </w:p>
        </w:tc>
        <w:tc>
          <w:tcPr>
            <w:tcW w:type="dxa" w:w="6264"/>
            <w:vAlign w:val="center"/>
            <w:tcMar>
              <w:top w:w="85" w:type="dxa"/>
              <w:bottom w:w="85" w:type="dxa"/>
              <w:left w:w="95" w:type="dxa"/>
              <w:right w:w="95" w:type="dxa"/>
            </w:tcMar>
            <w:shd w:fill="FFFFFF"/>
          </w:tcPr>
          <w:p>
            <w:pPr>
              <w:spacing w:after="0" w:line="252" w:lineRule="auto"/>
            </w:pPr>
            <w:r>
              <w:rPr>
                <w:sz w:val="20"/>
              </w:rPr>
              <w:t>Explain controls, data practices, and contractual terms</w:t>
            </w:r>
          </w:p>
        </w:tc>
      </w:tr>
      <w:tr>
        <w:trPr>
          <w:cantSplit/>
        </w:trPr>
        <w:tc>
          <w:tcPr>
            <w:tcW w:type="dxa" w:w="3816"/>
            <w:vAlign w:val="center"/>
            <w:tcMar>
              <w:top w:w="85" w:type="dxa"/>
              <w:bottom w:w="85" w:type="dxa"/>
              <w:left w:w="95" w:type="dxa"/>
              <w:right w:w="95" w:type="dxa"/>
            </w:tcMar>
            <w:shd w:fill="F2F5F8"/>
          </w:tcPr>
          <w:p>
            <w:pPr>
              <w:spacing w:after="0" w:line="252" w:lineRule="auto"/>
            </w:pPr>
            <w:r>
              <w:rPr>
                <w:rFonts w:ascii="Nimbus Mono PS" w:hAnsi="Nimbus Mono PS"/>
                <w:sz w:val="19"/>
              </w:rPr>
              <w:t>/app</w:t>
            </w:r>
          </w:p>
        </w:tc>
        <w:tc>
          <w:tcPr>
            <w:tcW w:type="dxa" w:w="6264"/>
            <w:vAlign w:val="center"/>
            <w:tcMar>
              <w:top w:w="85" w:type="dxa"/>
              <w:bottom w:w="85" w:type="dxa"/>
              <w:left w:w="95" w:type="dxa"/>
              <w:right w:w="95" w:type="dxa"/>
            </w:tcMar>
            <w:shd w:fill="F2F5F8"/>
          </w:tcPr>
          <w:p>
            <w:pPr>
              <w:spacing w:after="0" w:line="252" w:lineRule="auto"/>
            </w:pPr>
            <w:r>
              <w:rPr>
                <w:sz w:val="20"/>
              </w:rPr>
              <w:t>Show onboarding, recent activity, and workspace status</w:t>
            </w:r>
          </w:p>
        </w:tc>
      </w:tr>
      <w:tr>
        <w:trPr>
          <w:cantSplit/>
        </w:trPr>
        <w:tc>
          <w:tcPr>
            <w:tcW w:type="dxa" w:w="3816"/>
            <w:vAlign w:val="center"/>
            <w:tcMar>
              <w:top w:w="85" w:type="dxa"/>
              <w:bottom w:w="85" w:type="dxa"/>
              <w:left w:w="95" w:type="dxa"/>
              <w:right w:w="95" w:type="dxa"/>
            </w:tcMar>
            <w:shd w:fill="FFFFFF"/>
          </w:tcPr>
          <w:p>
            <w:pPr>
              <w:spacing w:after="0" w:line="252" w:lineRule="auto"/>
            </w:pPr>
            <w:r>
              <w:rPr>
                <w:rFonts w:ascii="Nimbus Mono PS" w:hAnsi="Nimbus Mono PS"/>
                <w:sz w:val="19"/>
              </w:rPr>
              <w:t>/app/ask</w:t>
            </w:r>
            <w:r>
              <w:rPr>
                <w:sz w:val="20"/>
              </w:rPr>
              <w:t xml:space="preserve"> and </w:t>
            </w:r>
            <w:r>
              <w:rPr>
                <w:rFonts w:ascii="Nimbus Mono PS" w:hAnsi="Nimbus Mono PS"/>
                <w:sz w:val="19"/>
              </w:rPr>
              <w:t>/app/documents</w:t>
            </w:r>
          </w:p>
        </w:tc>
        <w:tc>
          <w:tcPr>
            <w:tcW w:type="dxa" w:w="6264"/>
            <w:vAlign w:val="center"/>
            <w:tcMar>
              <w:top w:w="85" w:type="dxa"/>
              <w:bottom w:w="85" w:type="dxa"/>
              <w:left w:w="95" w:type="dxa"/>
              <w:right w:w="95" w:type="dxa"/>
            </w:tcMar>
            <w:shd w:fill="FFFFFF"/>
          </w:tcPr>
          <w:p>
            <w:pPr>
              <w:spacing w:after="0" w:line="252" w:lineRule="auto"/>
            </w:pPr>
            <w:r>
              <w:rPr>
                <w:sz w:val="20"/>
              </w:rPr>
              <w:t>Support the main knowledge workflow</w:t>
            </w:r>
          </w:p>
        </w:tc>
      </w:tr>
      <w:tr>
        <w:trPr>
          <w:cantSplit/>
        </w:trPr>
        <w:tc>
          <w:tcPr>
            <w:tcW w:type="dxa" w:w="3816"/>
            <w:vAlign w:val="center"/>
            <w:tcMar>
              <w:top w:w="85" w:type="dxa"/>
              <w:bottom w:w="85" w:type="dxa"/>
              <w:left w:w="95" w:type="dxa"/>
              <w:right w:w="95" w:type="dxa"/>
            </w:tcMar>
            <w:shd w:fill="F2F5F8"/>
          </w:tcPr>
          <w:p>
            <w:pPr>
              <w:spacing w:after="0" w:line="252" w:lineRule="auto"/>
            </w:pPr>
            <w:r>
              <w:rPr>
                <w:rFonts w:ascii="Nimbus Mono PS" w:hAnsi="Nimbus Mono PS"/>
                <w:sz w:val="19"/>
              </w:rPr>
              <w:t>/app/team</w:t>
            </w:r>
            <w:r>
              <w:rPr>
                <w:sz w:val="20"/>
              </w:rPr>
              <w:t xml:space="preserve">, </w:t>
            </w:r>
            <w:r>
              <w:rPr>
                <w:rFonts w:ascii="Nimbus Mono PS" w:hAnsi="Nimbus Mono PS"/>
                <w:sz w:val="19"/>
              </w:rPr>
              <w:t>/app/usage</w:t>
            </w:r>
            <w:r>
              <w:rPr>
                <w:sz w:val="20"/>
              </w:rPr>
              <w:t xml:space="preserve">, </w:t>
            </w:r>
            <w:r>
              <w:rPr>
                <w:rFonts w:ascii="Nimbus Mono PS" w:hAnsi="Nimbus Mono PS"/>
                <w:sz w:val="19"/>
              </w:rPr>
              <w:t>/app/billing</w:t>
            </w:r>
            <w:r>
              <w:rPr>
                <w:sz w:val="20"/>
              </w:rPr>
              <w:t xml:space="preserve">, </w:t>
            </w:r>
            <w:r>
              <w:rPr>
                <w:rFonts w:ascii="Nimbus Mono PS" w:hAnsi="Nimbus Mono PS"/>
                <w:sz w:val="19"/>
              </w:rPr>
              <w:t>/app/settings</w:t>
            </w:r>
          </w:p>
        </w:tc>
        <w:tc>
          <w:tcPr>
            <w:tcW w:type="dxa" w:w="6264"/>
            <w:vAlign w:val="center"/>
            <w:tcMar>
              <w:top w:w="85" w:type="dxa"/>
              <w:bottom w:w="85" w:type="dxa"/>
              <w:left w:w="95" w:type="dxa"/>
              <w:right w:w="95" w:type="dxa"/>
            </w:tcMar>
            <w:shd w:fill="F2F5F8"/>
          </w:tcPr>
          <w:p>
            <w:pPr>
              <w:spacing w:after="0" w:line="252" w:lineRule="auto"/>
            </w:pPr>
            <w:r>
              <w:rPr>
                <w:sz w:val="20"/>
              </w:rPr>
              <w:t>Manage access, allowances, subscriptions, and preferences</w:t>
            </w:r>
          </w:p>
        </w:tc>
      </w:tr>
    </w:tbl>
    <w:p>
      <w:pPr>
        <w:spacing w:after="60" w:before="0" w:line="48" w:lineRule="auto"/>
      </w:pPr>
      <w:r>
        <w:rPr>
          <w:sz w:val="4"/>
        </w:rPr>
      </w:r>
    </w:p>
    <w:p>
      <w:r>
        <w:t>Every English public route must have a corresponding Traditional Chinese route for launch-critical content. Account recovery, payment status, errors, support, and deletion instructions are part of this requirement. The language switcher should preserve the equivalent page or current application task.</w:t>
      </w:r>
    </w:p>
    <w:p>
      <w:bookmarkStart w:id="7" w:name="section_7"/>
      <w:pPr>
        <w:pStyle w:val="Heading1"/>
      </w:pPr>
      <w:r>
        <w:t>7 Brand and interface direction</w:t>
      </w:r>
      <w:bookmarkEnd w:id="7"/>
    </w:p>
    <w:p>
      <w:r>
        <w:t>Stargazer should have a minimal technology identity with restrained astronomical references. The public site can use a deep navy hero, warm white content sections, and one blue-violet accent. Subtle orbital lines or small star details can support the brand, but the product demonstration should remain the strongest visual element.</w:t>
      </w:r>
    </w:p>
    <w:p>
      <w:r>
        <w:t>The authenticated workspace should prioritize reading. Use neutral surfaces, a clear document list, strong text contrast, and a stable navigation rail. A dark hero on the public website does not require a dark application. A second application theme is P1 unless the component library supports it without delaying accessibility and readability work.</w:t>
      </w:r>
    </w:p>
    <w:p>
      <w:r>
        <w:t>Use a consistent spacing scale, approximately 16 to 18 pixel body text, comfortable line height, and readable Chinese typography. Desktop content should have a bounded width rather than stretching across large monitors. On mobile, primary actions remain visible without covering content, and long source passages open in an accessible panel or dedicated screen.</w:t>
      </w:r>
    </w:p>
    <w:p>
      <w:r>
        <w:t>The component set includes navigation, buttons, form fields, plan cards, document rows, status indicators, source references, dialogs, notifications, empty states, loading states, and tables. Each component must specify keyboard behavior, focus, disabled states, errors, and responsive layout. Status must never depend on color alone.</w:t>
      </w:r>
    </w:p>
    <w:p>
      <w:r>
        <w:t>Motion should clarify state changes. Avoid autoplay video, mandatory 3D loading sequences, and continuous animated backgrounds. Respect reduced-motion preferences. Any product video must include captions and a useful static fallback.</w:t>
      </w:r>
    </w:p>
    <w:p>
      <w:r>
        <w:t>Design acceptance requires completed screens for first visit, successful demo, signup, empty workspace, processing documents, failed upload, useful answer, insufficient evidence, expired trial, payment failure, permission denial, and organization deletion. Designing these states before development reduces ambiguity when real customers encounter incomplete information or operational failures.</w:t>
      </w:r>
    </w:p>
    <w:p>
      <w:bookmarkStart w:id="8" w:name="section_8"/>
      <w:pPr>
        <w:pStyle w:val="Heading1"/>
      </w:pPr>
      <w:r>
        <w:t>8 Public website requirements</w:t>
      </w:r>
      <w:bookmarkEnd w:id="8"/>
    </w:p>
    <w:p>
      <w:pPr>
        <w:pStyle w:val="Heading2"/>
      </w:pPr>
      <w:r>
        <w:t>8.1 Homepage</w:t>
      </w:r>
    </w:p>
    <w:p>
      <w:r>
        <w:t>The first screen must communicate the intended customer, the task Stargazer performs, and the next action. It contains the main headline, a short explanation, a visible product preview, and Try the demo. Start a trial can appear as the secondary action when the production product is available.</w:t>
      </w:r>
    </w:p>
    <w:p>
      <w:r>
        <w:t>The remainder of the homepage explains the workflow through an example: upload approved documents, ask a practical question, and inspect the supporting sources. Follow this with use cases, supported formats, a pricing preview, data-handling information, and common questions. Visitors should understand the first useful result without reading a technical article.</w:t>
      </w:r>
    </w:p>
    <w:p>
      <w:r>
        <w:t>The product preview must accurately represent implemented behavior. Before the interface exists, label illustrations as previews. Customer logos, testimonials, certifications, and outcome claims require evidence and permission. If that evidence is unavailable, show the product workflow and a named sample dataset instead.</w:t>
      </w:r>
    </w:p>
    <w:p>
      <w:r>
        <w:t>Acceptance criteria for WEB-01: a first-time visitor can identify what the product does, who it serves, and how to try it after a short moderated review. All primary calls to action work at mobile, tablet, and desktop sizes. The homepage must not advertise unavailable integrations or imply that synthetic examples are customer results.</w:t>
      </w:r>
    </w:p>
    <w:p>
      <w:pPr>
        <w:pStyle w:val="Heading2"/>
      </w:pPr>
      <w:r>
        <w:t>8.2 Product and solution pages</w:t>
      </w:r>
    </w:p>
    <w:p>
      <w:r>
        <w:t>The Knowledge Workspace page must identify supported document formats, who can upload files, what members can ask, how citations work, and what happens when evidence is missing. It must include representative screenshots, setup steps, applicable plan limits, and a direct route to the demo or trial.</w:t>
      </w:r>
    </w:p>
    <w:p>
      <w:r>
        <w:t>Each solution page should use one specific scenario. An operations example might ask how an employee submits a purchase request. A support example might compare two product policies before an agent writes a customer response. Include the relevant source material, resulting answer, and a realistic explanation of what the employee still needs to review.</w:t>
      </w:r>
    </w:p>
    <w:p>
      <w:r>
        <w:t>Acceptance criteria for WEB-02: every product claim maps to an implemented requirement or is explicitly marked as planned. The same plan details appear on the product page, pricing page, and checkout. Solution content must provide distinct examples rather than repeating the homepage with different keywords.</w:t>
      </w:r>
    </w:p>
    <w:p>
      <w:pPr>
        <w:pStyle w:val="Heading2"/>
      </w:pPr>
      <w:r>
        <w:t>8.3 Pricing and commercial information</w:t>
      </w:r>
    </w:p>
    <w:p>
      <w:r>
        <w:t>The pricing page must show the billing currency, monthly charge, included seats, answer allowance, document limits, storage, and support channel. Explain whether tax applies before checkout based on the configured selling arrangement. Avoid preselected add-ons or an annual price presented as a monthly charge without its full commitment.</w:t>
      </w:r>
    </w:p>
    <w:p>
      <w:r>
        <w:t>Describe the trial duration, whether a card is required, what happens when it ends, and whether usage rolls over. Include a concise definition of a counted answer and explain the effect of reaching a limit. Provide cancellation and data-export information near the subscription questions.</w:t>
      </w:r>
    </w:p>
    <w:p>
      <w:r>
        <w:t>Acceptance criteria for WEB-03: a buyer can determine the total recurring commitment and the practical consequences of cancellation without contacting sales. Public pricing must come from the same versioned plan configuration used by checkout and entitlement calculation.</w:t>
      </w:r>
    </w:p>
    <w:p>
      <w:pPr>
        <w:pStyle w:val="Heading2"/>
      </w:pPr>
      <w:r>
        <w:t>8.4 Trust and contact pages</w:t>
      </w:r>
    </w:p>
    <w:p>
      <w:r>
        <w:t>The security page must describe implemented controls in plain language: organization access, document visibility, storage, model processing, retention, and support access. State deployment regions and subprocessors only after they are selected. Do not publish certification badges or service guarantees that have not been earned or agreed.</w:t>
      </w:r>
    </w:p>
    <w:p>
      <w:r>
        <w:t>The contact form collects name, work email, organization, enquiry type, and a short description. Team size and expected document volume may be optional. Marketing permission is separate from the request for a response. Display a confirmation and reference number, preserve the submitted enquiry securely, and route it to a named owner.</w:t>
      </w:r>
    </w:p>
    <w:p>
      <w:bookmarkStart w:id="9" w:name="section_9"/>
      <w:pPr>
        <w:pStyle w:val="Heading1"/>
      </w:pPr>
      <w:r>
        <w:t>9 Demo and onboarding</w:t>
      </w:r>
      <w:bookmarkEnd w:id="9"/>
    </w:p>
    <w:p>
      <w:pPr>
        <w:pStyle w:val="Heading2"/>
      </w:pPr>
      <w:r>
        <w:t>9.1 Anonymous demonstration</w:t>
      </w:r>
    </w:p>
    <w:p>
      <w:r>
        <w:t>The demo uses a synthetic company with a small, reviewed set of policies and product notes. It offers suggested questions and allows up to five anonymous questions per session, subject to additional server-side abuse limits. Every response identifies the sample dataset. Visitors can inspect sources before creating an account.</w:t>
      </w:r>
    </w:p>
    <w:p>
      <w:r>
        <w:t>Anonymous users cannot upload files or instruct the assistant to browse arbitrary URLs. The demo has its own data, quotas, and credentials. No customer document, internal company file, or real employee record may enter the public dataset. A global spending cap must be able to disable generation while leaving a clearly labelled example response available.</w:t>
      </w:r>
    </w:p>
    <w:p>
      <w:r>
        <w:t>Acceptance criteria for DEMO-01: a visitor can obtain and inspect one representative answer without registration. Exhausting the allowance produces an explanation and a trial invitation. Bot traffic cannot consume an uncapped provider budget. Demo failure must not prevent visitors from reading the website or submitting an enquiry.</w:t>
      </w:r>
    </w:p>
    <w:p>
      <w:pPr>
        <w:pStyle w:val="Heading2"/>
      </w:pPr>
      <w:r>
        <w:t>9.2 Registration and first value</w:t>
      </w:r>
    </w:p>
    <w:p>
      <w:r>
        <w:t>Authentication uses verified email and password, with account recovery and email delivery monitoring. Additional social login can follow after the core flow is stable. Signup requests the minimum information needed to create a user, choose a language, accept the current terms, and create an organization.</w:t>
      </w:r>
    </w:p>
    <w:p>
      <w:r>
        <w:t>The trial starts when a verified user creates an organization. Onboarding then presents a short sequence: name the workspace, review document visibility, upload an eligible file, wait for processing, and ask a first question. Users can temporarily explore sample data, but sample use must not count as activation on the customer's own documents.</w:t>
      </w:r>
    </w:p>
    <w:p>
      <w:r>
        <w:t>Acceptance criteria for ONB-01: refreshing during onboarding does not create duplicate organizations or lose processing status. An expired invitation, failed verification email, unsupported file, or delayed job has an actionable recovery path. Completing signup alone does not trigger the activation metric.</w:t>
      </w:r>
    </w:p>
    <w:p>
      <w:bookmarkStart w:id="10" w:name="section_10"/>
      <w:pPr>
        <w:pStyle w:val="Heading1"/>
      </w:pPr>
      <w:r>
        <w:t>10 Knowledge Workspace requirements</w:t>
      </w:r>
      <w:bookmarkEnd w:id="10"/>
    </w:p>
    <w:p>
      <w:pPr>
        <w:pStyle w:val="Heading2"/>
      </w:pPr>
      <w:r>
        <w:t>10.1 Document ingestion and maintenance</w:t>
      </w:r>
    </w:p>
    <w:p>
      <w:r>
        <w:t>P0 supports text-based PDF, DOCX, TXT, and Markdown. Each file is limited to 10 MB, 200 pages where applicable, and 500,000 extracted characters. The most restrictive applicable limit wins. Scanned PDFs, encrypted documents, archives, executable files, and unsupported spreadsheets receive clear rejection messages. OCR is a later capability.</w:t>
      </w:r>
    </w:p>
    <w:p>
      <w:r>
        <w:t>Only owners and administrators can add, replace, or remove shared documents. The upload screen explicitly states that all active organization members can access accepted documents. A progress view shows uploading, queued, processing, ready, failed, and deleting states. A file becomes ready only after its content and retrieval index are usable.</w:t>
      </w:r>
    </w:p>
    <w:p>
      <w:r>
        <w:t>Processing must validate the actual file type, scan uploads, isolate parsing, bound processing time, and preserve source locations. A duplicate checksum within the same organization prompts the administrator to keep or replace the existing item. It must not reveal whether another organization has uploaded the same file.</w:t>
      </w:r>
    </w:p>
    <w:p>
      <w:r>
        <w:t>Replacement creates a new document version. Once ready, the new version becomes the retrieval source atomically and the old version stops serving new questions. Previous answers retain their version references and display an outdated-source indicator. Historical versions remain available only while referenced by retained conversations, for at most ninety days, and their bytes count toward storage. Unreferenced historical versions are purged within twenty-four hours. Failed replacement leaves the prior version available and clearly reports the failure.</w:t>
      </w:r>
    </w:p>
    <w:p>
      <w:r>
        <w:t>Acceptance criteria for DOC-01: supported files reach a truthful terminal state, failed jobs can be retried safely, and duplicate retries do not create duplicate indexed documents. Deletion immediately excludes the document from new retrieval through a tombstone check; active copies, chunks, and indexes are removed within the retention policy.</w:t>
      </w:r>
    </w:p>
    <w:p>
      <w:pPr>
        <w:pStyle w:val="Heading2"/>
      </w:pPr>
      <w:r>
        <w:t>10.2 Questions and answers</w:t>
      </w:r>
    </w:p>
    <w:p>
      <w:r>
        <w:t>The Ask screen contains a question field, document scope selector, conversation history, answer area, and source panel. Users may ask in English or Traditional Chinese independently of the interface language. The response follows the requested language while preserving names, figures, and source titles where translation could introduce ambiguity.</w:t>
      </w:r>
    </w:p>
    <w:p>
      <w:r>
        <w:t>The system retrieves only eligible documents from the current organization. It returns a concise answer with citations attached to material factual statements. Each citation opens the document title, relevant passage, version, and page or section where available. Citations are assembled from retrieved metadata; the model cannot invent a valid source identifier.</w:t>
      </w:r>
    </w:p>
    <w:p>
      <w:r>
        <w:t>When information is missing, the answer states that the current documents do not establish the requested fact and suggests a better question or missing source. Conflicting documents must be identified with their dates or versions. The system must not silently choose an answer when the available evidence remains contradictory.</w:t>
      </w:r>
    </w:p>
    <w:p>
      <w:r>
        <w:t>A visible generating state allows cancellation. Long operations provide status rather than an indefinite spinner. Copy and export actions include source references. Regenerate is an explicit new request with a visible usage implication. A feedback action records whether the issue concerns correctness, sources, missing information, language, or another problem.</w:t>
      </w:r>
    </w:p>
    <w:p>
      <w:r>
        <w:t>Acceptance criteria for ASK-01: citations resolve only to authorized sources actually used in retrieval. Removing a source prevents future retrieval and disables its stored excerpt previews. For P0, delete the entire affected conversation and its stored exports when any message used the deleted document, including information carried into later answers through conversation history. Maintain a conversation-level union of source-version dependencies to identify those conversations. The deletion confirmation explains this effect. Cancel affected in-flight runs and recheck source tombstones before committing a final answer. Already delivered or downloaded customer copies cannot be recalled.</w:t>
      </w:r>
    </w:p>
    <w:p>
      <w:pPr>
        <w:pStyle w:val="Heading2"/>
      </w:pPr>
      <w:r>
        <w:t>10.3 Conversations and collaboration</w:t>
      </w:r>
    </w:p>
    <w:p>
      <w:r>
        <w:t>Conversations are private to their creator in P0 even though the source library is shared. Workspace administrators can inspect operational metadata and aggregate usage, but their role does not automatically grant access to another employee's prompts and answers. Public links and shared conversations are deferred.</w:t>
      </w:r>
    </w:p>
    <w:p>
      <w:r>
        <w:t>Users can rename, search, export, and delete their own conversations. The application preserves a recoverable completed answer if a connection fails after generation. A retry with the same request identifier returns that result rather than charging for a second identical operation. New conversations start with a clear indication of the active organization.</w:t>
      </w:r>
    </w:p>
    <w:p>
      <w:bookmarkStart w:id="11" w:name="section_11"/>
      <w:pPr>
        <w:pStyle w:val="Heading1"/>
      </w:pPr>
      <w:r>
        <w:t>11 Roles and organization controls</w:t>
      </w:r>
      <w:bookmarkEnd w:id="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512"/>
        <w:gridCol w:w="2232"/>
        <w:gridCol w:w="1872"/>
      </w:tblGrid>
      <w:tr>
        <w:trPr>
          <w:cantSplit/>
          <w:tblHeader/>
        </w:trPr>
        <w:tc>
          <w:tcPr>
            <w:tcW w:type="dxa" w:w="4464"/>
            <w:vAlign w:val="center"/>
            <w:tcMar>
              <w:top w:w="85" w:type="dxa"/>
              <w:bottom w:w="85" w:type="dxa"/>
              <w:left w:w="95" w:type="dxa"/>
              <w:right w:w="95" w:type="dxa"/>
            </w:tcMar>
            <w:shd w:fill="203D59"/>
          </w:tcPr>
          <w:p>
            <w:pPr>
              <w:spacing w:after="0" w:line="252" w:lineRule="auto"/>
            </w:pPr>
            <w:r>
              <w:rPr>
                <w:b/>
                <w:color w:val="FFFFFF"/>
                <w:sz w:val="20"/>
              </w:rPr>
              <w:t>Capability</w:t>
            </w:r>
          </w:p>
        </w:tc>
        <w:tc>
          <w:tcPr>
            <w:tcW w:type="dxa" w:w="1512"/>
            <w:vAlign w:val="center"/>
            <w:tcMar>
              <w:top w:w="85" w:type="dxa"/>
              <w:bottom w:w="85" w:type="dxa"/>
              <w:left w:w="95" w:type="dxa"/>
              <w:right w:w="95" w:type="dxa"/>
            </w:tcMar>
            <w:shd w:fill="203D59"/>
          </w:tcPr>
          <w:p>
            <w:pPr>
              <w:spacing w:after="0" w:line="252" w:lineRule="auto"/>
              <w:jc w:val="center"/>
            </w:pPr>
            <w:r>
              <w:rPr>
                <w:b/>
                <w:color w:val="FFFFFF"/>
                <w:sz w:val="20"/>
              </w:rPr>
              <w:t>Owner</w:t>
            </w:r>
          </w:p>
        </w:tc>
        <w:tc>
          <w:tcPr>
            <w:tcW w:type="dxa" w:w="2232"/>
            <w:vAlign w:val="center"/>
            <w:tcMar>
              <w:top w:w="85" w:type="dxa"/>
              <w:bottom w:w="85" w:type="dxa"/>
              <w:left w:w="95" w:type="dxa"/>
              <w:right w:w="95" w:type="dxa"/>
            </w:tcMar>
            <w:shd w:fill="203D59"/>
          </w:tcPr>
          <w:p>
            <w:pPr>
              <w:spacing w:after="0" w:line="252" w:lineRule="auto"/>
              <w:jc w:val="center"/>
            </w:pPr>
            <w:r>
              <w:rPr>
                <w:b/>
                <w:color w:val="FFFFFF"/>
                <w:sz w:val="20"/>
              </w:rPr>
              <w:t>Administrator</w:t>
            </w:r>
          </w:p>
        </w:tc>
        <w:tc>
          <w:tcPr>
            <w:tcW w:type="dxa" w:w="1872"/>
            <w:vAlign w:val="center"/>
            <w:tcMar>
              <w:top w:w="85" w:type="dxa"/>
              <w:bottom w:w="85" w:type="dxa"/>
              <w:left w:w="95" w:type="dxa"/>
              <w:right w:w="95" w:type="dxa"/>
            </w:tcMar>
            <w:shd w:fill="203D59"/>
          </w:tcPr>
          <w:p>
            <w:pPr>
              <w:spacing w:after="0" w:line="252" w:lineRule="auto"/>
              <w:jc w:val="center"/>
            </w:pPr>
            <w:r>
              <w:rPr>
                <w:b/>
                <w:color w:val="FFFFFF"/>
                <w:sz w:val="20"/>
              </w:rPr>
              <w:t>Member</w:t>
            </w:r>
          </w:p>
        </w:tc>
      </w:tr>
      <w:tr>
        <w:trPr>
          <w:cantSplit/>
        </w:trPr>
        <w:tc>
          <w:tcPr>
            <w:tcW w:type="dxa" w:w="4464"/>
            <w:vAlign w:val="center"/>
            <w:tcMar>
              <w:top w:w="85" w:type="dxa"/>
              <w:bottom w:w="85" w:type="dxa"/>
              <w:left w:w="95" w:type="dxa"/>
              <w:right w:w="95" w:type="dxa"/>
            </w:tcMar>
            <w:shd w:fill="FFFFFF"/>
          </w:tcPr>
          <w:p>
            <w:pPr>
              <w:spacing w:after="0" w:line="252" w:lineRule="auto"/>
            </w:pPr>
            <w:r>
              <w:rPr>
                <w:sz w:val="20"/>
              </w:rPr>
              <w:t>Ask questions and read shared documents</w:t>
            </w:r>
          </w:p>
        </w:tc>
        <w:tc>
          <w:tcPr>
            <w:tcW w:type="dxa" w:w="1512"/>
            <w:vAlign w:val="center"/>
            <w:tcMar>
              <w:top w:w="85" w:type="dxa"/>
              <w:bottom w:w="85" w:type="dxa"/>
              <w:left w:w="95" w:type="dxa"/>
              <w:right w:w="95" w:type="dxa"/>
            </w:tcMar>
            <w:shd w:fill="FFFFFF"/>
          </w:tcPr>
          <w:p>
            <w:pPr>
              <w:spacing w:after="0" w:line="252" w:lineRule="auto"/>
              <w:jc w:val="center"/>
            </w:pPr>
            <w:r>
              <w:rPr>
                <w:sz w:val="20"/>
              </w:rPr>
              <w:t>Yes</w:t>
            </w:r>
          </w:p>
        </w:tc>
        <w:tc>
          <w:tcPr>
            <w:tcW w:type="dxa" w:w="2232"/>
            <w:vAlign w:val="center"/>
            <w:tcMar>
              <w:top w:w="85" w:type="dxa"/>
              <w:bottom w:w="85" w:type="dxa"/>
              <w:left w:w="95" w:type="dxa"/>
              <w:right w:w="95" w:type="dxa"/>
            </w:tcMar>
            <w:shd w:fill="FFFFFF"/>
          </w:tcPr>
          <w:p>
            <w:pPr>
              <w:spacing w:after="0" w:line="252" w:lineRule="auto"/>
              <w:jc w:val="center"/>
            </w:pPr>
            <w:r>
              <w:rPr>
                <w:sz w:val="20"/>
              </w:rPr>
              <w:t>Yes</w:t>
            </w:r>
          </w:p>
        </w:tc>
        <w:tc>
          <w:tcPr>
            <w:tcW w:type="dxa" w:w="1872"/>
            <w:vAlign w:val="center"/>
            <w:tcMar>
              <w:top w:w="85" w:type="dxa"/>
              <w:bottom w:w="85" w:type="dxa"/>
              <w:left w:w="95" w:type="dxa"/>
              <w:right w:w="95" w:type="dxa"/>
            </w:tcMar>
            <w:shd w:fill="FFFFFF"/>
          </w:tcPr>
          <w:p>
            <w:pPr>
              <w:spacing w:after="0" w:line="252" w:lineRule="auto"/>
              <w:jc w:val="center"/>
            </w:pPr>
            <w:r>
              <w:rPr>
                <w:sz w:val="20"/>
              </w:rPr>
              <w:t>Yes</w:t>
            </w:r>
          </w:p>
        </w:tc>
      </w:tr>
      <w:tr>
        <w:trPr>
          <w:cantSplit/>
        </w:trPr>
        <w:tc>
          <w:tcPr>
            <w:tcW w:type="dxa" w:w="4464"/>
            <w:vAlign w:val="center"/>
            <w:tcMar>
              <w:top w:w="85" w:type="dxa"/>
              <w:bottom w:w="85" w:type="dxa"/>
              <w:left w:w="95" w:type="dxa"/>
              <w:right w:w="95" w:type="dxa"/>
            </w:tcMar>
            <w:shd w:fill="F2F5F8"/>
          </w:tcPr>
          <w:p>
            <w:pPr>
              <w:spacing w:after="0" w:line="252" w:lineRule="auto"/>
            </w:pPr>
            <w:r>
              <w:rPr>
                <w:sz w:val="20"/>
              </w:rPr>
              <w:t>Manage own conversations</w:t>
            </w:r>
          </w:p>
        </w:tc>
        <w:tc>
          <w:tcPr>
            <w:tcW w:type="dxa" w:w="1512"/>
            <w:vAlign w:val="center"/>
            <w:tcMar>
              <w:top w:w="85" w:type="dxa"/>
              <w:bottom w:w="85" w:type="dxa"/>
              <w:left w:w="95" w:type="dxa"/>
              <w:right w:w="95" w:type="dxa"/>
            </w:tcMar>
            <w:shd w:fill="F2F5F8"/>
          </w:tcPr>
          <w:p>
            <w:pPr>
              <w:spacing w:after="0" w:line="252" w:lineRule="auto"/>
              <w:jc w:val="center"/>
            </w:pPr>
            <w:r>
              <w:rPr>
                <w:sz w:val="20"/>
              </w:rPr>
              <w:t>Yes</w:t>
            </w:r>
          </w:p>
        </w:tc>
        <w:tc>
          <w:tcPr>
            <w:tcW w:type="dxa" w:w="2232"/>
            <w:vAlign w:val="center"/>
            <w:tcMar>
              <w:top w:w="85" w:type="dxa"/>
              <w:bottom w:w="85" w:type="dxa"/>
              <w:left w:w="95" w:type="dxa"/>
              <w:right w:w="95" w:type="dxa"/>
            </w:tcMar>
            <w:shd w:fill="F2F5F8"/>
          </w:tcPr>
          <w:p>
            <w:pPr>
              <w:spacing w:after="0" w:line="252" w:lineRule="auto"/>
              <w:jc w:val="center"/>
            </w:pPr>
            <w:r>
              <w:rPr>
                <w:sz w:val="20"/>
              </w:rPr>
              <w:t>Yes</w:t>
            </w:r>
          </w:p>
        </w:tc>
        <w:tc>
          <w:tcPr>
            <w:tcW w:type="dxa" w:w="1872"/>
            <w:vAlign w:val="center"/>
            <w:tcMar>
              <w:top w:w="85" w:type="dxa"/>
              <w:bottom w:w="85" w:type="dxa"/>
              <w:left w:w="95" w:type="dxa"/>
              <w:right w:w="95" w:type="dxa"/>
            </w:tcMar>
            <w:shd w:fill="F2F5F8"/>
          </w:tcPr>
          <w:p>
            <w:pPr>
              <w:spacing w:after="0" w:line="252" w:lineRule="auto"/>
              <w:jc w:val="center"/>
            </w:pPr>
            <w:r>
              <w:rPr>
                <w:sz w:val="20"/>
              </w:rPr>
              <w:t>Yes</w:t>
            </w:r>
          </w:p>
        </w:tc>
      </w:tr>
      <w:tr>
        <w:trPr>
          <w:cantSplit/>
        </w:trPr>
        <w:tc>
          <w:tcPr>
            <w:tcW w:type="dxa" w:w="4464"/>
            <w:vAlign w:val="center"/>
            <w:tcMar>
              <w:top w:w="85" w:type="dxa"/>
              <w:bottom w:w="85" w:type="dxa"/>
              <w:left w:w="95" w:type="dxa"/>
              <w:right w:w="95" w:type="dxa"/>
            </w:tcMar>
            <w:shd w:fill="FFFFFF"/>
          </w:tcPr>
          <w:p>
            <w:pPr>
              <w:spacing w:after="0" w:line="252" w:lineRule="auto"/>
            </w:pPr>
            <w:r>
              <w:rPr>
                <w:sz w:val="20"/>
              </w:rPr>
              <w:t>Upload and maintain shared documents</w:t>
            </w:r>
          </w:p>
        </w:tc>
        <w:tc>
          <w:tcPr>
            <w:tcW w:type="dxa" w:w="1512"/>
            <w:vAlign w:val="center"/>
            <w:tcMar>
              <w:top w:w="85" w:type="dxa"/>
              <w:bottom w:w="85" w:type="dxa"/>
              <w:left w:w="95" w:type="dxa"/>
              <w:right w:w="95" w:type="dxa"/>
            </w:tcMar>
            <w:shd w:fill="FFFFFF"/>
          </w:tcPr>
          <w:p>
            <w:pPr>
              <w:spacing w:after="0" w:line="252" w:lineRule="auto"/>
              <w:jc w:val="center"/>
            </w:pPr>
            <w:r>
              <w:rPr>
                <w:sz w:val="20"/>
              </w:rPr>
              <w:t>Yes</w:t>
            </w:r>
          </w:p>
        </w:tc>
        <w:tc>
          <w:tcPr>
            <w:tcW w:type="dxa" w:w="2232"/>
            <w:vAlign w:val="center"/>
            <w:tcMar>
              <w:top w:w="85" w:type="dxa"/>
              <w:bottom w:w="85" w:type="dxa"/>
              <w:left w:w="95" w:type="dxa"/>
              <w:right w:w="95" w:type="dxa"/>
            </w:tcMar>
            <w:shd w:fill="FFFFFF"/>
          </w:tcPr>
          <w:p>
            <w:pPr>
              <w:spacing w:after="0" w:line="252" w:lineRule="auto"/>
              <w:jc w:val="center"/>
            </w:pPr>
            <w:r>
              <w:rPr>
                <w:sz w:val="20"/>
              </w:rPr>
              <w:t>Yes</w:t>
            </w:r>
          </w:p>
        </w:tc>
        <w:tc>
          <w:tcPr>
            <w:tcW w:type="dxa" w:w="1872"/>
            <w:vAlign w:val="center"/>
            <w:tcMar>
              <w:top w:w="85" w:type="dxa"/>
              <w:bottom w:w="85" w:type="dxa"/>
              <w:left w:w="95" w:type="dxa"/>
              <w:right w:w="95" w:type="dxa"/>
            </w:tcMar>
            <w:shd w:fill="FFFFFF"/>
          </w:tcPr>
          <w:p>
            <w:pPr>
              <w:spacing w:after="0" w:line="252" w:lineRule="auto"/>
              <w:jc w:val="center"/>
            </w:pPr>
            <w:r>
              <w:rPr>
                <w:sz w:val="20"/>
              </w:rPr>
              <w:t>No</w:t>
            </w:r>
          </w:p>
        </w:tc>
      </w:tr>
      <w:tr>
        <w:trPr>
          <w:cantSplit/>
        </w:trPr>
        <w:tc>
          <w:tcPr>
            <w:tcW w:type="dxa" w:w="4464"/>
            <w:vAlign w:val="center"/>
            <w:tcMar>
              <w:top w:w="85" w:type="dxa"/>
              <w:bottom w:w="85" w:type="dxa"/>
              <w:left w:w="95" w:type="dxa"/>
              <w:right w:w="95" w:type="dxa"/>
            </w:tcMar>
            <w:shd w:fill="F2F5F8"/>
          </w:tcPr>
          <w:p>
            <w:pPr>
              <w:spacing w:after="0" w:line="252" w:lineRule="auto"/>
            </w:pPr>
            <w:r>
              <w:rPr>
                <w:sz w:val="20"/>
              </w:rPr>
              <w:t>Invite or remove ordinary members</w:t>
            </w:r>
          </w:p>
        </w:tc>
        <w:tc>
          <w:tcPr>
            <w:tcW w:type="dxa" w:w="1512"/>
            <w:vAlign w:val="center"/>
            <w:tcMar>
              <w:top w:w="85" w:type="dxa"/>
              <w:bottom w:w="85" w:type="dxa"/>
              <w:left w:w="95" w:type="dxa"/>
              <w:right w:w="95" w:type="dxa"/>
            </w:tcMar>
            <w:shd w:fill="F2F5F8"/>
          </w:tcPr>
          <w:p>
            <w:pPr>
              <w:spacing w:after="0" w:line="252" w:lineRule="auto"/>
              <w:jc w:val="center"/>
            </w:pPr>
            <w:r>
              <w:rPr>
                <w:sz w:val="20"/>
              </w:rPr>
              <w:t>Yes</w:t>
            </w:r>
          </w:p>
        </w:tc>
        <w:tc>
          <w:tcPr>
            <w:tcW w:type="dxa" w:w="2232"/>
            <w:vAlign w:val="center"/>
            <w:tcMar>
              <w:top w:w="85" w:type="dxa"/>
              <w:bottom w:w="85" w:type="dxa"/>
              <w:left w:w="95" w:type="dxa"/>
              <w:right w:w="95" w:type="dxa"/>
            </w:tcMar>
            <w:shd w:fill="F2F5F8"/>
          </w:tcPr>
          <w:p>
            <w:pPr>
              <w:spacing w:after="0" w:line="252" w:lineRule="auto"/>
              <w:jc w:val="center"/>
            </w:pPr>
            <w:r>
              <w:rPr>
                <w:sz w:val="20"/>
              </w:rPr>
              <w:t>Yes</w:t>
            </w:r>
          </w:p>
        </w:tc>
        <w:tc>
          <w:tcPr>
            <w:tcW w:type="dxa" w:w="1872"/>
            <w:vAlign w:val="center"/>
            <w:tcMar>
              <w:top w:w="85" w:type="dxa"/>
              <w:bottom w:w="85" w:type="dxa"/>
              <w:left w:w="95" w:type="dxa"/>
              <w:right w:w="95" w:type="dxa"/>
            </w:tcMar>
            <w:shd w:fill="F2F5F8"/>
          </w:tcPr>
          <w:p>
            <w:pPr>
              <w:spacing w:after="0" w:line="252" w:lineRule="auto"/>
              <w:jc w:val="center"/>
            </w:pPr>
            <w:r>
              <w:rPr>
                <w:sz w:val="20"/>
              </w:rPr>
              <w:t>No</w:t>
            </w:r>
          </w:p>
        </w:tc>
      </w:tr>
      <w:tr>
        <w:trPr>
          <w:cantSplit/>
        </w:trPr>
        <w:tc>
          <w:tcPr>
            <w:tcW w:type="dxa" w:w="4464"/>
            <w:vAlign w:val="center"/>
            <w:tcMar>
              <w:top w:w="85" w:type="dxa"/>
              <w:bottom w:w="85" w:type="dxa"/>
              <w:left w:w="95" w:type="dxa"/>
              <w:right w:w="95" w:type="dxa"/>
            </w:tcMar>
            <w:shd w:fill="FFFFFF"/>
          </w:tcPr>
          <w:p>
            <w:pPr>
              <w:spacing w:after="0" w:line="252" w:lineRule="auto"/>
            </w:pPr>
            <w:r>
              <w:rPr>
                <w:sz w:val="20"/>
              </w:rPr>
              <w:t>Assign administrators or transfer ownership</w:t>
            </w:r>
          </w:p>
        </w:tc>
        <w:tc>
          <w:tcPr>
            <w:tcW w:type="dxa" w:w="1512"/>
            <w:vAlign w:val="center"/>
            <w:tcMar>
              <w:top w:w="85" w:type="dxa"/>
              <w:bottom w:w="85" w:type="dxa"/>
              <w:left w:w="95" w:type="dxa"/>
              <w:right w:w="95" w:type="dxa"/>
            </w:tcMar>
            <w:shd w:fill="FFFFFF"/>
          </w:tcPr>
          <w:p>
            <w:pPr>
              <w:spacing w:after="0" w:line="252" w:lineRule="auto"/>
              <w:jc w:val="center"/>
            </w:pPr>
            <w:r>
              <w:rPr>
                <w:sz w:val="20"/>
              </w:rPr>
              <w:t>Yes</w:t>
            </w:r>
          </w:p>
        </w:tc>
        <w:tc>
          <w:tcPr>
            <w:tcW w:type="dxa" w:w="2232"/>
            <w:vAlign w:val="center"/>
            <w:tcMar>
              <w:top w:w="85" w:type="dxa"/>
              <w:bottom w:w="85" w:type="dxa"/>
              <w:left w:w="95" w:type="dxa"/>
              <w:right w:w="95" w:type="dxa"/>
            </w:tcMar>
            <w:shd w:fill="FFFFFF"/>
          </w:tcPr>
          <w:p>
            <w:pPr>
              <w:spacing w:after="0" w:line="252" w:lineRule="auto"/>
              <w:jc w:val="center"/>
            </w:pPr>
            <w:r>
              <w:rPr>
                <w:sz w:val="20"/>
              </w:rPr>
              <w:t>No</w:t>
            </w:r>
          </w:p>
        </w:tc>
        <w:tc>
          <w:tcPr>
            <w:tcW w:type="dxa" w:w="1872"/>
            <w:vAlign w:val="center"/>
            <w:tcMar>
              <w:top w:w="85" w:type="dxa"/>
              <w:bottom w:w="85" w:type="dxa"/>
              <w:left w:w="95" w:type="dxa"/>
              <w:right w:w="95" w:type="dxa"/>
            </w:tcMar>
            <w:shd w:fill="FFFFFF"/>
          </w:tcPr>
          <w:p>
            <w:pPr>
              <w:spacing w:after="0" w:line="252" w:lineRule="auto"/>
              <w:jc w:val="center"/>
            </w:pPr>
            <w:r>
              <w:rPr>
                <w:sz w:val="20"/>
              </w:rPr>
              <w:t>No</w:t>
            </w:r>
          </w:p>
        </w:tc>
      </w:tr>
      <w:tr>
        <w:trPr>
          <w:cantSplit/>
        </w:trPr>
        <w:tc>
          <w:tcPr>
            <w:tcW w:type="dxa" w:w="4464"/>
            <w:vAlign w:val="center"/>
            <w:tcMar>
              <w:top w:w="85" w:type="dxa"/>
              <w:bottom w:w="85" w:type="dxa"/>
              <w:left w:w="95" w:type="dxa"/>
              <w:right w:w="95" w:type="dxa"/>
            </w:tcMar>
            <w:shd w:fill="F2F5F8"/>
          </w:tcPr>
          <w:p>
            <w:pPr>
              <w:spacing w:after="0" w:line="252" w:lineRule="auto"/>
            </w:pPr>
            <w:r>
              <w:rPr>
                <w:sz w:val="20"/>
              </w:rPr>
              <w:t>View aggregate usage</w:t>
            </w:r>
          </w:p>
        </w:tc>
        <w:tc>
          <w:tcPr>
            <w:tcW w:type="dxa" w:w="1512"/>
            <w:vAlign w:val="center"/>
            <w:tcMar>
              <w:top w:w="85" w:type="dxa"/>
              <w:bottom w:w="85" w:type="dxa"/>
              <w:left w:w="95" w:type="dxa"/>
              <w:right w:w="95" w:type="dxa"/>
            </w:tcMar>
            <w:shd w:fill="F2F5F8"/>
          </w:tcPr>
          <w:p>
            <w:pPr>
              <w:spacing w:after="0" w:line="252" w:lineRule="auto"/>
              <w:jc w:val="center"/>
            </w:pPr>
            <w:r>
              <w:rPr>
                <w:sz w:val="20"/>
              </w:rPr>
              <w:t>Yes</w:t>
            </w:r>
          </w:p>
        </w:tc>
        <w:tc>
          <w:tcPr>
            <w:tcW w:type="dxa" w:w="2232"/>
            <w:vAlign w:val="center"/>
            <w:tcMar>
              <w:top w:w="85" w:type="dxa"/>
              <w:bottom w:w="85" w:type="dxa"/>
              <w:left w:w="95" w:type="dxa"/>
              <w:right w:w="95" w:type="dxa"/>
            </w:tcMar>
            <w:shd w:fill="F2F5F8"/>
          </w:tcPr>
          <w:p>
            <w:pPr>
              <w:spacing w:after="0" w:line="252" w:lineRule="auto"/>
              <w:jc w:val="center"/>
            </w:pPr>
            <w:r>
              <w:rPr>
                <w:sz w:val="20"/>
              </w:rPr>
              <w:t>Yes</w:t>
            </w:r>
          </w:p>
        </w:tc>
        <w:tc>
          <w:tcPr>
            <w:tcW w:type="dxa" w:w="1872"/>
            <w:vAlign w:val="center"/>
            <w:tcMar>
              <w:top w:w="85" w:type="dxa"/>
              <w:bottom w:w="85" w:type="dxa"/>
              <w:left w:w="95" w:type="dxa"/>
              <w:right w:w="95" w:type="dxa"/>
            </w:tcMar>
            <w:shd w:fill="F2F5F8"/>
          </w:tcPr>
          <w:p>
            <w:pPr>
              <w:spacing w:after="0" w:line="252" w:lineRule="auto"/>
              <w:jc w:val="center"/>
            </w:pPr>
            <w:r>
              <w:rPr>
                <w:sz w:val="20"/>
              </w:rPr>
              <w:t>Own usage only</w:t>
            </w:r>
          </w:p>
        </w:tc>
      </w:tr>
      <w:tr>
        <w:trPr>
          <w:cantSplit/>
        </w:trPr>
        <w:tc>
          <w:tcPr>
            <w:tcW w:type="dxa" w:w="4464"/>
            <w:vAlign w:val="center"/>
            <w:tcMar>
              <w:top w:w="85" w:type="dxa"/>
              <w:bottom w:w="85" w:type="dxa"/>
              <w:left w:w="95" w:type="dxa"/>
              <w:right w:w="95" w:type="dxa"/>
            </w:tcMar>
            <w:shd w:fill="FFFFFF"/>
          </w:tcPr>
          <w:p>
            <w:pPr>
              <w:spacing w:after="0" w:line="252" w:lineRule="auto"/>
            </w:pPr>
            <w:r>
              <w:rPr>
                <w:sz w:val="20"/>
              </w:rPr>
              <w:t>Manage billing or delete organization</w:t>
            </w:r>
          </w:p>
        </w:tc>
        <w:tc>
          <w:tcPr>
            <w:tcW w:type="dxa" w:w="1512"/>
            <w:vAlign w:val="center"/>
            <w:tcMar>
              <w:top w:w="85" w:type="dxa"/>
              <w:bottom w:w="85" w:type="dxa"/>
              <w:left w:w="95" w:type="dxa"/>
              <w:right w:w="95" w:type="dxa"/>
            </w:tcMar>
            <w:shd w:fill="FFFFFF"/>
          </w:tcPr>
          <w:p>
            <w:pPr>
              <w:spacing w:after="0" w:line="252" w:lineRule="auto"/>
              <w:jc w:val="center"/>
            </w:pPr>
            <w:r>
              <w:rPr>
                <w:sz w:val="20"/>
              </w:rPr>
              <w:t>Yes</w:t>
            </w:r>
          </w:p>
        </w:tc>
        <w:tc>
          <w:tcPr>
            <w:tcW w:type="dxa" w:w="2232"/>
            <w:vAlign w:val="center"/>
            <w:tcMar>
              <w:top w:w="85" w:type="dxa"/>
              <w:bottom w:w="85" w:type="dxa"/>
              <w:left w:w="95" w:type="dxa"/>
              <w:right w:w="95" w:type="dxa"/>
            </w:tcMar>
            <w:shd w:fill="FFFFFF"/>
          </w:tcPr>
          <w:p>
            <w:pPr>
              <w:spacing w:after="0" w:line="252" w:lineRule="auto"/>
              <w:jc w:val="center"/>
            </w:pPr>
            <w:r>
              <w:rPr>
                <w:sz w:val="20"/>
              </w:rPr>
              <w:t>No</w:t>
            </w:r>
          </w:p>
        </w:tc>
        <w:tc>
          <w:tcPr>
            <w:tcW w:type="dxa" w:w="1872"/>
            <w:vAlign w:val="center"/>
            <w:tcMar>
              <w:top w:w="85" w:type="dxa"/>
              <w:bottom w:w="85" w:type="dxa"/>
              <w:left w:w="95" w:type="dxa"/>
              <w:right w:w="95" w:type="dxa"/>
            </w:tcMar>
            <w:shd w:fill="FFFFFF"/>
          </w:tcPr>
          <w:p>
            <w:pPr>
              <w:spacing w:after="0" w:line="252" w:lineRule="auto"/>
              <w:jc w:val="center"/>
            </w:pPr>
            <w:r>
              <w:rPr>
                <w:sz w:val="20"/>
              </w:rPr>
              <w:t>No</w:t>
            </w:r>
          </w:p>
        </w:tc>
      </w:tr>
    </w:tbl>
    <w:p>
      <w:pPr>
        <w:spacing w:after="60" w:before="0" w:line="48" w:lineRule="auto"/>
      </w:pPr>
      <w:r>
        <w:rPr>
          <w:sz w:val="4"/>
        </w:rPr>
      </w:r>
    </w:p>
    <w:p>
      <w:r>
        <w:t>Invitations expire after seven days and can be accepted once by the intended verified email account. Active members and unexpired invitations together count toward the seat allowance. An administrator can invite only ordinary members. Starter and Trial include one seat, so inviting a teammate requires a plan with available capacity.</w:t>
      </w:r>
    </w:p>
    <w:p>
      <w:r>
        <w:t>Membership changes take effect on subsequent protected requests. Existing signed file links expire within sixty seconds. Every sensitive action checks the current organization, current role, and relevant entitlement on the server. Hiding a button is an interface convenience rather than an access-control mechanism. Ownership transfer requires reauthentication and an active recipient; the last owner cannot remove themselves without a valid transfer or organization deletion.</w:t>
      </w:r>
    </w:p>
    <w:p>
      <w:bookmarkStart w:id="12" w:name="section_12"/>
      <w:pPr>
        <w:pStyle w:val="Heading1"/>
      </w:pPr>
      <w:r>
        <w:t>12 Pricing and subscription behavior</w:t>
      </w:r>
      <w:bookmarkEnd w:id="12"/>
    </w:p>
    <w:p>
      <w:pPr>
        <w:pStyle w:val="Heading2"/>
      </w:pPr>
      <w:r>
        <w:t>12.1 Proposed packages</w:t>
      </w:r>
    </w:p>
    <w:p>
      <w:r>
        <w:t>The initial commercial experiment uses two paid self-service packages and a quotation path for larger requirements. All amounts below are proposed HKD monthly prices, not approved selling prices or competitor benchmarks. Annual commitments and automated usage overage billing are deferred until the monthly product is validated.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440"/>
        <w:gridCol w:w="1152"/>
        <w:gridCol w:w="2088"/>
        <w:gridCol w:w="4248"/>
      </w:tblGrid>
      <w:tr>
        <w:trPr>
          <w:cantSplit/>
          <w:tblHeader/>
        </w:trPr>
        <w:tc>
          <w:tcPr>
            <w:tcW w:type="dxa" w:w="1152"/>
            <w:vAlign w:val="center"/>
            <w:tcMar>
              <w:top w:w="85" w:type="dxa"/>
              <w:bottom w:w="85" w:type="dxa"/>
              <w:left w:w="95" w:type="dxa"/>
              <w:right w:w="95" w:type="dxa"/>
            </w:tcMar>
            <w:shd w:fill="203D59"/>
          </w:tcPr>
          <w:p>
            <w:pPr>
              <w:spacing w:after="0" w:line="252" w:lineRule="auto"/>
            </w:pPr>
            <w:r>
              <w:rPr>
                <w:b/>
                <w:color w:val="FFFFFF"/>
                <w:sz w:val="20"/>
              </w:rPr>
              <w:t>Package</w:t>
            </w:r>
          </w:p>
        </w:tc>
        <w:tc>
          <w:tcPr>
            <w:tcW w:type="dxa" w:w="1440"/>
            <w:vAlign w:val="center"/>
            <w:tcMar>
              <w:top w:w="85" w:type="dxa"/>
              <w:bottom w:w="85" w:type="dxa"/>
              <w:left w:w="95" w:type="dxa"/>
              <w:right w:w="95" w:type="dxa"/>
            </w:tcMar>
            <w:shd w:fill="203D59"/>
          </w:tcPr>
          <w:p>
            <w:pPr>
              <w:spacing w:after="0" w:line="252" w:lineRule="auto"/>
              <w:jc w:val="center"/>
            </w:pPr>
            <w:r>
              <w:rPr>
                <w:b/>
                <w:color w:val="FFFFFF"/>
                <w:sz w:val="20"/>
              </w:rPr>
              <w:t>Monthly price</w:t>
            </w:r>
          </w:p>
        </w:tc>
        <w:tc>
          <w:tcPr>
            <w:tcW w:type="dxa" w:w="1152"/>
            <w:vAlign w:val="center"/>
            <w:tcMar>
              <w:top w:w="85" w:type="dxa"/>
              <w:bottom w:w="85" w:type="dxa"/>
              <w:left w:w="95" w:type="dxa"/>
              <w:right w:w="95" w:type="dxa"/>
            </w:tcMar>
            <w:shd w:fill="203D59"/>
          </w:tcPr>
          <w:p>
            <w:pPr>
              <w:spacing w:after="0" w:line="252" w:lineRule="auto"/>
              <w:jc w:val="center"/>
            </w:pPr>
            <w:r>
              <w:rPr>
                <w:b/>
                <w:color w:val="FFFFFF"/>
                <w:sz w:val="20"/>
              </w:rPr>
              <w:t>Seats</w:t>
            </w:r>
          </w:p>
        </w:tc>
        <w:tc>
          <w:tcPr>
            <w:tcW w:type="dxa" w:w="2088"/>
            <w:vAlign w:val="center"/>
            <w:tcMar>
              <w:top w:w="85" w:type="dxa"/>
              <w:bottom w:w="85" w:type="dxa"/>
              <w:left w:w="95" w:type="dxa"/>
              <w:right w:w="95" w:type="dxa"/>
            </w:tcMar>
            <w:shd w:fill="203D59"/>
          </w:tcPr>
          <w:p>
            <w:pPr>
              <w:spacing w:after="0" w:line="252" w:lineRule="auto"/>
              <w:jc w:val="center"/>
            </w:pPr>
            <w:r>
              <w:rPr>
                <w:b/>
                <w:color w:val="FFFFFF"/>
                <w:sz w:val="20"/>
              </w:rPr>
              <w:t>Completed answers</w:t>
            </w:r>
          </w:p>
        </w:tc>
        <w:tc>
          <w:tcPr>
            <w:tcW w:type="dxa" w:w="4248"/>
            <w:vAlign w:val="center"/>
            <w:tcMar>
              <w:top w:w="85" w:type="dxa"/>
              <w:bottom w:w="85" w:type="dxa"/>
              <w:left w:w="95" w:type="dxa"/>
              <w:right w:w="95" w:type="dxa"/>
            </w:tcMar>
            <w:shd w:fill="203D59"/>
          </w:tcPr>
          <w:p>
            <w:pPr>
              <w:spacing w:after="0" w:line="252" w:lineRule="auto"/>
            </w:pPr>
            <w:r>
              <w:rPr>
                <w:b/>
                <w:color w:val="FFFFFF"/>
                <w:sz w:val="20"/>
              </w:rPr>
              <w:t>Document and storage limit</w:t>
            </w:r>
          </w:p>
        </w:tc>
      </w:tr>
      <w:tr>
        <w:trPr>
          <w:cantSplit/>
        </w:trPr>
        <w:tc>
          <w:tcPr>
            <w:tcW w:type="dxa" w:w="1152"/>
            <w:vAlign w:val="center"/>
            <w:tcMar>
              <w:top w:w="85" w:type="dxa"/>
              <w:bottom w:w="85" w:type="dxa"/>
              <w:left w:w="95" w:type="dxa"/>
              <w:right w:w="95" w:type="dxa"/>
            </w:tcMar>
            <w:shd w:fill="FFFFFF"/>
          </w:tcPr>
          <w:p>
            <w:pPr>
              <w:spacing w:after="0" w:line="252" w:lineRule="auto"/>
            </w:pPr>
            <w:r>
              <w:rPr>
                <w:sz w:val="20"/>
              </w:rPr>
              <w:t>Trial</w:t>
            </w:r>
          </w:p>
        </w:tc>
        <w:tc>
          <w:tcPr>
            <w:tcW w:type="dxa" w:w="1440"/>
            <w:vAlign w:val="center"/>
            <w:tcMar>
              <w:top w:w="85" w:type="dxa"/>
              <w:bottom w:w="85" w:type="dxa"/>
              <w:left w:w="95" w:type="dxa"/>
              <w:right w:w="95" w:type="dxa"/>
            </w:tcMar>
            <w:shd w:fill="FFFFFF"/>
          </w:tcPr>
          <w:p>
            <w:pPr>
              <w:spacing w:after="0" w:line="252" w:lineRule="auto"/>
              <w:jc w:val="center"/>
            </w:pPr>
            <w:r>
              <w:rPr>
                <w:sz w:val="20"/>
              </w:rPr>
              <w:t>Free for fourteen days</w:t>
            </w:r>
          </w:p>
        </w:tc>
        <w:tc>
          <w:tcPr>
            <w:tcW w:type="dxa" w:w="1152"/>
            <w:vAlign w:val="center"/>
            <w:tcMar>
              <w:top w:w="85" w:type="dxa"/>
              <w:bottom w:w="85" w:type="dxa"/>
              <w:left w:w="95" w:type="dxa"/>
              <w:right w:w="95" w:type="dxa"/>
            </w:tcMar>
            <w:shd w:fill="FFFFFF"/>
          </w:tcPr>
          <w:p>
            <w:pPr>
              <w:spacing w:after="0" w:line="252" w:lineRule="auto"/>
              <w:jc w:val="center"/>
            </w:pPr>
            <w:r>
              <w:rPr>
                <w:sz w:val="20"/>
              </w:rPr>
              <w:t>1</w:t>
            </w:r>
          </w:p>
        </w:tc>
        <w:tc>
          <w:tcPr>
            <w:tcW w:type="dxa" w:w="2088"/>
            <w:vAlign w:val="center"/>
            <w:tcMar>
              <w:top w:w="85" w:type="dxa"/>
              <w:bottom w:w="85" w:type="dxa"/>
              <w:left w:w="95" w:type="dxa"/>
              <w:right w:w="95" w:type="dxa"/>
            </w:tcMar>
            <w:shd w:fill="FFFFFF"/>
          </w:tcPr>
          <w:p>
            <w:pPr>
              <w:spacing w:after="0" w:line="252" w:lineRule="auto"/>
              <w:jc w:val="center"/>
            </w:pPr>
            <w:r>
              <w:rPr>
                <w:sz w:val="20"/>
              </w:rPr>
              <w:t>50 for the whole trial</w:t>
            </w:r>
          </w:p>
        </w:tc>
        <w:tc>
          <w:tcPr>
            <w:tcW w:type="dxa" w:w="4248"/>
            <w:vAlign w:val="center"/>
            <w:tcMar>
              <w:top w:w="85" w:type="dxa"/>
              <w:bottom w:w="85" w:type="dxa"/>
              <w:left w:w="95" w:type="dxa"/>
              <w:right w:w="95" w:type="dxa"/>
            </w:tcMar>
            <w:shd w:fill="FFFFFF"/>
          </w:tcPr>
          <w:p>
            <w:pPr>
              <w:spacing w:after="0" w:line="252" w:lineRule="auto"/>
            </w:pPr>
            <w:r>
              <w:rPr>
                <w:sz w:val="20"/>
              </w:rPr>
              <w:t>10 documents and 100 MB</w:t>
            </w:r>
          </w:p>
        </w:tc>
      </w:tr>
      <w:tr>
        <w:trPr>
          <w:cantSplit/>
        </w:trPr>
        <w:tc>
          <w:tcPr>
            <w:tcW w:type="dxa" w:w="1152"/>
            <w:vAlign w:val="center"/>
            <w:tcMar>
              <w:top w:w="85" w:type="dxa"/>
              <w:bottom w:w="85" w:type="dxa"/>
              <w:left w:w="95" w:type="dxa"/>
              <w:right w:w="95" w:type="dxa"/>
            </w:tcMar>
            <w:shd w:fill="F2F5F8"/>
          </w:tcPr>
          <w:p>
            <w:pPr>
              <w:spacing w:after="0" w:line="252" w:lineRule="auto"/>
            </w:pPr>
            <w:r>
              <w:rPr>
                <w:sz w:val="20"/>
              </w:rPr>
              <w:t>Starter</w:t>
            </w:r>
          </w:p>
        </w:tc>
        <w:tc>
          <w:tcPr>
            <w:tcW w:type="dxa" w:w="1440"/>
            <w:vAlign w:val="center"/>
            <w:tcMar>
              <w:top w:w="85" w:type="dxa"/>
              <w:bottom w:w="85" w:type="dxa"/>
              <w:left w:w="95" w:type="dxa"/>
              <w:right w:w="95" w:type="dxa"/>
            </w:tcMar>
            <w:shd w:fill="F2F5F8"/>
          </w:tcPr>
          <w:p>
            <w:pPr>
              <w:spacing w:after="0" w:line="252" w:lineRule="auto"/>
              <w:jc w:val="center"/>
            </w:pPr>
            <w:r>
              <w:rPr>
                <w:sz w:val="20"/>
              </w:rPr>
              <w:t>HKD 499</w:t>
            </w:r>
          </w:p>
        </w:tc>
        <w:tc>
          <w:tcPr>
            <w:tcW w:type="dxa" w:w="1152"/>
            <w:vAlign w:val="center"/>
            <w:tcMar>
              <w:top w:w="85" w:type="dxa"/>
              <w:bottom w:w="85" w:type="dxa"/>
              <w:left w:w="95" w:type="dxa"/>
              <w:right w:w="95" w:type="dxa"/>
            </w:tcMar>
            <w:shd w:fill="F2F5F8"/>
          </w:tcPr>
          <w:p>
            <w:pPr>
              <w:spacing w:after="0" w:line="252" w:lineRule="auto"/>
              <w:jc w:val="center"/>
            </w:pPr>
            <w:r>
              <w:rPr>
                <w:sz w:val="20"/>
              </w:rPr>
              <w:t>1</w:t>
            </w:r>
          </w:p>
        </w:tc>
        <w:tc>
          <w:tcPr>
            <w:tcW w:type="dxa" w:w="2088"/>
            <w:vAlign w:val="center"/>
            <w:tcMar>
              <w:top w:w="85" w:type="dxa"/>
              <w:bottom w:w="85" w:type="dxa"/>
              <w:left w:w="95" w:type="dxa"/>
              <w:right w:w="95" w:type="dxa"/>
            </w:tcMar>
            <w:shd w:fill="F2F5F8"/>
          </w:tcPr>
          <w:p>
            <w:pPr>
              <w:spacing w:after="0" w:line="252" w:lineRule="auto"/>
              <w:jc w:val="center"/>
            </w:pPr>
            <w:r>
              <w:rPr>
                <w:sz w:val="20"/>
              </w:rPr>
              <w:t>500 per billing period</w:t>
            </w:r>
          </w:p>
        </w:tc>
        <w:tc>
          <w:tcPr>
            <w:tcW w:type="dxa" w:w="4248"/>
            <w:vAlign w:val="center"/>
            <w:tcMar>
              <w:top w:w="85" w:type="dxa"/>
              <w:bottom w:w="85" w:type="dxa"/>
              <w:left w:w="95" w:type="dxa"/>
              <w:right w:w="95" w:type="dxa"/>
            </w:tcMar>
            <w:shd w:fill="F2F5F8"/>
          </w:tcPr>
          <w:p>
            <w:pPr>
              <w:spacing w:after="0" w:line="252" w:lineRule="auto"/>
            </w:pPr>
            <w:r>
              <w:rPr>
                <w:sz w:val="20"/>
              </w:rPr>
              <w:t>100 documents and 1 GB</w:t>
            </w:r>
          </w:p>
        </w:tc>
      </w:tr>
      <w:tr>
        <w:trPr>
          <w:cantSplit/>
        </w:trPr>
        <w:tc>
          <w:tcPr>
            <w:tcW w:type="dxa" w:w="1152"/>
            <w:vAlign w:val="center"/>
            <w:tcMar>
              <w:top w:w="85" w:type="dxa"/>
              <w:bottom w:w="85" w:type="dxa"/>
              <w:left w:w="95" w:type="dxa"/>
              <w:right w:w="95" w:type="dxa"/>
            </w:tcMar>
            <w:shd w:fill="FFFFFF"/>
          </w:tcPr>
          <w:p>
            <w:pPr>
              <w:spacing w:after="0" w:line="252" w:lineRule="auto"/>
            </w:pPr>
            <w:r>
              <w:rPr>
                <w:sz w:val="20"/>
              </w:rPr>
              <w:t>Team</w:t>
            </w:r>
          </w:p>
        </w:tc>
        <w:tc>
          <w:tcPr>
            <w:tcW w:type="dxa" w:w="1440"/>
            <w:vAlign w:val="center"/>
            <w:tcMar>
              <w:top w:w="85" w:type="dxa"/>
              <w:bottom w:w="85" w:type="dxa"/>
              <w:left w:w="95" w:type="dxa"/>
              <w:right w:w="95" w:type="dxa"/>
            </w:tcMar>
            <w:shd w:fill="FFFFFF"/>
          </w:tcPr>
          <w:p>
            <w:pPr>
              <w:spacing w:after="0" w:line="252" w:lineRule="auto"/>
              <w:jc w:val="center"/>
            </w:pPr>
            <w:r>
              <w:rPr>
                <w:sz w:val="20"/>
              </w:rPr>
              <w:t>HKD 1499</w:t>
            </w:r>
          </w:p>
        </w:tc>
        <w:tc>
          <w:tcPr>
            <w:tcW w:type="dxa" w:w="1152"/>
            <w:vAlign w:val="center"/>
            <w:tcMar>
              <w:top w:w="85" w:type="dxa"/>
              <w:bottom w:w="85" w:type="dxa"/>
              <w:left w:w="95" w:type="dxa"/>
              <w:right w:w="95" w:type="dxa"/>
            </w:tcMar>
            <w:shd w:fill="FFFFFF"/>
          </w:tcPr>
          <w:p>
            <w:pPr>
              <w:spacing w:after="0" w:line="252" w:lineRule="auto"/>
              <w:jc w:val="center"/>
            </w:pPr>
            <w:r>
              <w:rPr>
                <w:sz w:val="20"/>
              </w:rPr>
              <w:t>5</w:t>
            </w:r>
          </w:p>
        </w:tc>
        <w:tc>
          <w:tcPr>
            <w:tcW w:type="dxa" w:w="2088"/>
            <w:vAlign w:val="center"/>
            <w:tcMar>
              <w:top w:w="85" w:type="dxa"/>
              <w:bottom w:w="85" w:type="dxa"/>
              <w:left w:w="95" w:type="dxa"/>
              <w:right w:w="95" w:type="dxa"/>
            </w:tcMar>
            <w:shd w:fill="FFFFFF"/>
          </w:tcPr>
          <w:p>
            <w:pPr>
              <w:spacing w:after="0" w:line="252" w:lineRule="auto"/>
              <w:jc w:val="center"/>
            </w:pPr>
            <w:r>
              <w:rPr>
                <w:sz w:val="20"/>
              </w:rPr>
              <w:t>2500 per billing period</w:t>
            </w:r>
          </w:p>
        </w:tc>
        <w:tc>
          <w:tcPr>
            <w:tcW w:type="dxa" w:w="4248"/>
            <w:vAlign w:val="center"/>
            <w:tcMar>
              <w:top w:w="85" w:type="dxa"/>
              <w:bottom w:w="85" w:type="dxa"/>
              <w:left w:w="95" w:type="dxa"/>
              <w:right w:w="95" w:type="dxa"/>
            </w:tcMar>
            <w:shd w:fill="FFFFFF"/>
          </w:tcPr>
          <w:p>
            <w:pPr>
              <w:spacing w:after="0" w:line="252" w:lineRule="auto"/>
            </w:pPr>
            <w:r>
              <w:rPr>
                <w:sz w:val="20"/>
              </w:rPr>
              <w:t>500 documents and 5 GB</w:t>
            </w:r>
          </w:p>
        </w:tc>
      </w:tr>
      <w:tr>
        <w:trPr>
          <w:cantSplit/>
        </w:trPr>
        <w:tc>
          <w:tcPr>
            <w:tcW w:type="dxa" w:w="1152"/>
            <w:vAlign w:val="center"/>
            <w:tcMar>
              <w:top w:w="85" w:type="dxa"/>
              <w:bottom w:w="85" w:type="dxa"/>
              <w:left w:w="95" w:type="dxa"/>
              <w:right w:w="95" w:type="dxa"/>
            </w:tcMar>
            <w:shd w:fill="F2F5F8"/>
          </w:tcPr>
          <w:p>
            <w:pPr>
              <w:spacing w:after="0" w:line="252" w:lineRule="auto"/>
            </w:pPr>
            <w:r>
              <w:rPr>
                <w:sz w:val="20"/>
              </w:rPr>
              <w:t>Business</w:t>
            </w:r>
          </w:p>
        </w:tc>
        <w:tc>
          <w:tcPr>
            <w:tcW w:type="dxa" w:w="1440"/>
            <w:vAlign w:val="center"/>
            <w:tcMar>
              <w:top w:w="85" w:type="dxa"/>
              <w:bottom w:w="85" w:type="dxa"/>
              <w:left w:w="95" w:type="dxa"/>
              <w:right w:w="95" w:type="dxa"/>
            </w:tcMar>
            <w:shd w:fill="F2F5F8"/>
          </w:tcPr>
          <w:p>
            <w:pPr>
              <w:spacing w:after="0" w:line="252" w:lineRule="auto"/>
              <w:jc w:val="center"/>
            </w:pPr>
            <w:r>
              <w:rPr>
                <w:sz w:val="20"/>
              </w:rPr>
              <w:t>Individually quoted</w:t>
            </w:r>
          </w:p>
        </w:tc>
        <w:tc>
          <w:tcPr>
            <w:tcW w:type="dxa" w:w="1152"/>
            <w:vAlign w:val="center"/>
            <w:tcMar>
              <w:top w:w="85" w:type="dxa"/>
              <w:bottom w:w="85" w:type="dxa"/>
              <w:left w:w="95" w:type="dxa"/>
              <w:right w:w="95" w:type="dxa"/>
            </w:tcMar>
            <w:shd w:fill="F2F5F8"/>
          </w:tcPr>
          <w:p>
            <w:pPr>
              <w:spacing w:after="0" w:line="252" w:lineRule="auto"/>
              <w:jc w:val="center"/>
            </w:pPr>
            <w:r>
              <w:rPr>
                <w:sz w:val="20"/>
              </w:rPr>
              <w:t>Agreed</w:t>
            </w:r>
          </w:p>
        </w:tc>
        <w:tc>
          <w:tcPr>
            <w:tcW w:type="dxa" w:w="2088"/>
            <w:vAlign w:val="center"/>
            <w:tcMar>
              <w:top w:w="85" w:type="dxa"/>
              <w:bottom w:w="85" w:type="dxa"/>
              <w:left w:w="95" w:type="dxa"/>
              <w:right w:w="95" w:type="dxa"/>
            </w:tcMar>
            <w:shd w:fill="F2F5F8"/>
          </w:tcPr>
          <w:p>
            <w:pPr>
              <w:spacing w:after="0" w:line="252" w:lineRule="auto"/>
              <w:jc w:val="center"/>
            </w:pPr>
            <w:r>
              <w:rPr>
                <w:sz w:val="20"/>
              </w:rPr>
              <w:t>Agreed</w:t>
            </w:r>
          </w:p>
        </w:tc>
        <w:tc>
          <w:tcPr>
            <w:tcW w:type="dxa" w:w="4248"/>
            <w:vAlign w:val="center"/>
            <w:tcMar>
              <w:top w:w="85" w:type="dxa"/>
              <w:bottom w:w="85" w:type="dxa"/>
              <w:left w:w="95" w:type="dxa"/>
              <w:right w:w="95" w:type="dxa"/>
            </w:tcMar>
            <w:shd w:fill="F2F5F8"/>
          </w:tcPr>
          <w:p>
            <w:pPr>
              <w:spacing w:after="0" w:line="252" w:lineRule="auto"/>
            </w:pPr>
            <w:r>
              <w:rPr>
                <w:sz w:val="20"/>
              </w:rPr>
              <w:t>Agreed</w:t>
            </w:r>
          </w:p>
        </w:tc>
      </w:tr>
    </w:tbl>
    <w:p>
      <w:pPr>
        <w:spacing w:after="60" w:before="0" w:line="48" w:lineRule="auto"/>
      </w:pPr>
      <w:r>
        <w:rPr>
          <w:sz w:val="4"/>
        </w:rPr>
      </w:r>
    </w:p>
    <w:p>
      <w:r>
        <w:t>Seats include the owner. The document limit counts active logical documents; storage includes current files and retained historical versions. Paid allowances reset at the subscription billing-period boundary and do not roll over. Reaching fifty trial answers pauses generation but does not change the fourteen-day expiry date or start the retention window early. Trials require no payment card and never convert automatically into a charge. Multiple accounts must not provide an unrestricted way to repeat trials; use proportionate verification and abuse controls.</w:t>
      </w:r>
    </w:p>
    <w:p>
      <w:r>
        <w:t>A completed answer is one request that produces a stored final response, including an honest insufficient-evidence response. Completion and cancellation compete through an atomic server-side state transition. If cancellation wins, no final answer is published and the answer unit is released; if completion wins, the stored response remains recoverable and consumes one unit. A disconnected browser is not automatically a cancellation. Infrastructure failures without a committed response do not consume an answer unit. A user-requested regeneration counts as a new answer. Technical limits on input length, retrieval context, output length, and concurrency prevent a single answer unit from creating unbounded cost; the help page explains these limits in understandable terms.</w:t>
      </w:r>
    </w:p>
    <w:p>
      <w:pPr>
        <w:pStyle w:val="Heading2"/>
      </w:pPr>
      <w:r>
        <w:t>12.2 Purchase and entitlement state</w:t>
      </w:r>
    </w:p>
    <w:p>
      <w:r>
        <w:t>Stripe Checkout handles initial payment and the Customer Portal supports payment-method updates and cancellation. The server creates checkout sessions using approved plan identifiers and the authorized organization. It must not accept a price, currency, or customer identifier supplied without validation by the browser.</w:t>
      </w:r>
    </w:p>
    <w:p>
      <w:r>
        <w:t>Paid access starts after confirmed payment and a valid subscription state. The checkout return page shows pending confirmation if synchronization is delayed. A browser redirect is not payment evidence. Stripe documents asynchronous subscription activity, duplicate webhook delivery, and events arriving out of order; billing processing must account for those conditions. [3] [4]</w:t>
      </w:r>
    </w:p>
    <w:p>
      <w:r>
        <w:t>Cancellation takes effect at the end of the paid period unless an authorized refund or immediate closure process applies. After ordinary cancellation, thirty days of read and export access begin at the paid period's end. Failed renewals receive a proposed three-day grace period for an existing paid customer. Grace uses one bounded allowance attached to the overdue billing period, no larger than the previous plan. Grace consumption remains deducted if payment recovers; duplicate events cannot grant the allowance again. After grace, new generation and uploads stop, and thirty days of read and export access begin before scheduled content deletion.</w:t>
      </w:r>
    </w:p>
    <w:p>
      <w:r>
        <w:t>Trial expiry also produces thirty days of read and export access. The owner receives advance notices before deletion. A successful subscription during that window restores access to retained content. Accounting records may be retained separately according to the approved retention schedule. An explicit organization-deletion request overrides the product-content grace window.</w:t>
      </w:r>
    </w:p>
    <w:p>
      <w:r>
        <w:t>Upgrades are effective after the additional payment is confirmed and preserve the billing date. The customer sees both the prorated charge and additional answer allowance before agreeing. Prorate the increase in the cycle allowance by the remaining fraction of the billing period, round down to whole answers, and preserve consumed units. For example, upgrading halfway from 500 to 2500 answers adds 1000 answers to the existing remaining allowance; the next period receives 2500. Seats and storage increase immediately. Downgrades apply at the next renewal. If the organization exceeds the lower plan's seats or storage, the owner must resolve the excess before the downgrade can be scheduled; the system must never silently delete files or remove staff to fit a plan.</w:t>
      </w:r>
    </w:p>
    <w:p>
      <w:pPr>
        <w:pStyle w:val="Heading2"/>
      </w:pPr>
      <w:r>
        <w:t>12.3 Usage and cost control</w:t>
      </w:r>
    </w:p>
    <w:p>
      <w:r>
        <w:t>Before generation, the service atomically reserves one answer unit and an internal cost budget. On success it settles the unit; on failure it releases the customer allowance. Provider attempts and actual spend are recorded separately, since an internal retry can cost Stargazer money without justifying a second customer charge. Canceled and failed attempts still count toward internal spending and abuse limits even when the customer answer unit is released.</w:t>
      </w:r>
    </w:p>
    <w:p>
      <w:r>
        <w:t>Notify owners at 80 percent and 100 percent of an allowance. At the hard limit, explain the reset date and available upgrade. P0 must not create surprise usage charges. Limit concurrent generation to two requests for Starter and five for Team, with a bounded queue and visible waiting state.</w:t>
      </w:r>
    </w:p>
    <w:p>
      <w:r>
        <w:t>The target contribution margin is at least 70 percent after attributable service costs. As an arithmetic illustration, HKD 1499 revenue minus HKD 400 of model usage, processing, storage, payments, and variable support leaves HKD 1099, or approximately 73.3 percent. This is a scenario, not a supplier quote. Measure actual costs before confirming packages, and include replacement cost for any cloud credits when assessing sustainability.</w:t>
      </w:r>
    </w:p>
    <w:p>
      <w:bookmarkStart w:id="13" w:name="section_13"/>
      <w:pPr>
        <w:pStyle w:val="Heading1"/>
      </w:pPr>
      <w:r>
        <w:t>13 Administration and support</w:t>
      </w:r>
      <w:bookmarkEnd w:id="13"/>
    </w:p>
    <w:p>
      <w:r>
        <w:t>The platform administration area separates content editing, customer support, billing operations, and system administration. A marketing editor can manage public pages without viewing customer documents. Support can inspect organization status, plan, processing errors, and request identifiers without unrestricted access to private prompts or file contents.</w:t>
      </w:r>
    </w:p>
    <w:p>
      <w:r>
        <w:t>The content model includes pages, product descriptions, solution examples, articles, FAQs, release notes, and approved case studies. Each entry has an owner, locale, slug, status, revision, and publication date. Draft, preview, publish, and rollback are required. Rich content is sanitized, and preview URLs cannot expose private customer resources.</w:t>
      </w:r>
    </w:p>
    <w:p>
      <w:r>
        <w:t>Commercial configuration is more restricted than editorial content. A pricing change must update the versioned plan catalogue, approved payment price, public description, and entitlement rules together. Existing customers retain the agreed price unless a separate, documented migration process applies.</w:t>
      </w:r>
    </w:p>
    <w:p>
      <w:r>
        <w:t>Enquiries appear in a small lead queue with new, assigned, contacted, qualified, closed, and declined states. The owner can see the source page and consent choice. The initial operating target is a response within one business day during published Hong Kong business hours. This is an internal target until staffing supports a customer-facing commitment.</w:t>
      </w:r>
    </w:p>
    <w:p>
      <w:r>
        <w:t>Support requests include a short description, optional attachment, and request identifier. Users must be able to report an answer without automatically attaching an entire private conversation. If diagnostic content is needed, request explicit, limited permission and record the access. Platform administrators require multifactor authentication and an audit trail for sensitive actions.</w:t>
      </w:r>
    </w:p>
    <w:p>
      <w:bookmarkStart w:id="14" w:name="section_14"/>
      <w:pPr>
        <w:pStyle w:val="Heading1"/>
      </w:pPr>
      <w:r>
        <w:t>14 AI behavior and quality assurance</w:t>
      </w:r>
      <w:bookmarkEnd w:id="14"/>
    </w:p>
    <w:p>
      <w:r>
        <w:t>The assistant answers from authorized workspace evidence. Retrieval, generation, and citation rendering are separate responsibilities. The service retrieves eligible chunks, sends bounded context to an approved model, validates returned source identifiers, and renders source references from server-controlled metadata. A citation establishes traceability, but does not by itself prove that the text correctly interprets the source.</w:t>
      </w:r>
    </w:p>
    <w:p>
      <w:r>
        <w:t>Uploaded documents are untrusted input. Instructions inside a document cannot grant permissions, change billing, select another organization's data, or authorize external actions. The initial assistant has no tools for sending messages, executing code, or changing external systems. OWASP identifies direct and indirect prompt injection and notes that retrieval-augmented generation does not fully eliminate the risk. [5]</w:t>
      </w:r>
    </w:p>
    <w:p>
      <w:r>
        <w:t>The model adapter must record model configuration, prompt version, retrieval settings, embedding version, processing time, and usage. Prefer one generation model and one embedding model at launch. Select them through a bilingual benchmark, cost measurement, and review of data-handling terms. Provider fallback requires a previously approved processor and a quality check; it must never quietly change the customer's data-processing arrangement.</w:t>
      </w:r>
    </w:p>
    <w:p>
      <w:r>
        <w:t>Create at least 120 reviewed evaluation cases before beta: 40 English questions, 40 Traditional Chinese questions, 20 mixed-language or numerical cases, and 20 missing-evidence, contradiction, or adversarial cases. Include document replacement, deletion, misleading instructions, ambiguous dates, and attempted cross-organization access. Maintain a separate held-out set to reduce overfitting to examples used during development.</w:t>
      </w:r>
    </w:p>
    <w:p>
      <w:r>
        <w:t>The proposed beta gates are at least 85 percent useful and adequately supported answers, at least 95 percent correct evidence attachment among inspected factual claims, and no unresolved authorization failure in the security suite. Define the review rubric and denominators. Citation identifiers must resolve to actual authorized records in every test. Zero observed disclosure is a release condition, not proof that future failures are impossible.</w:t>
      </w:r>
    </w:p>
    <w:p>
      <w:r>
        <w:t>Rerun the relevant evaluation suite before changing the model, prompt, chunking method, or retrieval ranking. Log user-reported problems without placing sensitive content in general analytics. Introduce a feature flag that can disable new answers while preserving document access, account management, and the public website.</w:t>
      </w:r>
    </w:p>
    <w:p>
      <w:bookmarkStart w:id="15" w:name="section_15"/>
      <w:pPr>
        <w:pStyle w:val="Heading1"/>
      </w:pPr>
      <w:r>
        <w:t>15 Technical architecture</w:t>
      </w:r>
      <w:bookmarkEnd w:id="15"/>
    </w:p>
    <w:p>
      <w:r>
        <w:t>Use a modular application with a separate background worker. The public site, account flows, workspace interface, and server endpoints share a TypeScript codebase and design system. Background processing handles document parsing, embeddings, deletion, email delivery, billing events, and reconciliation outside interactive request timeouts.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240"/>
        <w:gridCol w:w="5328"/>
      </w:tblGrid>
      <w:tr>
        <w:trPr>
          <w:cantSplit/>
          <w:tblHeader/>
        </w:trPr>
        <w:tc>
          <w:tcPr>
            <w:tcW w:type="dxa" w:w="1512"/>
            <w:vAlign w:val="center"/>
            <w:tcMar>
              <w:top w:w="85" w:type="dxa"/>
              <w:bottom w:w="85" w:type="dxa"/>
              <w:left w:w="95" w:type="dxa"/>
              <w:right w:w="95" w:type="dxa"/>
            </w:tcMar>
            <w:shd w:fill="203D59"/>
          </w:tcPr>
          <w:p>
            <w:pPr>
              <w:spacing w:after="0" w:line="252" w:lineRule="auto"/>
            </w:pPr>
            <w:r>
              <w:rPr>
                <w:b/>
                <w:color w:val="FFFFFF"/>
                <w:sz w:val="20"/>
              </w:rPr>
              <w:t>Layer</w:t>
            </w:r>
          </w:p>
        </w:tc>
        <w:tc>
          <w:tcPr>
            <w:tcW w:type="dxa" w:w="3240"/>
            <w:vAlign w:val="center"/>
            <w:tcMar>
              <w:top w:w="85" w:type="dxa"/>
              <w:bottom w:w="85" w:type="dxa"/>
              <w:left w:w="95" w:type="dxa"/>
              <w:right w:w="95" w:type="dxa"/>
            </w:tcMar>
            <w:shd w:fill="203D59"/>
          </w:tcPr>
          <w:p>
            <w:pPr>
              <w:spacing w:after="0" w:line="252" w:lineRule="auto"/>
            </w:pPr>
            <w:r>
              <w:rPr>
                <w:b/>
                <w:color w:val="FFFFFF"/>
                <w:sz w:val="20"/>
              </w:rPr>
              <w:t>Proposed implementation</w:t>
            </w:r>
          </w:p>
        </w:tc>
        <w:tc>
          <w:tcPr>
            <w:tcW w:type="dxa" w:w="5328"/>
            <w:vAlign w:val="center"/>
            <w:tcMar>
              <w:top w:w="85" w:type="dxa"/>
              <w:bottom w:w="85" w:type="dxa"/>
              <w:left w:w="95" w:type="dxa"/>
              <w:right w:w="95" w:type="dxa"/>
            </w:tcMar>
            <w:shd w:fill="203D59"/>
          </w:tcPr>
          <w:p>
            <w:pPr>
              <w:spacing w:after="0" w:line="252" w:lineRule="auto"/>
            </w:pPr>
            <w:r>
              <w:rPr>
                <w:b/>
                <w:color w:val="FFFFFF"/>
                <w:sz w:val="20"/>
              </w:rPr>
              <w:t>Responsibility</w:t>
            </w:r>
          </w:p>
        </w:tc>
      </w:tr>
      <w:tr>
        <w:trPr>
          <w:cantSplit/>
        </w:trPr>
        <w:tc>
          <w:tcPr>
            <w:tcW w:type="dxa" w:w="1512"/>
            <w:vAlign w:val="center"/>
            <w:tcMar>
              <w:top w:w="85" w:type="dxa"/>
              <w:bottom w:w="85" w:type="dxa"/>
              <w:left w:w="95" w:type="dxa"/>
              <w:right w:w="95" w:type="dxa"/>
            </w:tcMar>
            <w:shd w:fill="FFFFFF"/>
          </w:tcPr>
          <w:p>
            <w:pPr>
              <w:spacing w:after="0" w:line="252" w:lineRule="auto"/>
            </w:pPr>
            <w:r>
              <w:rPr>
                <w:sz w:val="20"/>
              </w:rPr>
              <w:t>Website and application</w:t>
            </w:r>
          </w:p>
        </w:tc>
        <w:tc>
          <w:tcPr>
            <w:tcW w:type="dxa" w:w="3240"/>
            <w:vAlign w:val="center"/>
            <w:tcMar>
              <w:top w:w="85" w:type="dxa"/>
              <w:bottom w:w="85" w:type="dxa"/>
              <w:left w:w="95" w:type="dxa"/>
              <w:right w:w="95" w:type="dxa"/>
            </w:tcMar>
            <w:shd w:fill="FFFFFF"/>
          </w:tcPr>
          <w:p>
            <w:pPr>
              <w:spacing w:after="0" w:line="252" w:lineRule="auto"/>
            </w:pPr>
            <w:r>
              <w:rPr>
                <w:sz w:val="20"/>
              </w:rPr>
              <w:t>Next.js with TypeScript</w:t>
            </w:r>
          </w:p>
        </w:tc>
        <w:tc>
          <w:tcPr>
            <w:tcW w:type="dxa" w:w="5328"/>
            <w:vAlign w:val="center"/>
            <w:tcMar>
              <w:top w:w="85" w:type="dxa"/>
              <w:bottom w:w="85" w:type="dxa"/>
              <w:left w:w="95" w:type="dxa"/>
              <w:right w:w="95" w:type="dxa"/>
            </w:tcMar>
            <w:shd w:fill="FFFFFF"/>
          </w:tcPr>
          <w:p>
            <w:pPr>
              <w:spacing w:after="0" w:line="252" w:lineRule="auto"/>
            </w:pPr>
            <w:r>
              <w:rPr>
                <w:sz w:val="20"/>
              </w:rPr>
              <w:t>Public rendering, localized routes, workspace interface, server endpoints</w:t>
            </w:r>
          </w:p>
        </w:tc>
      </w:tr>
      <w:tr>
        <w:trPr>
          <w:cantSplit/>
        </w:trPr>
        <w:tc>
          <w:tcPr>
            <w:tcW w:type="dxa" w:w="1512"/>
            <w:vAlign w:val="center"/>
            <w:tcMar>
              <w:top w:w="85" w:type="dxa"/>
              <w:bottom w:w="85" w:type="dxa"/>
              <w:left w:w="95" w:type="dxa"/>
              <w:right w:w="95" w:type="dxa"/>
            </w:tcMar>
            <w:shd w:fill="F2F5F8"/>
          </w:tcPr>
          <w:p>
            <w:pPr>
              <w:spacing w:after="0" w:line="252" w:lineRule="auto"/>
            </w:pPr>
            <w:r>
              <w:rPr>
                <w:sz w:val="20"/>
              </w:rPr>
              <w:t>Styling and components</w:t>
            </w:r>
          </w:p>
        </w:tc>
        <w:tc>
          <w:tcPr>
            <w:tcW w:type="dxa" w:w="3240"/>
            <w:vAlign w:val="center"/>
            <w:tcMar>
              <w:top w:w="85" w:type="dxa"/>
              <w:bottom w:w="85" w:type="dxa"/>
              <w:left w:w="95" w:type="dxa"/>
              <w:right w:w="95" w:type="dxa"/>
            </w:tcMar>
            <w:shd w:fill="F2F5F8"/>
          </w:tcPr>
          <w:p>
            <w:pPr>
              <w:spacing w:after="0" w:line="252" w:lineRule="auto"/>
            </w:pPr>
            <w:r>
              <w:rPr>
                <w:sz w:val="20"/>
              </w:rPr>
              <w:t>Tailwind CSS with accessible React components</w:t>
            </w:r>
          </w:p>
        </w:tc>
        <w:tc>
          <w:tcPr>
            <w:tcW w:type="dxa" w:w="5328"/>
            <w:vAlign w:val="center"/>
            <w:tcMar>
              <w:top w:w="85" w:type="dxa"/>
              <w:bottom w:w="85" w:type="dxa"/>
              <w:left w:w="95" w:type="dxa"/>
              <w:right w:w="95" w:type="dxa"/>
            </w:tcMar>
            <w:shd w:fill="F2F5F8"/>
          </w:tcPr>
          <w:p>
            <w:pPr>
              <w:spacing w:after="0" w:line="252" w:lineRule="auto"/>
            </w:pPr>
            <w:r>
              <w:rPr>
                <w:sz w:val="20"/>
              </w:rPr>
              <w:t>Shared interface tokens and behavior</w:t>
            </w:r>
          </w:p>
        </w:tc>
      </w:tr>
      <w:tr>
        <w:trPr>
          <w:cantSplit/>
        </w:trPr>
        <w:tc>
          <w:tcPr>
            <w:tcW w:type="dxa" w:w="1512"/>
            <w:vAlign w:val="center"/>
            <w:tcMar>
              <w:top w:w="85" w:type="dxa"/>
              <w:bottom w:w="85" w:type="dxa"/>
              <w:left w:w="95" w:type="dxa"/>
              <w:right w:w="95" w:type="dxa"/>
            </w:tcMar>
            <w:shd w:fill="FFFFFF"/>
          </w:tcPr>
          <w:p>
            <w:pPr>
              <w:spacing w:after="0" w:line="252" w:lineRule="auto"/>
            </w:pPr>
            <w:r>
              <w:rPr>
                <w:sz w:val="20"/>
              </w:rPr>
              <w:t>Identity</w:t>
            </w:r>
          </w:p>
        </w:tc>
        <w:tc>
          <w:tcPr>
            <w:tcW w:type="dxa" w:w="3240"/>
            <w:vAlign w:val="center"/>
            <w:tcMar>
              <w:top w:w="85" w:type="dxa"/>
              <w:bottom w:w="85" w:type="dxa"/>
              <w:left w:w="95" w:type="dxa"/>
              <w:right w:w="95" w:type="dxa"/>
            </w:tcMar>
            <w:shd w:fill="FFFFFF"/>
          </w:tcPr>
          <w:p>
            <w:pPr>
              <w:spacing w:after="0" w:line="252" w:lineRule="auto"/>
            </w:pPr>
            <w:r>
              <w:rPr>
                <w:sz w:val="20"/>
              </w:rPr>
              <w:t>Supabase Auth</w:t>
            </w:r>
          </w:p>
        </w:tc>
        <w:tc>
          <w:tcPr>
            <w:tcW w:type="dxa" w:w="5328"/>
            <w:vAlign w:val="center"/>
            <w:tcMar>
              <w:top w:w="85" w:type="dxa"/>
              <w:bottom w:w="85" w:type="dxa"/>
              <w:left w:w="95" w:type="dxa"/>
              <w:right w:w="95" w:type="dxa"/>
            </w:tcMar>
            <w:shd w:fill="FFFFFF"/>
          </w:tcPr>
          <w:p>
            <w:pPr>
              <w:spacing w:after="0" w:line="252" w:lineRule="auto"/>
            </w:pPr>
            <w:r>
              <w:rPr>
                <w:sz w:val="20"/>
              </w:rPr>
              <w:t>Verified accounts, sessions, recovery, privileged-user MFA</w:t>
            </w:r>
          </w:p>
        </w:tc>
      </w:tr>
      <w:tr>
        <w:trPr>
          <w:cantSplit/>
        </w:trPr>
        <w:tc>
          <w:tcPr>
            <w:tcW w:type="dxa" w:w="1512"/>
            <w:vAlign w:val="center"/>
            <w:tcMar>
              <w:top w:w="85" w:type="dxa"/>
              <w:bottom w:w="85" w:type="dxa"/>
              <w:left w:w="95" w:type="dxa"/>
              <w:right w:w="95" w:type="dxa"/>
            </w:tcMar>
            <w:shd w:fill="F2F5F8"/>
          </w:tcPr>
          <w:p>
            <w:pPr>
              <w:spacing w:after="0" w:line="252" w:lineRule="auto"/>
            </w:pPr>
            <w:r>
              <w:rPr>
                <w:sz w:val="20"/>
              </w:rPr>
              <w:t>Data and retrieval</w:t>
            </w:r>
          </w:p>
        </w:tc>
        <w:tc>
          <w:tcPr>
            <w:tcW w:type="dxa" w:w="3240"/>
            <w:vAlign w:val="center"/>
            <w:tcMar>
              <w:top w:w="85" w:type="dxa"/>
              <w:bottom w:w="85" w:type="dxa"/>
              <w:left w:w="95" w:type="dxa"/>
              <w:right w:w="95" w:type="dxa"/>
            </w:tcMar>
            <w:shd w:fill="F2F5F8"/>
          </w:tcPr>
          <w:p>
            <w:pPr>
              <w:spacing w:after="0" w:line="252" w:lineRule="auto"/>
            </w:pPr>
            <w:r>
              <w:rPr>
                <w:sz w:val="20"/>
              </w:rPr>
              <w:t>Supabase Postgres with pgvector</w:t>
            </w:r>
          </w:p>
        </w:tc>
        <w:tc>
          <w:tcPr>
            <w:tcW w:type="dxa" w:w="5328"/>
            <w:vAlign w:val="center"/>
            <w:tcMar>
              <w:top w:w="85" w:type="dxa"/>
              <w:bottom w:w="85" w:type="dxa"/>
              <w:left w:w="95" w:type="dxa"/>
              <w:right w:w="95" w:type="dxa"/>
            </w:tcMar>
            <w:shd w:fill="F2F5F8"/>
          </w:tcPr>
          <w:p>
            <w:pPr>
              <w:spacing w:after="0" w:line="252" w:lineRule="auto"/>
            </w:pPr>
            <w:r>
              <w:rPr>
                <w:sz w:val="20"/>
              </w:rPr>
              <w:t>Organizations, content metadata, vector search, quotas, billing state</w:t>
            </w:r>
          </w:p>
        </w:tc>
      </w:tr>
      <w:tr>
        <w:trPr>
          <w:cantSplit/>
        </w:trPr>
        <w:tc>
          <w:tcPr>
            <w:tcW w:type="dxa" w:w="1512"/>
            <w:vAlign w:val="center"/>
            <w:tcMar>
              <w:top w:w="85" w:type="dxa"/>
              <w:bottom w:w="85" w:type="dxa"/>
              <w:left w:w="95" w:type="dxa"/>
              <w:right w:w="95" w:type="dxa"/>
            </w:tcMar>
            <w:shd w:fill="FFFFFF"/>
          </w:tcPr>
          <w:p>
            <w:pPr>
              <w:spacing w:after="0" w:line="252" w:lineRule="auto"/>
            </w:pPr>
            <w:r>
              <w:rPr>
                <w:sz w:val="20"/>
              </w:rPr>
              <w:t>Document storage</w:t>
            </w:r>
          </w:p>
        </w:tc>
        <w:tc>
          <w:tcPr>
            <w:tcW w:type="dxa" w:w="3240"/>
            <w:vAlign w:val="center"/>
            <w:tcMar>
              <w:top w:w="85" w:type="dxa"/>
              <w:bottom w:w="85" w:type="dxa"/>
              <w:left w:w="95" w:type="dxa"/>
              <w:right w:w="95" w:type="dxa"/>
            </w:tcMar>
            <w:shd w:fill="FFFFFF"/>
          </w:tcPr>
          <w:p>
            <w:pPr>
              <w:spacing w:after="0" w:line="252" w:lineRule="auto"/>
            </w:pPr>
            <w:r>
              <w:rPr>
                <w:sz w:val="20"/>
              </w:rPr>
              <w:t>Private Supabase Storage</w:t>
            </w:r>
          </w:p>
        </w:tc>
        <w:tc>
          <w:tcPr>
            <w:tcW w:type="dxa" w:w="5328"/>
            <w:vAlign w:val="center"/>
            <w:tcMar>
              <w:top w:w="85" w:type="dxa"/>
              <w:bottom w:w="85" w:type="dxa"/>
              <w:left w:w="95" w:type="dxa"/>
              <w:right w:w="95" w:type="dxa"/>
            </w:tcMar>
            <w:shd w:fill="FFFFFF"/>
          </w:tcPr>
          <w:p>
            <w:pPr>
              <w:spacing w:after="0" w:line="252" w:lineRule="auto"/>
            </w:pPr>
            <w:r>
              <w:rPr>
                <w:sz w:val="20"/>
              </w:rPr>
              <w:t>Quarantined uploads and authorized file access</w:t>
            </w:r>
          </w:p>
        </w:tc>
      </w:tr>
      <w:tr>
        <w:trPr>
          <w:cantSplit/>
        </w:trPr>
        <w:tc>
          <w:tcPr>
            <w:tcW w:type="dxa" w:w="1512"/>
            <w:vAlign w:val="center"/>
            <w:tcMar>
              <w:top w:w="85" w:type="dxa"/>
              <w:bottom w:w="85" w:type="dxa"/>
              <w:left w:w="95" w:type="dxa"/>
              <w:right w:w="95" w:type="dxa"/>
            </w:tcMar>
            <w:shd w:fill="F2F5F8"/>
          </w:tcPr>
          <w:p>
            <w:pPr>
              <w:spacing w:after="0" w:line="252" w:lineRule="auto"/>
            </w:pPr>
            <w:r>
              <w:rPr>
                <w:sz w:val="20"/>
              </w:rPr>
              <w:t>Billing</w:t>
            </w:r>
          </w:p>
        </w:tc>
        <w:tc>
          <w:tcPr>
            <w:tcW w:type="dxa" w:w="3240"/>
            <w:vAlign w:val="center"/>
            <w:tcMar>
              <w:top w:w="85" w:type="dxa"/>
              <w:bottom w:w="85" w:type="dxa"/>
              <w:left w:w="95" w:type="dxa"/>
              <w:right w:w="95" w:type="dxa"/>
            </w:tcMar>
            <w:shd w:fill="F2F5F8"/>
          </w:tcPr>
          <w:p>
            <w:pPr>
              <w:spacing w:after="0" w:line="252" w:lineRule="auto"/>
            </w:pPr>
            <w:r>
              <w:rPr>
                <w:sz w:val="20"/>
              </w:rPr>
              <w:t>Stripe Checkout, Billing, and Customer Portal</w:t>
            </w:r>
          </w:p>
        </w:tc>
        <w:tc>
          <w:tcPr>
            <w:tcW w:type="dxa" w:w="5328"/>
            <w:vAlign w:val="center"/>
            <w:tcMar>
              <w:top w:w="85" w:type="dxa"/>
              <w:bottom w:w="85" w:type="dxa"/>
              <w:left w:w="95" w:type="dxa"/>
              <w:right w:w="95" w:type="dxa"/>
            </w:tcMar>
            <w:shd w:fill="F2F5F8"/>
          </w:tcPr>
          <w:p>
            <w:pPr>
              <w:spacing w:after="0" w:line="252" w:lineRule="auto"/>
            </w:pPr>
            <w:r>
              <w:rPr>
                <w:sz w:val="20"/>
              </w:rPr>
              <w:t>Payments and subscription lifecycle</w:t>
            </w:r>
          </w:p>
        </w:tc>
      </w:tr>
      <w:tr>
        <w:trPr>
          <w:cantSplit/>
        </w:trPr>
        <w:tc>
          <w:tcPr>
            <w:tcW w:type="dxa" w:w="1512"/>
            <w:vAlign w:val="center"/>
            <w:tcMar>
              <w:top w:w="85" w:type="dxa"/>
              <w:bottom w:w="85" w:type="dxa"/>
              <w:left w:w="95" w:type="dxa"/>
              <w:right w:w="95" w:type="dxa"/>
            </w:tcMar>
            <w:shd w:fill="FFFFFF"/>
          </w:tcPr>
          <w:p>
            <w:pPr>
              <w:spacing w:after="0" w:line="252" w:lineRule="auto"/>
            </w:pPr>
            <w:r>
              <w:rPr>
                <w:sz w:val="20"/>
              </w:rPr>
              <w:t>Background processing</w:t>
            </w:r>
          </w:p>
        </w:tc>
        <w:tc>
          <w:tcPr>
            <w:tcW w:type="dxa" w:w="3240"/>
            <w:vAlign w:val="center"/>
            <w:tcMar>
              <w:top w:w="85" w:type="dxa"/>
              <w:bottom w:w="85" w:type="dxa"/>
              <w:left w:w="95" w:type="dxa"/>
              <w:right w:w="95" w:type="dxa"/>
            </w:tcMar>
            <w:shd w:fill="FFFFFF"/>
          </w:tcPr>
          <w:p>
            <w:pPr>
              <w:spacing w:after="0" w:line="252" w:lineRule="auto"/>
            </w:pPr>
            <w:r>
              <w:rPr>
                <w:sz w:val="20"/>
              </w:rPr>
              <w:t>Durable Postgres queue and container worker</w:t>
            </w:r>
          </w:p>
        </w:tc>
        <w:tc>
          <w:tcPr>
            <w:tcW w:type="dxa" w:w="5328"/>
            <w:vAlign w:val="center"/>
            <w:tcMar>
              <w:top w:w="85" w:type="dxa"/>
              <w:bottom w:w="85" w:type="dxa"/>
              <w:left w:w="95" w:type="dxa"/>
              <w:right w:w="95" w:type="dxa"/>
            </w:tcMar>
            <w:shd w:fill="FFFFFF"/>
          </w:tcPr>
          <w:p>
            <w:pPr>
              <w:spacing w:after="0" w:line="252" w:lineRule="auto"/>
            </w:pPr>
            <w:r>
              <w:rPr>
                <w:sz w:val="20"/>
              </w:rPr>
              <w:t>Retriable jobs with leases and idempotent effects</w:t>
            </w:r>
          </w:p>
        </w:tc>
      </w:tr>
      <w:tr>
        <w:trPr>
          <w:cantSplit/>
        </w:trPr>
        <w:tc>
          <w:tcPr>
            <w:tcW w:type="dxa" w:w="1512"/>
            <w:vAlign w:val="center"/>
            <w:tcMar>
              <w:top w:w="85" w:type="dxa"/>
              <w:bottom w:w="85" w:type="dxa"/>
              <w:left w:w="95" w:type="dxa"/>
              <w:right w:w="95" w:type="dxa"/>
            </w:tcMar>
            <w:shd w:fill="F2F5F8"/>
          </w:tcPr>
          <w:p>
            <w:pPr>
              <w:spacing w:after="0" w:line="252" w:lineRule="auto"/>
            </w:pPr>
            <w:r>
              <w:rPr>
                <w:sz w:val="20"/>
              </w:rPr>
              <w:t>AI integration</w:t>
            </w:r>
          </w:p>
        </w:tc>
        <w:tc>
          <w:tcPr>
            <w:tcW w:type="dxa" w:w="3240"/>
            <w:vAlign w:val="center"/>
            <w:tcMar>
              <w:top w:w="85" w:type="dxa"/>
              <w:bottom w:w="85" w:type="dxa"/>
              <w:left w:w="95" w:type="dxa"/>
              <w:right w:w="95" w:type="dxa"/>
            </w:tcMar>
            <w:shd w:fill="F2F5F8"/>
          </w:tcPr>
          <w:p>
            <w:pPr>
              <w:spacing w:after="0" w:line="252" w:lineRule="auto"/>
            </w:pPr>
            <w:r>
              <w:rPr>
                <w:sz w:val="20"/>
              </w:rPr>
              <w:t>Server-side provider adapter</w:t>
            </w:r>
          </w:p>
        </w:tc>
        <w:tc>
          <w:tcPr>
            <w:tcW w:type="dxa" w:w="5328"/>
            <w:vAlign w:val="center"/>
            <w:tcMar>
              <w:top w:w="85" w:type="dxa"/>
              <w:bottom w:w="85" w:type="dxa"/>
              <w:left w:w="95" w:type="dxa"/>
              <w:right w:w="95" w:type="dxa"/>
            </w:tcMar>
            <w:shd w:fill="F2F5F8"/>
          </w:tcPr>
          <w:p>
            <w:pPr>
              <w:spacing w:after="0" w:line="252" w:lineRule="auto"/>
            </w:pPr>
            <w:r>
              <w:rPr>
                <w:sz w:val="20"/>
              </w:rPr>
              <w:t>Bounded model calls, versioning, costs, and approved fallback</w:t>
            </w:r>
          </w:p>
        </w:tc>
      </w:tr>
      <w:tr>
        <w:trPr>
          <w:cantSplit/>
        </w:trPr>
        <w:tc>
          <w:tcPr>
            <w:tcW w:type="dxa" w:w="1512"/>
            <w:vAlign w:val="center"/>
            <w:tcMar>
              <w:top w:w="85" w:type="dxa"/>
              <w:bottom w:w="85" w:type="dxa"/>
              <w:left w:w="95" w:type="dxa"/>
              <w:right w:w="95" w:type="dxa"/>
            </w:tcMar>
            <w:shd w:fill="FFFFFF"/>
          </w:tcPr>
          <w:p>
            <w:pPr>
              <w:spacing w:after="0" w:line="252" w:lineRule="auto"/>
            </w:pPr>
            <w:r>
              <w:rPr>
                <w:sz w:val="20"/>
              </w:rPr>
              <w:t>Operations</w:t>
            </w:r>
          </w:p>
        </w:tc>
        <w:tc>
          <w:tcPr>
            <w:tcW w:type="dxa" w:w="3240"/>
            <w:vAlign w:val="center"/>
            <w:tcMar>
              <w:top w:w="85" w:type="dxa"/>
              <w:bottom w:w="85" w:type="dxa"/>
              <w:left w:w="95" w:type="dxa"/>
              <w:right w:w="95" w:type="dxa"/>
            </w:tcMar>
            <w:shd w:fill="FFFFFF"/>
          </w:tcPr>
          <w:p>
            <w:pPr>
              <w:spacing w:after="0" w:line="252" w:lineRule="auto"/>
            </w:pPr>
            <w:r>
              <w:rPr>
                <w:sz w:val="20"/>
              </w:rPr>
              <w:t>Structured logs, error tracking, and external monitoring</w:t>
            </w:r>
          </w:p>
        </w:tc>
        <w:tc>
          <w:tcPr>
            <w:tcW w:type="dxa" w:w="5328"/>
            <w:vAlign w:val="center"/>
            <w:tcMar>
              <w:top w:w="85" w:type="dxa"/>
              <w:bottom w:w="85" w:type="dxa"/>
              <w:left w:w="95" w:type="dxa"/>
              <w:right w:w="95" w:type="dxa"/>
            </w:tcMar>
            <w:shd w:fill="FFFFFF"/>
          </w:tcPr>
          <w:p>
            <w:pPr>
              <w:spacing w:after="0" w:line="252" w:lineRule="auto"/>
            </w:pPr>
            <w:r>
              <w:rPr>
                <w:sz w:val="20"/>
              </w:rPr>
              <w:t>Diagnostics, alerts, and service measurement</w:t>
            </w:r>
          </w:p>
        </w:tc>
      </w:tr>
    </w:tbl>
    <w:p>
      <w:pPr>
        <w:spacing w:after="60" w:before="0" w:line="48" w:lineRule="auto"/>
      </w:pPr>
      <w:r>
        <w:rPr>
          <w:sz w:val="4"/>
        </w:rPr>
      </w:r>
    </w:p>
    <w:p>
      <w:r>
        <w:t>Supabase Auth is the sole identity authority for P0. Adding a second authentication platform would create unnecessary account and authorization synchronization. Select compatible, supported package versions when implementation begins and record them in the lockfile; this PRD does not require a particular moving framework version.</w:t>
      </w:r>
    </w:p>
    <w:p>
      <w:r>
        <w:t>A centralized data-access layer checks identity, membership, role, and entitlements. Every mutation and protected read must apply these checks. Next.js explicitly advises authorization within Server Actions and Route Handlers; restricting only a layout or visible controls is insufficient. [1]</w:t>
      </w:r>
    </w:p>
    <w:p>
      <w:r>
        <w:t>All customer tables carry an organization identifier. Database row-level policies and storage access policies enforce tenant boundaries. Supabase documents row-level security and the privileged credentials that can bypass it, so worker and administrator paths need explicit tenant assertions as well. [2]</w:t>
      </w:r>
    </w:p>
    <w:p>
      <w:r>
        <w:t>Public pages can use shared caching. Authenticated content must never enter a shared public cache. Any retrieval cache includes organization, current membership authorization, document version, query, and model configuration. A cache keyed only by the question is prohibited.</w:t>
      </w:r>
    </w:p>
    <w:p>
      <w:r>
        <w:t>Deploy development, staging, and production separately. Production customer files must not be copied into preview environments. Keep model credentials, payment secrets, and privileged database keys on the server. Use one primary deployment region chosen after latency, processor, and data-location review. A small existing VPS may support a worker or staging workload after measurement; it is not sufficient evidence that the complete production workload fits.</w:t>
      </w:r>
    </w:p>
    <w:p>
      <w:bookmarkStart w:id="16" w:name="section_16"/>
      <w:pPr>
        <w:pStyle w:val="Heading1"/>
      </w:pPr>
      <w:r>
        <w:t>16 Data model and API contracts</w:t>
      </w:r>
      <w:bookmarkEnd w:id="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tcMar>
              <w:top w:w="85" w:type="dxa"/>
              <w:bottom w:w="85" w:type="dxa"/>
              <w:left w:w="95" w:type="dxa"/>
              <w:right w:w="95" w:type="dxa"/>
            </w:tcMar>
            <w:shd w:fill="203D59"/>
          </w:tcPr>
          <w:p>
            <w:pPr>
              <w:spacing w:after="0" w:line="252" w:lineRule="auto"/>
            </w:pPr>
            <w:r>
              <w:rPr>
                <w:b/>
                <w:color w:val="FFFFFF"/>
                <w:sz w:val="20"/>
              </w:rPr>
              <w:t>Entity</w:t>
            </w:r>
          </w:p>
        </w:tc>
        <w:tc>
          <w:tcPr>
            <w:tcW w:type="dxa" w:w="6984"/>
            <w:vAlign w:val="center"/>
            <w:tcMar>
              <w:top w:w="85" w:type="dxa"/>
              <w:bottom w:w="85" w:type="dxa"/>
              <w:left w:w="95" w:type="dxa"/>
              <w:right w:w="95" w:type="dxa"/>
            </w:tcMar>
            <w:shd w:fill="203D59"/>
          </w:tcPr>
          <w:p>
            <w:pPr>
              <w:spacing w:after="0" w:line="252" w:lineRule="auto"/>
            </w:pPr>
            <w:r>
              <w:rPr>
                <w:b/>
                <w:color w:val="FFFFFF"/>
                <w:sz w:val="20"/>
              </w:rPr>
              <w:t>Required relationship or invariant</w:t>
            </w:r>
          </w:p>
        </w:tc>
      </w:tr>
      <w:tr>
        <w:trPr>
          <w:cantSplit/>
        </w:trPr>
        <w:tc>
          <w:tcPr>
            <w:tcW w:type="dxa" w:w="3096"/>
            <w:vAlign w:val="center"/>
            <w:tcMar>
              <w:top w:w="85" w:type="dxa"/>
              <w:bottom w:w="85" w:type="dxa"/>
              <w:left w:w="95" w:type="dxa"/>
              <w:right w:w="95" w:type="dxa"/>
            </w:tcMar>
            <w:shd w:fill="FFFFFF"/>
          </w:tcPr>
          <w:p>
            <w:pPr>
              <w:spacing w:after="0" w:line="252" w:lineRule="auto"/>
            </w:pPr>
            <w:r>
              <w:rPr>
                <w:sz w:val="20"/>
              </w:rPr>
              <w:t>Profiles and organizations</w:t>
            </w:r>
          </w:p>
        </w:tc>
        <w:tc>
          <w:tcPr>
            <w:tcW w:type="dxa" w:w="6984"/>
            <w:vAlign w:val="center"/>
            <w:tcMar>
              <w:top w:w="85" w:type="dxa"/>
              <w:bottom w:w="85" w:type="dxa"/>
              <w:left w:w="95" w:type="dxa"/>
              <w:right w:w="95" w:type="dxa"/>
            </w:tcMar>
            <w:shd w:fill="FFFFFF"/>
          </w:tcPr>
          <w:p>
            <w:pPr>
              <w:spacing w:after="0" w:line="252" w:lineRule="auto"/>
            </w:pPr>
            <w:r>
              <w:rPr>
                <w:sz w:val="20"/>
              </w:rPr>
              <w:t>User identity is separate from organization membership and subscription</w:t>
            </w:r>
          </w:p>
        </w:tc>
      </w:tr>
      <w:tr>
        <w:trPr>
          <w:cantSplit/>
        </w:trPr>
        <w:tc>
          <w:tcPr>
            <w:tcW w:type="dxa" w:w="3096"/>
            <w:vAlign w:val="center"/>
            <w:tcMar>
              <w:top w:w="85" w:type="dxa"/>
              <w:bottom w:w="85" w:type="dxa"/>
              <w:left w:w="95" w:type="dxa"/>
              <w:right w:w="95" w:type="dxa"/>
            </w:tcMar>
            <w:shd w:fill="F2F5F8"/>
          </w:tcPr>
          <w:p>
            <w:pPr>
              <w:spacing w:after="0" w:line="252" w:lineRule="auto"/>
            </w:pPr>
            <w:r>
              <w:rPr>
                <w:sz w:val="20"/>
              </w:rPr>
              <w:t>Memberships and invitations</w:t>
            </w:r>
          </w:p>
        </w:tc>
        <w:tc>
          <w:tcPr>
            <w:tcW w:type="dxa" w:w="6984"/>
            <w:vAlign w:val="center"/>
            <w:tcMar>
              <w:top w:w="85" w:type="dxa"/>
              <w:bottom w:w="85" w:type="dxa"/>
              <w:left w:w="95" w:type="dxa"/>
              <w:right w:w="95" w:type="dxa"/>
            </w:tcMar>
            <w:shd w:fill="F2F5F8"/>
          </w:tcPr>
          <w:p>
            <w:pPr>
              <w:spacing w:after="0" w:line="252" w:lineRule="auto"/>
            </w:pPr>
            <w:r>
              <w:rPr>
                <w:sz w:val="20"/>
              </w:rPr>
              <w:t>Unique active membership; single-use email-bound invitation; valid seat capacity</w:t>
            </w:r>
          </w:p>
        </w:tc>
      </w:tr>
      <w:tr>
        <w:trPr>
          <w:cantSplit/>
        </w:trPr>
        <w:tc>
          <w:tcPr>
            <w:tcW w:type="dxa" w:w="3096"/>
            <w:vAlign w:val="center"/>
            <w:tcMar>
              <w:top w:w="85" w:type="dxa"/>
              <w:bottom w:w="85" w:type="dxa"/>
              <w:left w:w="95" w:type="dxa"/>
              <w:right w:w="95" w:type="dxa"/>
            </w:tcMar>
            <w:shd w:fill="FFFFFF"/>
          </w:tcPr>
          <w:p>
            <w:pPr>
              <w:spacing w:after="0" w:line="252" w:lineRule="auto"/>
            </w:pPr>
            <w:r>
              <w:rPr>
                <w:sz w:val="20"/>
              </w:rPr>
              <w:t>Documents and document versions</w:t>
            </w:r>
          </w:p>
        </w:tc>
        <w:tc>
          <w:tcPr>
            <w:tcW w:type="dxa" w:w="6984"/>
            <w:vAlign w:val="center"/>
            <w:tcMar>
              <w:top w:w="85" w:type="dxa"/>
              <w:bottom w:w="85" w:type="dxa"/>
              <w:left w:w="95" w:type="dxa"/>
              <w:right w:w="95" w:type="dxa"/>
            </w:tcMar>
            <w:shd w:fill="FFFFFF"/>
          </w:tcPr>
          <w:p>
            <w:pPr>
              <w:spacing w:after="0" w:line="252" w:lineRule="auto"/>
            </w:pPr>
            <w:r>
              <w:rPr>
                <w:sz w:val="20"/>
              </w:rPr>
              <w:t>Organization, checksum, source metadata, state, and active version</w:t>
            </w:r>
          </w:p>
        </w:tc>
      </w:tr>
      <w:tr>
        <w:trPr>
          <w:cantSplit/>
        </w:trPr>
        <w:tc>
          <w:tcPr>
            <w:tcW w:type="dxa" w:w="3096"/>
            <w:vAlign w:val="center"/>
            <w:tcMar>
              <w:top w:w="85" w:type="dxa"/>
              <w:bottom w:w="85" w:type="dxa"/>
              <w:left w:w="95" w:type="dxa"/>
              <w:right w:w="95" w:type="dxa"/>
            </w:tcMar>
            <w:shd w:fill="F2F5F8"/>
          </w:tcPr>
          <w:p>
            <w:pPr>
              <w:spacing w:after="0" w:line="252" w:lineRule="auto"/>
            </w:pPr>
            <w:r>
              <w:rPr>
                <w:sz w:val="20"/>
              </w:rPr>
              <w:t>Chunks and embeddings</w:t>
            </w:r>
          </w:p>
        </w:tc>
        <w:tc>
          <w:tcPr>
            <w:tcW w:type="dxa" w:w="6984"/>
            <w:vAlign w:val="center"/>
            <w:tcMar>
              <w:top w:w="85" w:type="dxa"/>
              <w:bottom w:w="85" w:type="dxa"/>
              <w:left w:w="95" w:type="dxa"/>
              <w:right w:w="95" w:type="dxa"/>
            </w:tcMar>
            <w:shd w:fill="F2F5F8"/>
          </w:tcPr>
          <w:p>
            <w:pPr>
              <w:spacing w:after="0" w:line="252" w:lineRule="auto"/>
            </w:pPr>
            <w:r>
              <w:rPr>
                <w:sz w:val="20"/>
              </w:rPr>
              <w:t>Organization, document version, source location, and embedding version</w:t>
            </w:r>
          </w:p>
        </w:tc>
      </w:tr>
      <w:tr>
        <w:trPr>
          <w:cantSplit/>
        </w:trPr>
        <w:tc>
          <w:tcPr>
            <w:tcW w:type="dxa" w:w="3096"/>
            <w:vAlign w:val="center"/>
            <w:tcMar>
              <w:top w:w="85" w:type="dxa"/>
              <w:bottom w:w="85" w:type="dxa"/>
              <w:left w:w="95" w:type="dxa"/>
              <w:right w:w="95" w:type="dxa"/>
            </w:tcMar>
            <w:shd w:fill="FFFFFF"/>
          </w:tcPr>
          <w:p>
            <w:pPr>
              <w:spacing w:after="0" w:line="252" w:lineRule="auto"/>
            </w:pPr>
            <w:r>
              <w:rPr>
                <w:sz w:val="20"/>
              </w:rPr>
              <w:t>Conversations and messages</w:t>
            </w:r>
          </w:p>
        </w:tc>
        <w:tc>
          <w:tcPr>
            <w:tcW w:type="dxa" w:w="6984"/>
            <w:vAlign w:val="center"/>
            <w:tcMar>
              <w:top w:w="85" w:type="dxa"/>
              <w:bottom w:w="85" w:type="dxa"/>
              <w:left w:w="95" w:type="dxa"/>
              <w:right w:w="95" w:type="dxa"/>
            </w:tcMar>
            <w:shd w:fill="FFFFFF"/>
          </w:tcPr>
          <w:p>
            <w:pPr>
              <w:spacing w:after="0" w:line="252" w:lineRule="auto"/>
            </w:pPr>
            <w:r>
              <w:rPr>
                <w:sz w:val="20"/>
              </w:rPr>
              <w:t>Organization and creator; citations linked to exact document versions</w:t>
            </w:r>
          </w:p>
        </w:tc>
      </w:tr>
      <w:tr>
        <w:trPr>
          <w:cantSplit/>
        </w:trPr>
        <w:tc>
          <w:tcPr>
            <w:tcW w:type="dxa" w:w="3096"/>
            <w:vAlign w:val="center"/>
            <w:tcMar>
              <w:top w:w="85" w:type="dxa"/>
              <w:bottom w:w="85" w:type="dxa"/>
              <w:left w:w="95" w:type="dxa"/>
              <w:right w:w="95" w:type="dxa"/>
            </w:tcMar>
            <w:shd w:fill="F2F5F8"/>
          </w:tcPr>
          <w:p>
            <w:pPr>
              <w:spacing w:after="0" w:line="252" w:lineRule="auto"/>
            </w:pPr>
            <w:r>
              <w:rPr>
                <w:sz w:val="20"/>
              </w:rPr>
              <w:t>Subscriptions and entitlements</w:t>
            </w:r>
          </w:p>
        </w:tc>
        <w:tc>
          <w:tcPr>
            <w:tcW w:type="dxa" w:w="6984"/>
            <w:vAlign w:val="center"/>
            <w:tcMar>
              <w:top w:w="85" w:type="dxa"/>
              <w:bottom w:w="85" w:type="dxa"/>
              <w:left w:w="95" w:type="dxa"/>
              <w:right w:w="95" w:type="dxa"/>
            </w:tcMar>
            <w:shd w:fill="F2F5F8"/>
          </w:tcPr>
          <w:p>
            <w:pPr>
              <w:spacing w:after="0" w:line="252" w:lineRule="auto"/>
            </w:pPr>
            <w:r>
              <w:rPr>
                <w:sz w:val="20"/>
              </w:rPr>
              <w:t>Payment identifiers, reconciled state, effective dates, and approved limits</w:t>
            </w:r>
          </w:p>
        </w:tc>
      </w:tr>
      <w:tr>
        <w:trPr>
          <w:cantSplit/>
        </w:trPr>
        <w:tc>
          <w:tcPr>
            <w:tcW w:type="dxa" w:w="3096"/>
            <w:vAlign w:val="center"/>
            <w:tcMar>
              <w:top w:w="85" w:type="dxa"/>
              <w:bottom w:w="85" w:type="dxa"/>
              <w:left w:w="95" w:type="dxa"/>
              <w:right w:w="95" w:type="dxa"/>
            </w:tcMar>
            <w:shd w:fill="FFFFFF"/>
          </w:tcPr>
          <w:p>
            <w:pPr>
              <w:spacing w:after="0" w:line="252" w:lineRule="auto"/>
            </w:pPr>
            <w:r>
              <w:rPr>
                <w:sz w:val="20"/>
              </w:rPr>
              <w:t>Usage ledger and cost events</w:t>
            </w:r>
          </w:p>
        </w:tc>
        <w:tc>
          <w:tcPr>
            <w:tcW w:type="dxa" w:w="6984"/>
            <w:vAlign w:val="center"/>
            <w:tcMar>
              <w:top w:w="85" w:type="dxa"/>
              <w:bottom w:w="85" w:type="dxa"/>
              <w:left w:w="95" w:type="dxa"/>
              <w:right w:w="95" w:type="dxa"/>
            </w:tcMar>
            <w:shd w:fill="FFFFFF"/>
          </w:tcPr>
          <w:p>
            <w:pPr>
              <w:spacing w:after="0" w:line="252" w:lineRule="auto"/>
            </w:pPr>
            <w:r>
              <w:rPr>
                <w:sz w:val="20"/>
              </w:rPr>
              <w:t>Immutable reservations, settlements, releases, and provider attempts</w:t>
            </w:r>
          </w:p>
        </w:tc>
      </w:tr>
      <w:tr>
        <w:trPr>
          <w:cantSplit/>
        </w:trPr>
        <w:tc>
          <w:tcPr>
            <w:tcW w:type="dxa" w:w="3096"/>
            <w:vAlign w:val="center"/>
            <w:tcMar>
              <w:top w:w="85" w:type="dxa"/>
              <w:bottom w:w="85" w:type="dxa"/>
              <w:left w:w="95" w:type="dxa"/>
              <w:right w:w="95" w:type="dxa"/>
            </w:tcMar>
            <w:shd w:fill="F2F5F8"/>
          </w:tcPr>
          <w:p>
            <w:pPr>
              <w:spacing w:after="0" w:line="252" w:lineRule="auto"/>
            </w:pPr>
            <w:r>
              <w:rPr>
                <w:sz w:val="20"/>
              </w:rPr>
              <w:t>Jobs and webhook events</w:t>
            </w:r>
          </w:p>
        </w:tc>
        <w:tc>
          <w:tcPr>
            <w:tcW w:type="dxa" w:w="6984"/>
            <w:vAlign w:val="center"/>
            <w:tcMar>
              <w:top w:w="85" w:type="dxa"/>
              <w:bottom w:w="85" w:type="dxa"/>
              <w:left w:w="95" w:type="dxa"/>
              <w:right w:w="95" w:type="dxa"/>
            </w:tcMar>
            <w:shd w:fill="F2F5F8"/>
          </w:tcPr>
          <w:p>
            <w:pPr>
              <w:spacing w:after="0" w:line="252" w:lineRule="auto"/>
            </w:pPr>
            <w:r>
              <w:rPr>
                <w:sz w:val="20"/>
              </w:rPr>
              <w:t>Durable state, retry count, lease, deduplication key, and processing outcome</w:t>
            </w:r>
          </w:p>
        </w:tc>
      </w:tr>
      <w:tr>
        <w:trPr>
          <w:cantSplit/>
        </w:trPr>
        <w:tc>
          <w:tcPr>
            <w:tcW w:type="dxa" w:w="3096"/>
            <w:vAlign w:val="center"/>
            <w:tcMar>
              <w:top w:w="85" w:type="dxa"/>
              <w:bottom w:w="85" w:type="dxa"/>
              <w:left w:w="95" w:type="dxa"/>
              <w:right w:w="95" w:type="dxa"/>
            </w:tcMar>
            <w:shd w:fill="FFFFFF"/>
          </w:tcPr>
          <w:p>
            <w:pPr>
              <w:spacing w:after="0" w:line="252" w:lineRule="auto"/>
            </w:pPr>
            <w:r>
              <w:rPr>
                <w:sz w:val="20"/>
              </w:rPr>
              <w:t>Content entries and leads</w:t>
            </w:r>
          </w:p>
        </w:tc>
        <w:tc>
          <w:tcPr>
            <w:tcW w:type="dxa" w:w="6984"/>
            <w:vAlign w:val="center"/>
            <w:tcMar>
              <w:top w:w="85" w:type="dxa"/>
              <w:bottom w:w="85" w:type="dxa"/>
              <w:left w:w="95" w:type="dxa"/>
              <w:right w:w="95" w:type="dxa"/>
            </w:tcMar>
            <w:shd w:fill="FFFFFF"/>
          </w:tcPr>
          <w:p>
            <w:pPr>
              <w:spacing w:after="0" w:line="252" w:lineRule="auto"/>
            </w:pPr>
            <w:r>
              <w:rPr>
                <w:sz w:val="20"/>
              </w:rPr>
              <w:t>Public editorial revisions and separately protected enquiry information</w:t>
            </w:r>
          </w:p>
        </w:tc>
      </w:tr>
      <w:tr>
        <w:trPr>
          <w:cantSplit/>
        </w:trPr>
        <w:tc>
          <w:tcPr>
            <w:tcW w:type="dxa" w:w="3096"/>
            <w:vAlign w:val="center"/>
            <w:tcMar>
              <w:top w:w="85" w:type="dxa"/>
              <w:bottom w:w="85" w:type="dxa"/>
              <w:left w:w="95" w:type="dxa"/>
              <w:right w:w="95" w:type="dxa"/>
            </w:tcMar>
            <w:shd w:fill="F2F5F8"/>
          </w:tcPr>
          <w:p>
            <w:pPr>
              <w:spacing w:after="0" w:line="252" w:lineRule="auto"/>
            </w:pPr>
            <w:r>
              <w:rPr>
                <w:sz w:val="20"/>
              </w:rPr>
              <w:t>Audit and deletion records</w:t>
            </w:r>
          </w:p>
        </w:tc>
        <w:tc>
          <w:tcPr>
            <w:tcW w:type="dxa" w:w="6984"/>
            <w:vAlign w:val="center"/>
            <w:tcMar>
              <w:top w:w="85" w:type="dxa"/>
              <w:bottom w:w="85" w:type="dxa"/>
              <w:left w:w="95" w:type="dxa"/>
              <w:right w:w="95" w:type="dxa"/>
            </w:tcMar>
            <w:shd w:fill="F2F5F8"/>
          </w:tcPr>
          <w:p>
            <w:pPr>
              <w:spacing w:after="0" w:line="252" w:lineRule="auto"/>
            </w:pPr>
            <w:r>
              <w:rPr>
                <w:sz w:val="20"/>
              </w:rPr>
              <w:t>Actor, scope, action, timestamp, result, and deletion progress</w:t>
            </w:r>
          </w:p>
        </w:tc>
      </w:tr>
    </w:tbl>
    <w:p>
      <w:pPr>
        <w:spacing w:after="60" w:before="0" w:line="48" w:lineRule="auto"/>
      </w:pPr>
      <w:r>
        <w:rPr>
          <w:sz w:val="4"/>
        </w:rPr>
      </w:r>
    </w:p>
    <w:p>
      <w:r>
        <w:t>Representative endpoints include organization creation, invitations, upload authorization, document status, document deletion, conversation creation, answer generation, usage retrieval, checkout creation, billing-portal sessions, webhook receipt, exports, and organization deletion. These are internal application APIs; publishing an external developer API is later scope.</w:t>
      </w:r>
    </w:p>
    <w:p>
      <w:r>
        <w:t>Long operations return a job identifier and observable status. Creation operations that can be retried accept an idempotency key. Standard errors distinguish unauthenticated, forbidden, unsupported file, quota exceeded, payment pending, processing delayed, and provider unavailable. Error messages must not reveal another customer's resource existence.</w:t>
      </w:r>
    </w:p>
    <w:p>
      <w:r>
        <w:t>The answer endpoint authorizes the user, reserves capacity, retrieves current eligible sources, generates and validates the result, persists it, and settles usage. Each stage records the same request identifier. A worker crash or network retry must not duplicate an answer unit or publish a partially indexed document.</w:t>
      </w:r>
    </w:p>
    <w:p>
      <w:r>
        <w:t>The payment webhook verifies the signature against the original request body and durably records the event before acknowledging it. Processing deduplicates event IDs and business effects, retrieves authoritative subscription state where needed, and prevents older events from overwriting current access. Scheduled reconciliation identifies missed transitions. The launch tests must include duplicated, reordered, delayed, and failed events. [3] [4]</w:t>
      </w:r>
    </w:p>
    <w:p>
      <w:bookmarkStart w:id="17" w:name="section_17"/>
      <w:pPr>
        <w:pStyle w:val="Heading1"/>
      </w:pPr>
      <w:r>
        <w:t>17 Privacy and security requirements</w:t>
      </w:r>
      <w:bookmarkEnd w:id="17"/>
    </w:p>
    <w:p>
      <w:r>
        <w:t>Before collecting customer documents, publish an accurate data inventory and privacy notice covering account information, business files, prompts, generated answers, billing references, diagnostics, and enquiries. Identify the purpose, recipients, retention period, and deletion process for each category. Use the Hong Kong PCPD AI data-protection framework as a governance reference and obtain review of the actual service configuration and contractual obligations. [9]</w:t>
      </w:r>
    </w:p>
    <w:p>
      <w:r>
        <w:t>Stargazer will not use customer content to train its own general models without separate explicit permission. Provider processing and retention must be described according to the selected contracts and settings. Do not translate that product commitment into an unsupported claim that every external provider retains no data.</w:t>
      </w:r>
    </w:p>
    <w:p>
      <w:r>
        <w:t>Proposed content retention is as follows. Active organizations retain current documents until explicit deletion or account expiry. Historical versions follow the reference-based policy in section 10 and expire within ninety days. Conversations are retained for ninety days by default; a member may delete their own conversations sooner. Generated export files expire after twenty-four hours. Operational logs exclude document and prompt bodies and expire after thirty days. Security audit metadata is retained for 180 days, subject to the approved policy. Trial and paid-expiry content follows the thirty-day read-and-export window described in billing.</w:t>
      </w:r>
    </w:p>
    <w:p>
      <w:r>
        <w:t>Explicit document deletion immediately revokes product access to every version of the targeted document and schedules removal from active storage, database records, embeddings, indexes, cached excerpts, affected conversations, and stored exports within twenty-four hours. Encrypted backups may retain deleted content for up to thirty days before rotation. A restore process must reapply the deletion register before restored data becomes available. These are product policy targets, not statutory retention periods.</w:t>
      </w:r>
    </w:p>
    <w:p>
      <w:r>
        <w:t>Organization deletion is a durable workflow that blocks new product operations, cancels future subscription renewal, reconciles payment status, and removes product content while retaining only approved billing and audit records. Billing cancellation is complete only after confirmation from Stripe. A failed cancellation remains visible, retries, and alerts the operating owner; deleting content must never leave an unnoticed renewing subscription. Show content-deletion progress and billing-cancellation progress separately until both finish.</w:t>
      </w:r>
    </w:p>
    <w:p>
      <w:r>
        <w:t>Implement encrypted transport, private storage, short-lived downloads, least-privilege service access, secure secret storage, rate limiting, and dependency updates. Validate uploads and sanitize generated content before rendering. Protect state-changing requests against cross-site request forgery where relevant and restrict file and link rendering to safe schemes and contexts.</w:t>
      </w:r>
    </w:p>
    <w:p>
      <w:r>
        <w:t>The organization boundary must be tested at the database, API, file storage, queue, cache, search, source preview, export, and support interfaces. A removed user must not retain access through a stale role claim. Internal support access must be time-limited, justified, and logged. Enabling a paid plan must not weaken the same tenant isolation applied to trial accounts.</w:t>
      </w:r>
    </w:p>
    <w:p>
      <w:bookmarkStart w:id="18" w:name="section_18"/>
      <w:pPr>
        <w:pStyle w:val="Heading1"/>
      </w:pPr>
      <w:r>
        <w:t>18 Accessibility and service quality</w:t>
      </w:r>
      <w:bookmarkEnd w:id="18"/>
    </w:p>
    <w:p>
      <w:r>
        <w:t>The interface target is WCAG 2.2 Level AA, including the applicable Level A criteria. Test keyboard navigation, visible focus, labels, error recovery, contrast, zoom, dialogs, source panels, and streamed-answer announcements. Automated checks are supplemented by manual keyboard and screen-reader review; an automated scan alone does not establish conformance.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392"/>
      </w:tblGrid>
      <w:tr>
        <w:trPr>
          <w:cantSplit/>
          <w:tblHeader/>
        </w:trPr>
        <w:tc>
          <w:tcPr>
            <w:tcW w:type="dxa" w:w="1800"/>
            <w:vAlign w:val="center"/>
            <w:tcMar>
              <w:top w:w="85" w:type="dxa"/>
              <w:bottom w:w="85" w:type="dxa"/>
              <w:left w:w="95" w:type="dxa"/>
              <w:right w:w="95" w:type="dxa"/>
            </w:tcMar>
            <w:shd w:fill="203D59"/>
          </w:tcPr>
          <w:p>
            <w:pPr>
              <w:spacing w:after="0" w:line="252" w:lineRule="auto"/>
            </w:pPr>
            <w:r>
              <w:rPr>
                <w:b/>
                <w:color w:val="FFFFFF"/>
                <w:sz w:val="20"/>
              </w:rPr>
              <w:t>Area</w:t>
            </w:r>
          </w:p>
        </w:tc>
        <w:tc>
          <w:tcPr>
            <w:tcW w:type="dxa" w:w="3888"/>
            <w:vAlign w:val="center"/>
            <w:tcMar>
              <w:top w:w="85" w:type="dxa"/>
              <w:bottom w:w="85" w:type="dxa"/>
              <w:left w:w="95" w:type="dxa"/>
              <w:right w:w="95" w:type="dxa"/>
            </w:tcMar>
            <w:shd w:fill="203D59"/>
          </w:tcPr>
          <w:p>
            <w:pPr>
              <w:spacing w:after="0" w:line="252" w:lineRule="auto"/>
            </w:pPr>
            <w:r>
              <w:rPr>
                <w:b/>
                <w:color w:val="FFFFFF"/>
                <w:sz w:val="20"/>
              </w:rPr>
              <w:t>Proposed target</w:t>
            </w:r>
          </w:p>
        </w:tc>
        <w:tc>
          <w:tcPr>
            <w:tcW w:type="dxa" w:w="4392"/>
            <w:vAlign w:val="center"/>
            <w:tcMar>
              <w:top w:w="85" w:type="dxa"/>
              <w:bottom w:w="85" w:type="dxa"/>
              <w:left w:w="95" w:type="dxa"/>
              <w:right w:w="95" w:type="dxa"/>
            </w:tcMar>
            <w:shd w:fill="203D59"/>
          </w:tcPr>
          <w:p>
            <w:pPr>
              <w:spacing w:after="0" w:line="252" w:lineRule="auto"/>
            </w:pPr>
            <w:r>
              <w:rPr>
                <w:b/>
                <w:color w:val="FFFFFF"/>
                <w:sz w:val="20"/>
              </w:rPr>
              <w:t>Measurement condition</w:t>
            </w:r>
          </w:p>
        </w:tc>
      </w:tr>
      <w:tr>
        <w:trPr>
          <w:cantSplit/>
        </w:trPr>
        <w:tc>
          <w:tcPr>
            <w:tcW w:type="dxa" w:w="1800"/>
            <w:vAlign w:val="center"/>
            <w:tcMar>
              <w:top w:w="85" w:type="dxa"/>
              <w:bottom w:w="85" w:type="dxa"/>
              <w:left w:w="95" w:type="dxa"/>
              <w:right w:w="95" w:type="dxa"/>
            </w:tcMar>
            <w:shd w:fill="FFFFFF"/>
          </w:tcPr>
          <w:p>
            <w:pPr>
              <w:spacing w:after="0" w:line="252" w:lineRule="auto"/>
            </w:pPr>
            <w:r>
              <w:rPr>
                <w:sz w:val="20"/>
              </w:rPr>
              <w:t>Public page performance</w:t>
            </w:r>
          </w:p>
        </w:tc>
        <w:tc>
          <w:tcPr>
            <w:tcW w:type="dxa" w:w="3888"/>
            <w:vAlign w:val="center"/>
            <w:tcMar>
              <w:top w:w="85" w:type="dxa"/>
              <w:bottom w:w="85" w:type="dxa"/>
              <w:left w:w="95" w:type="dxa"/>
              <w:right w:w="95" w:type="dxa"/>
            </w:tcMar>
            <w:shd w:fill="FFFFFF"/>
          </w:tcPr>
          <w:p>
            <w:pPr>
              <w:spacing w:after="0" w:line="252" w:lineRule="auto"/>
            </w:pPr>
            <w:r>
              <w:rPr>
                <w:sz w:val="20"/>
              </w:rPr>
              <w:t>LCP at most 2.5 seconds, INP at most 200 ms, CLS at most 0.1</w:t>
            </w:r>
          </w:p>
        </w:tc>
        <w:tc>
          <w:tcPr>
            <w:tcW w:type="dxa" w:w="4392"/>
            <w:vAlign w:val="center"/>
            <w:tcMar>
              <w:top w:w="85" w:type="dxa"/>
              <w:bottom w:w="85" w:type="dxa"/>
              <w:left w:w="95" w:type="dxa"/>
              <w:right w:w="95" w:type="dxa"/>
            </w:tcMar>
            <w:shd w:fill="FFFFFF"/>
          </w:tcPr>
          <w:p>
            <w:pPr>
              <w:spacing w:after="0" w:line="252" w:lineRule="auto"/>
            </w:pPr>
            <w:r>
              <w:rPr>
                <w:sz w:val="20"/>
              </w:rPr>
              <w:t>75th percentile of real visits, mobile and desktop separately</w:t>
            </w:r>
          </w:p>
        </w:tc>
      </w:tr>
      <w:tr>
        <w:trPr>
          <w:cantSplit/>
        </w:trPr>
        <w:tc>
          <w:tcPr>
            <w:tcW w:type="dxa" w:w="1800"/>
            <w:vAlign w:val="center"/>
            <w:tcMar>
              <w:top w:w="85" w:type="dxa"/>
              <w:bottom w:w="85" w:type="dxa"/>
              <w:left w:w="95" w:type="dxa"/>
              <w:right w:w="95" w:type="dxa"/>
            </w:tcMar>
            <w:shd w:fill="F2F5F8"/>
          </w:tcPr>
          <w:p>
            <w:pPr>
              <w:spacing w:after="0" w:line="252" w:lineRule="auto"/>
            </w:pPr>
            <w:r>
              <w:rPr>
                <w:sz w:val="20"/>
              </w:rPr>
              <w:t>Ordinary authenticated API</w:t>
            </w:r>
          </w:p>
        </w:tc>
        <w:tc>
          <w:tcPr>
            <w:tcW w:type="dxa" w:w="3888"/>
            <w:vAlign w:val="center"/>
            <w:tcMar>
              <w:top w:w="85" w:type="dxa"/>
              <w:bottom w:w="85" w:type="dxa"/>
              <w:left w:w="95" w:type="dxa"/>
              <w:right w:w="95" w:type="dxa"/>
            </w:tcMar>
            <w:shd w:fill="F2F5F8"/>
          </w:tcPr>
          <w:p>
            <w:pPr>
              <w:spacing w:after="0" w:line="252" w:lineRule="auto"/>
            </w:pPr>
            <w:r>
              <w:rPr>
                <w:sz w:val="20"/>
              </w:rPr>
              <w:t>p95 below 800 ms</w:t>
            </w:r>
          </w:p>
        </w:tc>
        <w:tc>
          <w:tcPr>
            <w:tcW w:type="dxa" w:w="4392"/>
            <w:vAlign w:val="center"/>
            <w:tcMar>
              <w:top w:w="85" w:type="dxa"/>
              <w:bottom w:w="85" w:type="dxa"/>
              <w:left w:w="95" w:type="dxa"/>
              <w:right w:w="95" w:type="dxa"/>
            </w:tcMar>
            <w:shd w:fill="F2F5F8"/>
          </w:tcPr>
          <w:p>
            <w:pPr>
              <w:spacing w:after="0" w:line="252" w:lineRule="auto"/>
            </w:pPr>
            <w:r>
              <w:rPr>
                <w:sz w:val="20"/>
              </w:rPr>
              <w:t>Excludes model generation, uploads, and background jobs</w:t>
            </w:r>
          </w:p>
        </w:tc>
      </w:tr>
      <w:tr>
        <w:trPr>
          <w:cantSplit/>
        </w:trPr>
        <w:tc>
          <w:tcPr>
            <w:tcW w:type="dxa" w:w="1800"/>
            <w:vAlign w:val="center"/>
            <w:tcMar>
              <w:top w:w="85" w:type="dxa"/>
              <w:bottom w:w="85" w:type="dxa"/>
              <w:left w:w="95" w:type="dxa"/>
              <w:right w:w="95" w:type="dxa"/>
            </w:tcMar>
            <w:shd w:fill="FFFFFF"/>
          </w:tcPr>
          <w:p>
            <w:pPr>
              <w:spacing w:after="0" w:line="252" w:lineRule="auto"/>
            </w:pPr>
            <w:r>
              <w:rPr>
                <w:sz w:val="20"/>
              </w:rPr>
              <w:t>AI response</w:t>
            </w:r>
          </w:p>
        </w:tc>
        <w:tc>
          <w:tcPr>
            <w:tcW w:type="dxa" w:w="3888"/>
            <w:vAlign w:val="center"/>
            <w:tcMar>
              <w:top w:w="85" w:type="dxa"/>
              <w:bottom w:w="85" w:type="dxa"/>
              <w:left w:w="95" w:type="dxa"/>
              <w:right w:w="95" w:type="dxa"/>
            </w:tcMar>
            <w:shd w:fill="FFFFFF"/>
          </w:tcPr>
          <w:p>
            <w:pPr>
              <w:spacing w:after="0" w:line="252" w:lineRule="auto"/>
            </w:pPr>
            <w:r>
              <w:rPr>
                <w:sz w:val="20"/>
              </w:rPr>
              <w:t>p95 first substantive content below 5 seconds and completion below 30 seconds</w:t>
            </w:r>
          </w:p>
        </w:tc>
        <w:tc>
          <w:tcPr>
            <w:tcW w:type="dxa" w:w="4392"/>
            <w:vAlign w:val="center"/>
            <w:tcMar>
              <w:top w:w="85" w:type="dxa"/>
              <w:bottom w:w="85" w:type="dxa"/>
              <w:left w:w="95" w:type="dxa"/>
              <w:right w:w="95" w:type="dxa"/>
            </w:tcMar>
            <w:shd w:fill="FFFFFF"/>
          </w:tcPr>
          <w:p>
            <w:pPr>
              <w:spacing w:after="0" w:line="252" w:lineRule="auto"/>
            </w:pPr>
            <w:r>
              <w:rPr>
                <w:sz w:val="20"/>
              </w:rPr>
              <w:t>Warm supported model, agreed bounded question workload</w:t>
            </w:r>
          </w:p>
        </w:tc>
      </w:tr>
      <w:tr>
        <w:trPr>
          <w:cantSplit/>
        </w:trPr>
        <w:tc>
          <w:tcPr>
            <w:tcW w:type="dxa" w:w="1800"/>
            <w:vAlign w:val="center"/>
            <w:tcMar>
              <w:top w:w="85" w:type="dxa"/>
              <w:bottom w:w="85" w:type="dxa"/>
              <w:left w:w="95" w:type="dxa"/>
              <w:right w:w="95" w:type="dxa"/>
            </w:tcMar>
            <w:shd w:fill="F2F5F8"/>
          </w:tcPr>
          <w:p>
            <w:pPr>
              <w:spacing w:after="0" w:line="252" w:lineRule="auto"/>
            </w:pPr>
            <w:r>
              <w:rPr>
                <w:sz w:val="20"/>
              </w:rPr>
              <w:t>Document processing</w:t>
            </w:r>
          </w:p>
        </w:tc>
        <w:tc>
          <w:tcPr>
            <w:tcW w:type="dxa" w:w="3888"/>
            <w:vAlign w:val="center"/>
            <w:tcMar>
              <w:top w:w="85" w:type="dxa"/>
              <w:bottom w:w="85" w:type="dxa"/>
              <w:left w:w="95" w:type="dxa"/>
              <w:right w:w="95" w:type="dxa"/>
            </w:tcMar>
            <w:shd w:fill="F2F5F8"/>
          </w:tcPr>
          <w:p>
            <w:pPr>
              <w:spacing w:after="0" w:line="252" w:lineRule="auto"/>
            </w:pPr>
            <w:r>
              <w:rPr>
                <w:sz w:val="20"/>
              </w:rPr>
              <w:t>95 percent ready within 2 minutes</w:t>
            </w:r>
          </w:p>
        </w:tc>
        <w:tc>
          <w:tcPr>
            <w:tcW w:type="dxa" w:w="4392"/>
            <w:vAlign w:val="center"/>
            <w:tcMar>
              <w:top w:w="85" w:type="dxa"/>
              <w:bottom w:w="85" w:type="dxa"/>
              <w:left w:w="95" w:type="dxa"/>
              <w:right w:w="95" w:type="dxa"/>
            </w:tcMar>
            <w:shd w:fill="F2F5F8"/>
          </w:tcPr>
          <w:p>
            <w:pPr>
              <w:spacing w:after="0" w:line="252" w:lineRule="auto"/>
            </w:pPr>
            <w:r>
              <w:rPr>
                <w:sz w:val="20"/>
              </w:rPr>
              <w:t>Text documents under 50 pages and 5 MB at normal queue depth</w:t>
            </w:r>
          </w:p>
        </w:tc>
      </w:tr>
      <w:tr>
        <w:trPr>
          <w:cantSplit/>
        </w:trPr>
        <w:tc>
          <w:tcPr>
            <w:tcW w:type="dxa" w:w="1800"/>
            <w:vAlign w:val="center"/>
            <w:tcMar>
              <w:top w:w="85" w:type="dxa"/>
              <w:bottom w:w="85" w:type="dxa"/>
              <w:left w:w="95" w:type="dxa"/>
              <w:right w:w="95" w:type="dxa"/>
            </w:tcMar>
            <w:shd w:fill="FFFFFF"/>
          </w:tcPr>
          <w:p>
            <w:pPr>
              <w:spacing w:after="0" w:line="252" w:lineRule="auto"/>
            </w:pPr>
            <w:r>
              <w:rPr>
                <w:sz w:val="20"/>
              </w:rPr>
              <w:t>Application availability</w:t>
            </w:r>
          </w:p>
        </w:tc>
        <w:tc>
          <w:tcPr>
            <w:tcW w:type="dxa" w:w="3888"/>
            <w:vAlign w:val="center"/>
            <w:tcMar>
              <w:top w:w="85" w:type="dxa"/>
              <w:bottom w:w="85" w:type="dxa"/>
              <w:left w:w="95" w:type="dxa"/>
              <w:right w:w="95" w:type="dxa"/>
            </w:tcMar>
            <w:shd w:fill="FFFFFF"/>
          </w:tcPr>
          <w:p>
            <w:pPr>
              <w:spacing w:after="0" w:line="252" w:lineRule="auto"/>
            </w:pPr>
            <w:r>
              <w:rPr>
                <w:sz w:val="20"/>
              </w:rPr>
              <w:t>99.5 percent monthly initial service objective</w:t>
            </w:r>
          </w:p>
        </w:tc>
        <w:tc>
          <w:tcPr>
            <w:tcW w:type="dxa" w:w="4392"/>
            <w:vAlign w:val="center"/>
            <w:tcMar>
              <w:top w:w="85" w:type="dxa"/>
              <w:bottom w:w="85" w:type="dxa"/>
              <w:left w:w="95" w:type="dxa"/>
              <w:right w:w="95" w:type="dxa"/>
            </w:tcMar>
            <w:shd w:fill="FFFFFF"/>
          </w:tcPr>
          <w:p>
            <w:pPr>
              <w:spacing w:after="0" w:line="252" w:lineRule="auto"/>
            </w:pPr>
            <w:r>
              <w:rPr>
                <w:sz w:val="20"/>
              </w:rPr>
              <w:t>External checks of core routes; provider failures reported separately</w:t>
            </w:r>
          </w:p>
        </w:tc>
      </w:tr>
      <w:tr>
        <w:trPr>
          <w:cantSplit/>
        </w:trPr>
        <w:tc>
          <w:tcPr>
            <w:tcW w:type="dxa" w:w="1800"/>
            <w:vAlign w:val="center"/>
            <w:tcMar>
              <w:top w:w="85" w:type="dxa"/>
              <w:bottom w:w="85" w:type="dxa"/>
              <w:left w:w="95" w:type="dxa"/>
              <w:right w:w="95" w:type="dxa"/>
            </w:tcMar>
            <w:shd w:fill="F2F5F8"/>
          </w:tcPr>
          <w:p>
            <w:pPr>
              <w:spacing w:after="0" w:line="252" w:lineRule="auto"/>
            </w:pPr>
            <w:r>
              <w:rPr>
                <w:sz w:val="20"/>
              </w:rPr>
              <w:t>Recovery</w:t>
            </w:r>
          </w:p>
        </w:tc>
        <w:tc>
          <w:tcPr>
            <w:tcW w:type="dxa" w:w="3888"/>
            <w:vAlign w:val="center"/>
            <w:tcMar>
              <w:top w:w="85" w:type="dxa"/>
              <w:bottom w:w="85" w:type="dxa"/>
              <w:left w:w="95" w:type="dxa"/>
              <w:right w:w="95" w:type="dxa"/>
            </w:tcMar>
            <w:shd w:fill="F2F5F8"/>
          </w:tcPr>
          <w:p>
            <w:pPr>
              <w:spacing w:after="0" w:line="252" w:lineRule="auto"/>
            </w:pPr>
            <w:r>
              <w:rPr>
                <w:sz w:val="20"/>
              </w:rPr>
              <w:t>Recovery point within 24 hours and recovery within 8 hours</w:t>
            </w:r>
          </w:p>
        </w:tc>
        <w:tc>
          <w:tcPr>
            <w:tcW w:type="dxa" w:w="4392"/>
            <w:vAlign w:val="center"/>
            <w:tcMar>
              <w:top w:w="85" w:type="dxa"/>
              <w:bottom w:w="85" w:type="dxa"/>
              <w:left w:w="95" w:type="dxa"/>
              <w:right w:w="95" w:type="dxa"/>
            </w:tcMar>
            <w:shd w:fill="F2F5F8"/>
          </w:tcPr>
          <w:p>
            <w:pPr>
              <w:spacing w:after="0" w:line="252" w:lineRule="auto"/>
            </w:pPr>
            <w:r>
              <w:rPr>
                <w:sz w:val="20"/>
              </w:rPr>
              <w:t>Database, files, configuration, and deletion register included</w:t>
            </w:r>
          </w:p>
        </w:tc>
      </w:tr>
      <w:tr>
        <w:trPr>
          <w:cantSplit/>
        </w:trPr>
        <w:tc>
          <w:tcPr>
            <w:tcW w:type="dxa" w:w="1800"/>
            <w:vAlign w:val="center"/>
            <w:tcMar>
              <w:top w:w="85" w:type="dxa"/>
              <w:bottom w:w="85" w:type="dxa"/>
              <w:left w:w="95" w:type="dxa"/>
              <w:right w:w="95" w:type="dxa"/>
            </w:tcMar>
            <w:shd w:fill="FFFFFF"/>
          </w:tcPr>
          <w:p>
            <w:pPr>
              <w:spacing w:after="0" w:line="252" w:lineRule="auto"/>
            </w:pPr>
            <w:r>
              <w:rPr>
                <w:sz w:val="20"/>
              </w:rPr>
              <w:t>Initial load</w:t>
            </w:r>
          </w:p>
        </w:tc>
        <w:tc>
          <w:tcPr>
            <w:tcW w:type="dxa" w:w="3888"/>
            <w:vAlign w:val="center"/>
            <w:tcMar>
              <w:top w:w="85" w:type="dxa"/>
              <w:bottom w:w="85" w:type="dxa"/>
              <w:left w:w="95" w:type="dxa"/>
              <w:right w:w="95" w:type="dxa"/>
            </w:tcMar>
            <w:shd w:fill="FFFFFF"/>
          </w:tcPr>
          <w:p>
            <w:pPr>
              <w:spacing w:after="0" w:line="252" w:lineRule="auto"/>
            </w:pPr>
            <w:r>
              <w:rPr>
                <w:sz w:val="20"/>
              </w:rPr>
              <w:t>100 active sessions and 20 simultaneous AI requests</w:t>
            </w:r>
          </w:p>
        </w:tc>
        <w:tc>
          <w:tcPr>
            <w:tcW w:type="dxa" w:w="4392"/>
            <w:vAlign w:val="center"/>
            <w:tcMar>
              <w:top w:w="85" w:type="dxa"/>
              <w:bottom w:w="85" w:type="dxa"/>
              <w:left w:w="95" w:type="dxa"/>
              <w:right w:w="95" w:type="dxa"/>
            </w:tcMar>
            <w:shd w:fill="FFFFFF"/>
          </w:tcPr>
          <w:p>
            <w:pPr>
              <w:spacing w:after="0" w:line="252" w:lineRule="auto"/>
            </w:pPr>
            <w:r>
              <w:rPr>
                <w:sz w:val="20"/>
              </w:rPr>
              <w:t>Defined mixed workload, with plan and global queue limits enforced</w:t>
            </w:r>
          </w:p>
        </w:tc>
      </w:tr>
    </w:tbl>
    <w:p>
      <w:pPr>
        <w:spacing w:after="60" w:before="0" w:line="48" w:lineRule="auto"/>
      </w:pPr>
      <w:r>
        <w:rPr>
          <w:sz w:val="4"/>
        </w:rPr>
      </w:r>
    </w:p>
    <w:p>
      <w:r>
        <w:t>The public performance values follow Google's Core Web Vitals thresholds. Other values are proposed Stargazer engineering targets requiring measurement. Where field traffic is initially insufficient, use repeatable laboratory tests and report the limitation instead of presenting laboratory scores as real-user results. [7]</w:t>
      </w:r>
    </w:p>
    <w:p>
      <w:r>
        <w:t>Support current mainstream desktop and mobile browsers, verified at launch. Test representative widths of 360, 768, 1280, and 1440 pixels, plus keyboard zoom and long Chinese content. Backups are not considered complete until a restore rehearsal recovers both metadata and uploaded files. Customer-facing service guarantees require separate commercial approval after measured operation.</w:t>
      </w:r>
    </w:p>
    <w:p>
      <w:bookmarkStart w:id="19" w:name="section_19"/>
      <w:pPr>
        <w:pStyle w:val="Heading1"/>
      </w:pPr>
      <w:r>
        <w:t>19 Localization and search discovery</w:t>
      </w:r>
      <w:bookmarkEnd w:id="19"/>
    </w:p>
    <w:p>
      <w:r>
        <w:t>Use separate, indexable public URLs for English and Traditional Chinese, with appropriate language attributes, reciprocal hreflang references, and a self-referencing canonical for each language version. Google recommends separate URLs for language versions and explicit links between them. The application can use a profile-based language switch without indexing private workspace pages. [8]</w:t>
      </w:r>
    </w:p>
    <w:p>
      <w:r>
        <w:t>Do not force location-based redirects that prevent users or crawlers from selecting another language. Translate headlines, pricing explanations, validation errors, emails, help content, metadata, and image descriptions. Dates, numbers, and currencies follow a consistent locale policy. Critical commercial and privacy content requires human review in both languages.</w:t>
      </w:r>
    </w:p>
    <w:p>
      <w:r>
        <w:t>Generate a public sitemap, useful titles and descriptions, social sharing previews, and structured data only where it accurately represents visible content. Exclude application, account, checkout-return, draft-preview, and private export pages from search indexing. Search indexing controls supplement authentication and never replace it.</w:t>
      </w:r>
    </w:p>
    <w:p>
      <w:r>
        <w:t>The initial content plan includes a practical setup guide, supported-file guide, document preparation checklist, explanation of citations, and two workflow articles. Publish content that answers a real buying or onboarding question. Do not generate large volumes of near-duplicate pages merely to target city or industry keywords.</w:t>
      </w:r>
    </w:p>
    <w:p>
      <w:bookmarkStart w:id="20" w:name="section_20"/>
      <w:pPr>
        <w:pStyle w:val="Heading1"/>
      </w:pPr>
      <w:r>
        <w:t>20 Analytics and growth experiments</w:t>
      </w:r>
      <w:bookmarkEnd w:id="20"/>
    </w:p>
    <w:p>
      <w:r>
        <w:t>The event schema should cover product-page views, demo starts, demo answers, source openings, signup completion, workspace creation, upload completion, first own-document answer, invitation acceptance, checkout start, paid activation, allowance exhaustion, and cancellation. Each event has a schema version, timestamp, anonymous or authenticated identifier, relevant organization identifier, locale, and campaign attribution where permitted.</w:t>
      </w:r>
    </w:p>
    <w:p>
      <w:r>
        <w:t>Do not place document names, prompt bodies, generated answers, email addresses, or file URLs in general analytics. Disable session recording on authenticated document and conversation screens by default. Consent requirements must be implemented for the selected markets and analytics configuration before marketing tags are enabled.</w:t>
      </w:r>
    </w:p>
    <w:p>
      <w:r>
        <w:t>The first experiments should compare the clarity of two value propositions, the effectiveness of suggested demo questions, and whether an implementation consultation improves conversion for larger teams. Define the primary outcome, observation period, minimum useful sample, and guardrails before running a test. At low traffic, moderated user sessions may produce better decisions than inconclusive A/B tests.</w:t>
      </w:r>
    </w:p>
    <w:p>
      <w:r>
        <w:t>Acquisition work should start with founder outreach, approved partner referrals, practical educational content, and a small design-partner cohort. Paid acquisition should expand only when the team can measure activation, retention, variable cost, and support demand. Avoid optimizing trial signups while ignoring whether those organizations ever use their own documents.</w:t>
      </w:r>
    </w:p>
    <w:p>
      <w:bookmarkStart w:id="21" w:name="section_21"/>
      <w:pPr>
        <w:pStyle w:val="Heading1"/>
      </w:pPr>
      <w:r>
        <w:t>21 Delivery plan and dependencies</w:t>
      </w:r>
      <w:bookmarkEnd w:id="21"/>
    </w:p>
    <w:p>
      <w:r>
        <w:t>The proposed paid-launch schedule is twelve to fourteen weeks with two experienced full-time engineers, part-time design and QA support, and a product owner able to make prompt decisions. A single-engineer implementation should allow approximately twenty to twenty-four weeks for the same scope. These estimates assume managed services, one flagship product, no enterprise integrations, and timely content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088"/>
        <w:gridCol w:w="5760"/>
      </w:tblGrid>
      <w:tr>
        <w:trPr>
          <w:cantSplit/>
          <w:tblHeader/>
        </w:trPr>
        <w:tc>
          <w:tcPr>
            <w:tcW w:type="dxa" w:w="2232"/>
            <w:vAlign w:val="center"/>
            <w:tcMar>
              <w:top w:w="85" w:type="dxa"/>
              <w:bottom w:w="85" w:type="dxa"/>
              <w:left w:w="95" w:type="dxa"/>
              <w:right w:w="95" w:type="dxa"/>
            </w:tcMar>
            <w:shd w:fill="203D59"/>
          </w:tcPr>
          <w:p>
            <w:pPr>
              <w:spacing w:after="0" w:line="252" w:lineRule="auto"/>
            </w:pPr>
            <w:r>
              <w:rPr>
                <w:b/>
                <w:color w:val="FFFFFF"/>
                <w:sz w:val="20"/>
              </w:rPr>
              <w:t>Phase</w:t>
            </w:r>
          </w:p>
        </w:tc>
        <w:tc>
          <w:tcPr>
            <w:tcW w:type="dxa" w:w="2088"/>
            <w:vAlign w:val="center"/>
            <w:tcMar>
              <w:top w:w="85" w:type="dxa"/>
              <w:bottom w:w="85" w:type="dxa"/>
              <w:left w:w="95" w:type="dxa"/>
              <w:right w:w="95" w:type="dxa"/>
            </w:tcMar>
            <w:shd w:fill="203D59"/>
          </w:tcPr>
          <w:p>
            <w:pPr>
              <w:spacing w:after="0" w:line="252" w:lineRule="auto"/>
            </w:pPr>
            <w:r>
              <w:rPr>
                <w:b/>
                <w:color w:val="FFFFFF"/>
                <w:sz w:val="20"/>
              </w:rPr>
              <w:t>Indicative timing</w:t>
            </w:r>
          </w:p>
        </w:tc>
        <w:tc>
          <w:tcPr>
            <w:tcW w:type="dxa" w:w="5760"/>
            <w:vAlign w:val="center"/>
            <w:tcMar>
              <w:top w:w="85" w:type="dxa"/>
              <w:bottom w:w="85" w:type="dxa"/>
              <w:left w:w="95" w:type="dxa"/>
              <w:right w:w="95" w:type="dxa"/>
            </w:tcMar>
            <w:shd w:fill="203D59"/>
          </w:tcPr>
          <w:p>
            <w:pPr>
              <w:spacing w:after="0" w:line="252" w:lineRule="auto"/>
            </w:pPr>
            <w:r>
              <w:rPr>
                <w:b/>
                <w:color w:val="FFFFFF"/>
                <w:sz w:val="20"/>
              </w:rPr>
              <w:t>Required outcome</w:t>
            </w:r>
          </w:p>
        </w:tc>
      </w:tr>
      <w:tr>
        <w:trPr>
          <w:cantSplit/>
        </w:trPr>
        <w:tc>
          <w:tcPr>
            <w:tcW w:type="dxa" w:w="2232"/>
            <w:vAlign w:val="center"/>
            <w:tcMar>
              <w:top w:w="85" w:type="dxa"/>
              <w:bottom w:w="85" w:type="dxa"/>
              <w:left w:w="95" w:type="dxa"/>
              <w:right w:w="95" w:type="dxa"/>
            </w:tcMar>
            <w:shd w:fill="FFFFFF"/>
          </w:tcPr>
          <w:p>
            <w:pPr>
              <w:spacing w:after="0" w:line="252" w:lineRule="auto"/>
            </w:pPr>
            <w:r>
              <w:rPr>
                <w:sz w:val="20"/>
              </w:rPr>
              <w:t>Definition and validation</w:t>
            </w:r>
          </w:p>
        </w:tc>
        <w:tc>
          <w:tcPr>
            <w:tcW w:type="dxa" w:w="2088"/>
            <w:vAlign w:val="center"/>
            <w:tcMar>
              <w:top w:w="85" w:type="dxa"/>
              <w:bottom w:w="85" w:type="dxa"/>
              <w:left w:w="95" w:type="dxa"/>
              <w:right w:w="95" w:type="dxa"/>
            </w:tcMar>
            <w:shd w:fill="FFFFFF"/>
          </w:tcPr>
          <w:p>
            <w:pPr>
              <w:spacing w:after="0" w:line="252" w:lineRule="auto"/>
            </w:pPr>
            <w:r>
              <w:rPr>
                <w:sz w:val="20"/>
              </w:rPr>
              <w:t>Weeks 1 and 2</w:t>
            </w:r>
          </w:p>
        </w:tc>
        <w:tc>
          <w:tcPr>
            <w:tcW w:type="dxa" w:w="5760"/>
            <w:vAlign w:val="center"/>
            <w:tcMar>
              <w:top w:w="85" w:type="dxa"/>
              <w:bottom w:w="85" w:type="dxa"/>
              <w:left w:w="95" w:type="dxa"/>
              <w:right w:w="95" w:type="dxa"/>
            </w:tcMar>
            <w:shd w:fill="FFFFFF"/>
          </w:tcPr>
          <w:p>
            <w:pPr>
              <w:spacing w:after="0" w:line="252" w:lineRule="auto"/>
            </w:pPr>
            <w:r>
              <w:rPr>
                <w:sz w:val="20"/>
              </w:rPr>
              <w:t>Interviews, product scope, brand decisions, plan hypotheses, approved user journeys</w:t>
            </w:r>
          </w:p>
        </w:tc>
      </w:tr>
      <w:tr>
        <w:trPr>
          <w:cantSplit/>
        </w:trPr>
        <w:tc>
          <w:tcPr>
            <w:tcW w:type="dxa" w:w="2232"/>
            <w:vAlign w:val="center"/>
            <w:tcMar>
              <w:top w:w="85" w:type="dxa"/>
              <w:bottom w:w="85" w:type="dxa"/>
              <w:left w:w="95" w:type="dxa"/>
              <w:right w:w="95" w:type="dxa"/>
            </w:tcMar>
            <w:shd w:fill="F2F5F8"/>
          </w:tcPr>
          <w:p>
            <w:pPr>
              <w:spacing w:after="0" w:line="252" w:lineRule="auto"/>
            </w:pPr>
            <w:r>
              <w:rPr>
                <w:sz w:val="20"/>
              </w:rPr>
              <w:t>Website and foundation</w:t>
            </w:r>
          </w:p>
        </w:tc>
        <w:tc>
          <w:tcPr>
            <w:tcW w:type="dxa" w:w="2088"/>
            <w:vAlign w:val="center"/>
            <w:tcMar>
              <w:top w:w="85" w:type="dxa"/>
              <w:bottom w:w="85" w:type="dxa"/>
              <w:left w:w="95" w:type="dxa"/>
              <w:right w:w="95" w:type="dxa"/>
            </w:tcMar>
            <w:shd w:fill="F2F5F8"/>
          </w:tcPr>
          <w:p>
            <w:pPr>
              <w:spacing w:after="0" w:line="252" w:lineRule="auto"/>
            </w:pPr>
            <w:r>
              <w:rPr>
                <w:sz w:val="20"/>
              </w:rPr>
              <w:t>Weeks 3 and 4</w:t>
            </w:r>
          </w:p>
        </w:tc>
        <w:tc>
          <w:tcPr>
            <w:tcW w:type="dxa" w:w="5760"/>
            <w:vAlign w:val="center"/>
            <w:tcMar>
              <w:top w:w="85" w:type="dxa"/>
              <w:bottom w:w="85" w:type="dxa"/>
              <w:left w:w="95" w:type="dxa"/>
              <w:right w:w="95" w:type="dxa"/>
            </w:tcMar>
            <w:shd w:fill="F2F5F8"/>
          </w:tcPr>
          <w:p>
            <w:pPr>
              <w:spacing w:after="0" w:line="252" w:lineRule="auto"/>
            </w:pPr>
            <w:r>
              <w:rPr>
                <w:sz w:val="20"/>
              </w:rPr>
              <w:t>Bilingual website, synthetic demo, design system, authentication, organizations</w:t>
            </w:r>
          </w:p>
        </w:tc>
      </w:tr>
      <w:tr>
        <w:trPr>
          <w:cantSplit/>
        </w:trPr>
        <w:tc>
          <w:tcPr>
            <w:tcW w:type="dxa" w:w="2232"/>
            <w:vAlign w:val="center"/>
            <w:tcMar>
              <w:top w:w="85" w:type="dxa"/>
              <w:bottom w:w="85" w:type="dxa"/>
              <w:left w:w="95" w:type="dxa"/>
              <w:right w:w="95" w:type="dxa"/>
            </w:tcMar>
            <w:shd w:fill="FFFFFF"/>
          </w:tcPr>
          <w:p>
            <w:pPr>
              <w:spacing w:after="0" w:line="252" w:lineRule="auto"/>
            </w:pPr>
            <w:r>
              <w:rPr>
                <w:sz w:val="20"/>
              </w:rPr>
              <w:t>Knowledge workflow</w:t>
            </w:r>
          </w:p>
        </w:tc>
        <w:tc>
          <w:tcPr>
            <w:tcW w:type="dxa" w:w="2088"/>
            <w:vAlign w:val="center"/>
            <w:tcMar>
              <w:top w:w="85" w:type="dxa"/>
              <w:bottom w:w="85" w:type="dxa"/>
              <w:left w:w="95" w:type="dxa"/>
              <w:right w:w="95" w:type="dxa"/>
            </w:tcMar>
            <w:shd w:fill="FFFFFF"/>
          </w:tcPr>
          <w:p>
            <w:pPr>
              <w:spacing w:after="0" w:line="252" w:lineRule="auto"/>
            </w:pPr>
            <w:r>
              <w:rPr>
                <w:sz w:val="20"/>
              </w:rPr>
              <w:t>Weeks 5 through 7</w:t>
            </w:r>
          </w:p>
        </w:tc>
        <w:tc>
          <w:tcPr>
            <w:tcW w:type="dxa" w:w="5760"/>
            <w:vAlign w:val="center"/>
            <w:tcMar>
              <w:top w:w="85" w:type="dxa"/>
              <w:bottom w:w="85" w:type="dxa"/>
              <w:left w:w="95" w:type="dxa"/>
              <w:right w:w="95" w:type="dxa"/>
            </w:tcMar>
            <w:shd w:fill="FFFFFF"/>
          </w:tcPr>
          <w:p>
            <w:pPr>
              <w:spacing w:after="0" w:line="252" w:lineRule="auto"/>
            </w:pPr>
            <w:r>
              <w:rPr>
                <w:sz w:val="20"/>
              </w:rPr>
              <w:t>Upload processing, retrieval, citations, private history, usage reservations</w:t>
            </w:r>
          </w:p>
        </w:tc>
      </w:tr>
      <w:tr>
        <w:trPr>
          <w:cantSplit/>
        </w:trPr>
        <w:tc>
          <w:tcPr>
            <w:tcW w:type="dxa" w:w="2232"/>
            <w:vAlign w:val="center"/>
            <w:tcMar>
              <w:top w:w="85" w:type="dxa"/>
              <w:bottom w:w="85" w:type="dxa"/>
              <w:left w:w="95" w:type="dxa"/>
              <w:right w:w="95" w:type="dxa"/>
            </w:tcMar>
            <w:shd w:fill="F2F5F8"/>
          </w:tcPr>
          <w:p>
            <w:pPr>
              <w:spacing w:after="0" w:line="252" w:lineRule="auto"/>
            </w:pPr>
            <w:r>
              <w:rPr>
                <w:sz w:val="20"/>
              </w:rPr>
              <w:t>Commercial operations</w:t>
            </w:r>
          </w:p>
        </w:tc>
        <w:tc>
          <w:tcPr>
            <w:tcW w:type="dxa" w:w="2088"/>
            <w:vAlign w:val="center"/>
            <w:tcMar>
              <w:top w:w="85" w:type="dxa"/>
              <w:bottom w:w="85" w:type="dxa"/>
              <w:left w:w="95" w:type="dxa"/>
              <w:right w:w="95" w:type="dxa"/>
            </w:tcMar>
            <w:shd w:fill="F2F5F8"/>
          </w:tcPr>
          <w:p>
            <w:pPr>
              <w:spacing w:after="0" w:line="252" w:lineRule="auto"/>
            </w:pPr>
            <w:r>
              <w:rPr>
                <w:sz w:val="20"/>
              </w:rPr>
              <w:t>Weeks 8 and 9</w:t>
            </w:r>
          </w:p>
        </w:tc>
        <w:tc>
          <w:tcPr>
            <w:tcW w:type="dxa" w:w="5760"/>
            <w:vAlign w:val="center"/>
            <w:tcMar>
              <w:top w:w="85" w:type="dxa"/>
              <w:bottom w:w="85" w:type="dxa"/>
              <w:left w:w="95" w:type="dxa"/>
              <w:right w:w="95" w:type="dxa"/>
            </w:tcMar>
            <w:shd w:fill="F2F5F8"/>
          </w:tcPr>
          <w:p>
            <w:pPr>
              <w:spacing w:after="0" w:line="252" w:lineRule="auto"/>
            </w:pPr>
            <w:r>
              <w:rPr>
                <w:sz w:val="20"/>
              </w:rPr>
              <w:t>Billing, entitlements, administration, support, event instrumentation</w:t>
            </w:r>
          </w:p>
        </w:tc>
      </w:tr>
      <w:tr>
        <w:trPr>
          <w:cantSplit/>
        </w:trPr>
        <w:tc>
          <w:tcPr>
            <w:tcW w:type="dxa" w:w="2232"/>
            <w:vAlign w:val="center"/>
            <w:tcMar>
              <w:top w:w="85" w:type="dxa"/>
              <w:bottom w:w="85" w:type="dxa"/>
              <w:left w:w="95" w:type="dxa"/>
              <w:right w:w="95" w:type="dxa"/>
            </w:tcMar>
            <w:shd w:fill="FFFFFF"/>
          </w:tcPr>
          <w:p>
            <w:pPr>
              <w:spacing w:after="0" w:line="252" w:lineRule="auto"/>
            </w:pPr>
            <w:r>
              <w:rPr>
                <w:sz w:val="20"/>
              </w:rPr>
              <w:t>Controlled beta</w:t>
            </w:r>
          </w:p>
        </w:tc>
        <w:tc>
          <w:tcPr>
            <w:tcW w:type="dxa" w:w="2088"/>
            <w:vAlign w:val="center"/>
            <w:tcMar>
              <w:top w:w="85" w:type="dxa"/>
              <w:bottom w:w="85" w:type="dxa"/>
              <w:left w:w="95" w:type="dxa"/>
              <w:right w:w="95" w:type="dxa"/>
            </w:tcMar>
            <w:shd w:fill="FFFFFF"/>
          </w:tcPr>
          <w:p>
            <w:pPr>
              <w:spacing w:after="0" w:line="252" w:lineRule="auto"/>
            </w:pPr>
            <w:r>
              <w:rPr>
                <w:sz w:val="20"/>
              </w:rPr>
              <w:t>Weeks 10 and 11</w:t>
            </w:r>
          </w:p>
        </w:tc>
        <w:tc>
          <w:tcPr>
            <w:tcW w:type="dxa" w:w="5760"/>
            <w:vAlign w:val="center"/>
            <w:tcMar>
              <w:top w:w="85" w:type="dxa"/>
              <w:bottom w:w="85" w:type="dxa"/>
              <w:left w:w="95" w:type="dxa"/>
              <w:right w:w="95" w:type="dxa"/>
            </w:tcMar>
            <w:shd w:fill="FFFFFF"/>
          </w:tcPr>
          <w:p>
            <w:pPr>
              <w:spacing w:after="0" w:line="252" w:lineRule="auto"/>
            </w:pPr>
            <w:r>
              <w:rPr>
                <w:sz w:val="20"/>
              </w:rPr>
              <w:t>Customer observations, quality evaluation, isolation tests, restore rehearsal</w:t>
            </w:r>
          </w:p>
        </w:tc>
      </w:tr>
      <w:tr>
        <w:trPr>
          <w:cantSplit/>
        </w:trPr>
        <w:tc>
          <w:tcPr>
            <w:tcW w:type="dxa" w:w="2232"/>
            <w:vAlign w:val="center"/>
            <w:tcMar>
              <w:top w:w="85" w:type="dxa"/>
              <w:bottom w:w="85" w:type="dxa"/>
              <w:left w:w="95" w:type="dxa"/>
              <w:right w:w="95" w:type="dxa"/>
            </w:tcMar>
            <w:shd w:fill="F2F5F8"/>
          </w:tcPr>
          <w:p>
            <w:pPr>
              <w:spacing w:after="0" w:line="252" w:lineRule="auto"/>
            </w:pPr>
            <w:r>
              <w:rPr>
                <w:sz w:val="20"/>
              </w:rPr>
              <w:t>Launch and contingency</w:t>
            </w:r>
          </w:p>
        </w:tc>
        <w:tc>
          <w:tcPr>
            <w:tcW w:type="dxa" w:w="2088"/>
            <w:vAlign w:val="center"/>
            <w:tcMar>
              <w:top w:w="85" w:type="dxa"/>
              <w:bottom w:w="85" w:type="dxa"/>
              <w:left w:w="95" w:type="dxa"/>
              <w:right w:w="95" w:type="dxa"/>
            </w:tcMar>
            <w:shd w:fill="F2F5F8"/>
          </w:tcPr>
          <w:p>
            <w:pPr>
              <w:spacing w:after="0" w:line="252" w:lineRule="auto"/>
            </w:pPr>
            <w:r>
              <w:rPr>
                <w:sz w:val="20"/>
              </w:rPr>
              <w:t>Weeks 12 through 14</w:t>
            </w:r>
          </w:p>
        </w:tc>
        <w:tc>
          <w:tcPr>
            <w:tcW w:type="dxa" w:w="5760"/>
            <w:vAlign w:val="center"/>
            <w:tcMar>
              <w:top w:w="85" w:type="dxa"/>
              <w:bottom w:w="85" w:type="dxa"/>
              <w:left w:w="95" w:type="dxa"/>
              <w:right w:w="95" w:type="dxa"/>
            </w:tcMar>
            <w:shd w:fill="F2F5F8"/>
          </w:tcPr>
          <w:p>
            <w:pPr>
              <w:spacing w:after="0" w:line="252" w:lineRule="auto"/>
            </w:pPr>
            <w:r>
              <w:rPr>
                <w:sz w:val="20"/>
              </w:rPr>
              <w:t>Priority fixes, staged paid rollout, operating handover</w:t>
            </w:r>
          </w:p>
        </w:tc>
      </w:tr>
    </w:tbl>
    <w:p>
      <w:pPr>
        <w:spacing w:after="60" w:before="0" w:line="48" w:lineRule="auto"/>
      </w:pPr>
      <w:r>
        <w:rPr>
          <w:sz w:val="4"/>
        </w:rPr>
      </w:r>
    </w:p>
    <w:p>
      <w:r>
        <w:t>The public website can reach an earlier milestone around week four, using accurate availability labels. The critical path for paid release runs through document processing, authorized retrieval, usable answers, usage correctness, and billing. Visual polish does not remove those dependencies.</w:t>
      </w:r>
    </w:p>
    <w:p>
      <w:r>
        <w:t>Before implementation, assign owners for domain control, legal identity, provider accounts, content, payment setup, customer support, and privacy review. Estimate roughly 700 to 900 engineering hours as an initial planning envelope, then re-estimate after the first ingestion prototype. Select hosting plans and obtain current supplier quotes before committing an operating budget. Record model and infrastructure costs independently of promotional credits.</w:t>
      </w:r>
    </w:p>
    <w:p>
      <w:r>
        <w:t>Use weekly demonstrations of complete workflows. At the end of each phase, review working behavior against acceptance criteria and update the remaining estimate. Any new product, integration, permission model, or billing mechanism must either replace an equivalent amount of scope or change the delivery forecast.</w:t>
      </w:r>
    </w:p>
    <w:p>
      <w:bookmarkStart w:id="22" w:name="section_22"/>
      <w:pPr>
        <w:pStyle w:val="Heading1"/>
      </w:pPr>
      <w:r>
        <w:t>22 Acceptance and release verification</w:t>
      </w:r>
      <w:bookmarkEnd w:id="22"/>
    </w:p>
    <w:p>
      <w:r>
        <w:t>Release verification must exercise successful, unsuccessful, and adversarial paths. A designer and product owner review visible behavior; engineering verifies data boundaries, retries, billing, and recovery. A requirement is complete only when its acceptance criteria are demonstrated in a staging environment that resembles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cantSplit/>
          <w:tblHeader/>
        </w:trPr>
        <w:tc>
          <w:tcPr>
            <w:tcW w:type="dxa" w:w="3672"/>
            <w:vAlign w:val="center"/>
            <w:tcMar>
              <w:top w:w="85" w:type="dxa"/>
              <w:bottom w:w="85" w:type="dxa"/>
              <w:left w:w="95" w:type="dxa"/>
              <w:right w:w="95" w:type="dxa"/>
            </w:tcMar>
            <w:shd w:fill="203D59"/>
          </w:tcPr>
          <w:p>
            <w:pPr>
              <w:spacing w:after="0" w:line="252" w:lineRule="auto"/>
            </w:pPr>
            <w:r>
              <w:rPr>
                <w:b/>
                <w:color w:val="FFFFFF"/>
                <w:sz w:val="20"/>
              </w:rPr>
              <w:t>Test</w:t>
            </w:r>
          </w:p>
        </w:tc>
        <w:tc>
          <w:tcPr>
            <w:tcW w:type="dxa" w:w="6408"/>
            <w:vAlign w:val="center"/>
            <w:tcMar>
              <w:top w:w="85" w:type="dxa"/>
              <w:bottom w:w="85" w:type="dxa"/>
              <w:left w:w="95" w:type="dxa"/>
              <w:right w:w="95" w:type="dxa"/>
            </w:tcMar>
            <w:shd w:fill="203D59"/>
          </w:tcPr>
          <w:p>
            <w:pPr>
              <w:spacing w:after="0" w:line="252" w:lineRule="auto"/>
            </w:pPr>
            <w:r>
              <w:rPr>
                <w:b/>
                <w:color w:val="FFFFFF"/>
                <w:sz w:val="20"/>
              </w:rPr>
              <w:t>Expected result</w:t>
            </w:r>
          </w:p>
        </w:tc>
      </w:tr>
      <w:tr>
        <w:trPr>
          <w:cantSplit/>
        </w:trPr>
        <w:tc>
          <w:tcPr>
            <w:tcW w:type="dxa" w:w="3672"/>
            <w:vAlign w:val="center"/>
            <w:tcMar>
              <w:top w:w="85" w:type="dxa"/>
              <w:bottom w:w="85" w:type="dxa"/>
              <w:left w:w="95" w:type="dxa"/>
              <w:right w:w="95" w:type="dxa"/>
            </w:tcMar>
            <w:shd w:fill="FFFFFF"/>
          </w:tcPr>
          <w:p>
            <w:pPr>
              <w:spacing w:after="0" w:line="252" w:lineRule="auto"/>
            </w:pPr>
            <w:r>
              <w:rPr>
                <w:sz w:val="20"/>
              </w:rPr>
              <w:t>New visitor to first own-document answer</w:t>
            </w:r>
          </w:p>
        </w:tc>
        <w:tc>
          <w:tcPr>
            <w:tcW w:type="dxa" w:w="6408"/>
            <w:vAlign w:val="center"/>
            <w:tcMar>
              <w:top w:w="85" w:type="dxa"/>
              <w:bottom w:w="85" w:type="dxa"/>
              <w:left w:w="95" w:type="dxa"/>
              <w:right w:w="95" w:type="dxa"/>
            </w:tcMar>
            <w:shd w:fill="FFFFFF"/>
          </w:tcPr>
          <w:p>
            <w:pPr>
              <w:spacing w:after="0" w:line="252" w:lineRule="auto"/>
            </w:pPr>
            <w:r>
              <w:rPr>
                <w:sz w:val="20"/>
              </w:rPr>
              <w:t>Demo, signup, upload, answer, and source inspection complete without manual account repair</w:t>
            </w:r>
          </w:p>
        </w:tc>
      </w:tr>
      <w:tr>
        <w:trPr>
          <w:cantSplit/>
        </w:trPr>
        <w:tc>
          <w:tcPr>
            <w:tcW w:type="dxa" w:w="3672"/>
            <w:vAlign w:val="center"/>
            <w:tcMar>
              <w:top w:w="85" w:type="dxa"/>
              <w:bottom w:w="85" w:type="dxa"/>
              <w:left w:w="95" w:type="dxa"/>
              <w:right w:w="95" w:type="dxa"/>
            </w:tcMar>
            <w:shd w:fill="F2F5F8"/>
          </w:tcPr>
          <w:p>
            <w:pPr>
              <w:spacing w:after="0" w:line="252" w:lineRule="auto"/>
            </w:pPr>
            <w:r>
              <w:rPr>
                <w:sz w:val="20"/>
              </w:rPr>
              <w:t>Two organizations with similar document names</w:t>
            </w:r>
          </w:p>
        </w:tc>
        <w:tc>
          <w:tcPr>
            <w:tcW w:type="dxa" w:w="6408"/>
            <w:vAlign w:val="center"/>
            <w:tcMar>
              <w:top w:w="85" w:type="dxa"/>
              <w:bottom w:w="85" w:type="dxa"/>
              <w:left w:w="95" w:type="dxa"/>
              <w:right w:w="95" w:type="dxa"/>
            </w:tcMar>
            <w:shd w:fill="F2F5F8"/>
          </w:tcPr>
          <w:p>
            <w:pPr>
              <w:spacing w:after="0" w:line="252" w:lineRule="auto"/>
            </w:pPr>
            <w:r>
              <w:rPr>
                <w:sz w:val="20"/>
              </w:rPr>
              <w:t>No cross-organization result, download, cache hit, source preview, or export</w:t>
            </w:r>
          </w:p>
        </w:tc>
      </w:tr>
      <w:tr>
        <w:trPr>
          <w:cantSplit/>
        </w:trPr>
        <w:tc>
          <w:tcPr>
            <w:tcW w:type="dxa" w:w="3672"/>
            <w:vAlign w:val="center"/>
            <w:tcMar>
              <w:top w:w="85" w:type="dxa"/>
              <w:bottom w:w="85" w:type="dxa"/>
              <w:left w:w="95" w:type="dxa"/>
              <w:right w:w="95" w:type="dxa"/>
            </w:tcMar>
            <w:shd w:fill="FFFFFF"/>
          </w:tcPr>
          <w:p>
            <w:pPr>
              <w:spacing w:after="0" w:line="252" w:lineRule="auto"/>
            </w:pPr>
            <w:r>
              <w:rPr>
                <w:sz w:val="20"/>
              </w:rPr>
              <w:t>Member removed during an active session</w:t>
            </w:r>
          </w:p>
        </w:tc>
        <w:tc>
          <w:tcPr>
            <w:tcW w:type="dxa" w:w="6408"/>
            <w:vAlign w:val="center"/>
            <w:tcMar>
              <w:top w:w="85" w:type="dxa"/>
              <w:bottom w:w="85" w:type="dxa"/>
              <w:left w:w="95" w:type="dxa"/>
              <w:right w:w="95" w:type="dxa"/>
            </w:tcMar>
            <w:shd w:fill="FFFFFF"/>
          </w:tcPr>
          <w:p>
            <w:pPr>
              <w:spacing w:after="0" w:line="252" w:lineRule="auto"/>
            </w:pPr>
            <w:r>
              <w:rPr>
                <w:sz w:val="20"/>
              </w:rPr>
              <w:t>Subsequent protected requests fail; short-lived download links expire as specified</w:t>
            </w:r>
          </w:p>
        </w:tc>
      </w:tr>
      <w:tr>
        <w:trPr>
          <w:cantSplit/>
        </w:trPr>
        <w:tc>
          <w:tcPr>
            <w:tcW w:type="dxa" w:w="3672"/>
            <w:vAlign w:val="center"/>
            <w:tcMar>
              <w:top w:w="85" w:type="dxa"/>
              <w:bottom w:w="85" w:type="dxa"/>
              <w:left w:w="95" w:type="dxa"/>
              <w:right w:w="95" w:type="dxa"/>
            </w:tcMar>
            <w:shd w:fill="F2F5F8"/>
          </w:tcPr>
          <w:p>
            <w:pPr>
              <w:spacing w:after="0" w:line="252" w:lineRule="auto"/>
            </w:pPr>
            <w:r>
              <w:rPr>
                <w:sz w:val="20"/>
              </w:rPr>
              <w:t>Document replaced or deleted</w:t>
            </w:r>
          </w:p>
        </w:tc>
        <w:tc>
          <w:tcPr>
            <w:tcW w:type="dxa" w:w="6408"/>
            <w:vAlign w:val="center"/>
            <w:tcMar>
              <w:top w:w="85" w:type="dxa"/>
              <w:bottom w:w="85" w:type="dxa"/>
              <w:left w:w="95" w:type="dxa"/>
              <w:right w:w="95" w:type="dxa"/>
            </w:tcMar>
            <w:shd w:fill="F2F5F8"/>
          </w:tcPr>
          <w:p>
            <w:pPr>
              <w:spacing w:after="0" w:line="252" w:lineRule="auto"/>
            </w:pPr>
            <w:r>
              <w:rPr>
                <w:sz w:val="20"/>
              </w:rPr>
              <w:t>New retrieval uses the correct active version; deleted data is excluded and purged as specified</w:t>
            </w:r>
          </w:p>
        </w:tc>
      </w:tr>
      <w:tr>
        <w:trPr>
          <w:cantSplit/>
        </w:trPr>
        <w:tc>
          <w:tcPr>
            <w:tcW w:type="dxa" w:w="3672"/>
            <w:vAlign w:val="center"/>
            <w:tcMar>
              <w:top w:w="85" w:type="dxa"/>
              <w:bottom w:w="85" w:type="dxa"/>
              <w:left w:w="95" w:type="dxa"/>
              <w:right w:w="95" w:type="dxa"/>
            </w:tcMar>
            <w:shd w:fill="FFFFFF"/>
          </w:tcPr>
          <w:p>
            <w:pPr>
              <w:spacing w:after="0" w:line="252" w:lineRule="auto"/>
            </w:pPr>
            <w:r>
              <w:rPr>
                <w:sz w:val="20"/>
              </w:rPr>
              <w:t>Final allowance used by simultaneous requests</w:t>
            </w:r>
          </w:p>
        </w:tc>
        <w:tc>
          <w:tcPr>
            <w:tcW w:type="dxa" w:w="6408"/>
            <w:vAlign w:val="center"/>
            <w:tcMar>
              <w:top w:w="85" w:type="dxa"/>
              <w:bottom w:w="85" w:type="dxa"/>
              <w:left w:w="95" w:type="dxa"/>
              <w:right w:w="95" w:type="dxa"/>
            </w:tcMar>
            <w:shd w:fill="FFFFFF"/>
          </w:tcPr>
          <w:p>
            <w:pPr>
              <w:spacing w:after="0" w:line="252" w:lineRule="auto"/>
            </w:pPr>
            <w:r>
              <w:rPr>
                <w:sz w:val="20"/>
              </w:rPr>
              <w:t>Atomic reservations permit only the valid remaining capacity</w:t>
            </w:r>
          </w:p>
        </w:tc>
      </w:tr>
      <w:tr>
        <w:trPr>
          <w:cantSplit/>
        </w:trPr>
        <w:tc>
          <w:tcPr>
            <w:tcW w:type="dxa" w:w="3672"/>
            <w:vAlign w:val="center"/>
            <w:tcMar>
              <w:top w:w="85" w:type="dxa"/>
              <w:bottom w:w="85" w:type="dxa"/>
              <w:left w:w="95" w:type="dxa"/>
              <w:right w:w="95" w:type="dxa"/>
            </w:tcMar>
            <w:shd w:fill="F2F5F8"/>
          </w:tcPr>
          <w:p>
            <w:pPr>
              <w:spacing w:after="0" w:line="252" w:lineRule="auto"/>
            </w:pPr>
            <w:r>
              <w:rPr>
                <w:sz w:val="20"/>
              </w:rPr>
              <w:t>Checkout completes while webhooks are delayed</w:t>
            </w:r>
          </w:p>
        </w:tc>
        <w:tc>
          <w:tcPr>
            <w:tcW w:type="dxa" w:w="6408"/>
            <w:vAlign w:val="center"/>
            <w:tcMar>
              <w:top w:w="85" w:type="dxa"/>
              <w:bottom w:w="85" w:type="dxa"/>
              <w:left w:w="95" w:type="dxa"/>
              <w:right w:w="95" w:type="dxa"/>
            </w:tcMar>
            <w:shd w:fill="F2F5F8"/>
          </w:tcPr>
          <w:p>
            <w:pPr>
              <w:spacing w:after="0" w:line="252" w:lineRule="auto"/>
            </w:pPr>
            <w:r>
              <w:rPr>
                <w:sz w:val="20"/>
              </w:rPr>
              <w:t>Pending state is visible; verified processing activates the correct plan once</w:t>
            </w:r>
          </w:p>
        </w:tc>
      </w:tr>
      <w:tr>
        <w:trPr>
          <w:cantSplit/>
        </w:trPr>
        <w:tc>
          <w:tcPr>
            <w:tcW w:type="dxa" w:w="3672"/>
            <w:vAlign w:val="center"/>
            <w:tcMar>
              <w:top w:w="85" w:type="dxa"/>
              <w:bottom w:w="85" w:type="dxa"/>
              <w:left w:w="95" w:type="dxa"/>
              <w:right w:w="95" w:type="dxa"/>
            </w:tcMar>
            <w:shd w:fill="FFFFFF"/>
          </w:tcPr>
          <w:p>
            <w:pPr>
              <w:spacing w:after="0" w:line="252" w:lineRule="auto"/>
            </w:pPr>
            <w:r>
              <w:rPr>
                <w:sz w:val="20"/>
              </w:rPr>
              <w:t>Duplicate and reordered billing events</w:t>
            </w:r>
          </w:p>
        </w:tc>
        <w:tc>
          <w:tcPr>
            <w:tcW w:type="dxa" w:w="6408"/>
            <w:vAlign w:val="center"/>
            <w:tcMar>
              <w:top w:w="85" w:type="dxa"/>
              <w:bottom w:w="85" w:type="dxa"/>
              <w:left w:w="95" w:type="dxa"/>
              <w:right w:w="95" w:type="dxa"/>
            </w:tcMar>
            <w:shd w:fill="FFFFFF"/>
          </w:tcPr>
          <w:p>
            <w:pPr>
              <w:spacing w:after="0" w:line="252" w:lineRule="auto"/>
            </w:pPr>
            <w:r>
              <w:rPr>
                <w:sz w:val="20"/>
              </w:rPr>
              <w:t>No duplicate allowance or charge; current entitlement state remains correct</w:t>
            </w:r>
          </w:p>
        </w:tc>
      </w:tr>
      <w:tr>
        <w:trPr>
          <w:cantSplit/>
        </w:trPr>
        <w:tc>
          <w:tcPr>
            <w:tcW w:type="dxa" w:w="3672"/>
            <w:vAlign w:val="center"/>
            <w:tcMar>
              <w:top w:w="85" w:type="dxa"/>
              <w:bottom w:w="85" w:type="dxa"/>
              <w:left w:w="95" w:type="dxa"/>
              <w:right w:w="95" w:type="dxa"/>
            </w:tcMar>
            <w:shd w:fill="F2F5F8"/>
          </w:tcPr>
          <w:p>
            <w:pPr>
              <w:spacing w:after="0" w:line="252" w:lineRule="auto"/>
            </w:pPr>
            <w:r>
              <w:rPr>
                <w:sz w:val="20"/>
              </w:rPr>
              <w:t>Worker crashes during ingestion</w:t>
            </w:r>
          </w:p>
        </w:tc>
        <w:tc>
          <w:tcPr>
            <w:tcW w:type="dxa" w:w="6408"/>
            <w:vAlign w:val="center"/>
            <w:tcMar>
              <w:top w:w="85" w:type="dxa"/>
              <w:bottom w:w="85" w:type="dxa"/>
              <w:left w:w="95" w:type="dxa"/>
              <w:right w:w="95" w:type="dxa"/>
            </w:tcMar>
            <w:shd w:fill="F2F5F8"/>
          </w:tcPr>
          <w:p>
            <w:pPr>
              <w:spacing w:after="0" w:line="252" w:lineRule="auto"/>
            </w:pPr>
            <w:r>
              <w:rPr>
                <w:sz w:val="20"/>
              </w:rPr>
              <w:t>Safe retry reaches a truthful state without duplicate documents or abandoned quota</w:t>
            </w:r>
          </w:p>
        </w:tc>
      </w:tr>
      <w:tr>
        <w:trPr>
          <w:cantSplit/>
        </w:trPr>
        <w:tc>
          <w:tcPr>
            <w:tcW w:type="dxa" w:w="3672"/>
            <w:vAlign w:val="center"/>
            <w:tcMar>
              <w:top w:w="85" w:type="dxa"/>
              <w:bottom w:w="85" w:type="dxa"/>
              <w:left w:w="95" w:type="dxa"/>
              <w:right w:w="95" w:type="dxa"/>
            </w:tcMar>
            <w:shd w:fill="FFFFFF"/>
          </w:tcPr>
          <w:p>
            <w:pPr>
              <w:spacing w:after="0" w:line="252" w:lineRule="auto"/>
            </w:pPr>
            <w:r>
              <w:rPr>
                <w:sz w:val="20"/>
              </w:rPr>
              <w:t>Unsupported question or malicious document instruction</w:t>
            </w:r>
          </w:p>
        </w:tc>
        <w:tc>
          <w:tcPr>
            <w:tcW w:type="dxa" w:w="6408"/>
            <w:vAlign w:val="center"/>
            <w:tcMar>
              <w:top w:w="85" w:type="dxa"/>
              <w:bottom w:w="85" w:type="dxa"/>
              <w:left w:w="95" w:type="dxa"/>
              <w:right w:w="95" w:type="dxa"/>
            </w:tcMar>
            <w:shd w:fill="FFFFFF"/>
          </w:tcPr>
          <w:p>
            <w:pPr>
              <w:spacing w:after="0" w:line="252" w:lineRule="auto"/>
            </w:pPr>
            <w:r>
              <w:rPr>
                <w:sz w:val="20"/>
              </w:rPr>
              <w:t>Evidence limitations are explained; unauthorized tools and data remain inaccessible</w:t>
            </w:r>
          </w:p>
        </w:tc>
      </w:tr>
      <w:tr>
        <w:trPr>
          <w:cantSplit/>
        </w:trPr>
        <w:tc>
          <w:tcPr>
            <w:tcW w:type="dxa" w:w="3672"/>
            <w:vAlign w:val="center"/>
            <w:tcMar>
              <w:top w:w="85" w:type="dxa"/>
              <w:bottom w:w="85" w:type="dxa"/>
              <w:left w:w="95" w:type="dxa"/>
              <w:right w:w="95" w:type="dxa"/>
            </w:tcMar>
            <w:shd w:fill="F2F5F8"/>
          </w:tcPr>
          <w:p>
            <w:pPr>
              <w:spacing w:after="0" w:line="252" w:lineRule="auto"/>
            </w:pPr>
            <w:r>
              <w:rPr>
                <w:sz w:val="20"/>
              </w:rPr>
              <w:t>Subscription cancellation and failed renewal</w:t>
            </w:r>
          </w:p>
        </w:tc>
        <w:tc>
          <w:tcPr>
            <w:tcW w:type="dxa" w:w="6408"/>
            <w:vAlign w:val="center"/>
            <w:tcMar>
              <w:top w:w="85" w:type="dxa"/>
              <w:bottom w:w="85" w:type="dxa"/>
              <w:left w:w="95" w:type="dxa"/>
              <w:right w:w="95" w:type="dxa"/>
            </w:tcMar>
            <w:shd w:fill="F2F5F8"/>
          </w:tcPr>
          <w:p>
            <w:pPr>
              <w:spacing w:after="0" w:line="252" w:lineRule="auto"/>
            </w:pPr>
            <w:r>
              <w:rPr>
                <w:sz w:val="20"/>
              </w:rPr>
              <w:t>Access changes at the documented time; export and retention behavior remain correct</w:t>
            </w:r>
          </w:p>
        </w:tc>
      </w:tr>
      <w:tr>
        <w:trPr>
          <w:cantSplit/>
        </w:trPr>
        <w:tc>
          <w:tcPr>
            <w:tcW w:type="dxa" w:w="3672"/>
            <w:vAlign w:val="center"/>
            <w:tcMar>
              <w:top w:w="85" w:type="dxa"/>
              <w:bottom w:w="85" w:type="dxa"/>
              <w:left w:w="95" w:type="dxa"/>
              <w:right w:w="95" w:type="dxa"/>
            </w:tcMar>
            <w:shd w:fill="FFFFFF"/>
          </w:tcPr>
          <w:p>
            <w:pPr>
              <w:spacing w:after="0" w:line="252" w:lineRule="auto"/>
            </w:pPr>
            <w:r>
              <w:rPr>
                <w:sz w:val="20"/>
              </w:rPr>
              <w:t>English and Traditional Chinese mobile journey</w:t>
            </w:r>
          </w:p>
        </w:tc>
        <w:tc>
          <w:tcPr>
            <w:tcW w:type="dxa" w:w="6408"/>
            <w:vAlign w:val="center"/>
            <w:tcMar>
              <w:top w:w="85" w:type="dxa"/>
              <w:bottom w:w="85" w:type="dxa"/>
              <w:left w:w="95" w:type="dxa"/>
              <w:right w:w="95" w:type="dxa"/>
            </w:tcMar>
            <w:shd w:fill="FFFFFF"/>
          </w:tcPr>
          <w:p>
            <w:pPr>
              <w:spacing w:after="0" w:line="252" w:lineRule="auto"/>
            </w:pPr>
            <w:r>
              <w:rPr>
                <w:sz w:val="20"/>
              </w:rPr>
              <w:t>No missing critical translations, clipped controls, or blocked payment and recovery flows</w:t>
            </w:r>
          </w:p>
        </w:tc>
      </w:tr>
      <w:tr>
        <w:trPr>
          <w:cantSplit/>
        </w:trPr>
        <w:tc>
          <w:tcPr>
            <w:tcW w:type="dxa" w:w="3672"/>
            <w:vAlign w:val="center"/>
            <w:tcMar>
              <w:top w:w="85" w:type="dxa"/>
              <w:bottom w:w="85" w:type="dxa"/>
              <w:left w:w="95" w:type="dxa"/>
              <w:right w:w="95" w:type="dxa"/>
            </w:tcMar>
            <w:shd w:fill="F2F5F8"/>
          </w:tcPr>
          <w:p>
            <w:pPr>
              <w:spacing w:after="0" w:line="252" w:lineRule="auto"/>
            </w:pPr>
            <w:r>
              <w:rPr>
                <w:sz w:val="20"/>
              </w:rPr>
              <w:t>Restore after explicit deletion</w:t>
            </w:r>
          </w:p>
        </w:tc>
        <w:tc>
          <w:tcPr>
            <w:tcW w:type="dxa" w:w="6408"/>
            <w:vAlign w:val="center"/>
            <w:tcMar>
              <w:top w:w="85" w:type="dxa"/>
              <w:bottom w:w="85" w:type="dxa"/>
              <w:left w:w="95" w:type="dxa"/>
              <w:right w:w="95" w:type="dxa"/>
            </w:tcMar>
            <w:shd w:fill="F2F5F8"/>
          </w:tcPr>
          <w:p>
            <w:pPr>
              <w:spacing w:after="0" w:line="252" w:lineRule="auto"/>
            </w:pPr>
            <w:r>
              <w:rPr>
                <w:sz w:val="20"/>
              </w:rPr>
              <w:t>Service recovers within the tested objective without re-exposing deleted information</w:t>
            </w:r>
          </w:p>
        </w:tc>
      </w:tr>
    </w:tbl>
    <w:p>
      <w:pPr>
        <w:spacing w:after="60" w:before="0" w:line="48" w:lineRule="auto"/>
      </w:pPr>
      <w:r>
        <w:rPr>
          <w:sz w:val="4"/>
        </w:rPr>
      </w:r>
    </w:p>
    <w:p>
      <w:r>
        <w:t>The launch gate requires all P0 workflows passing, no unresolved critical or high-severity authorization or billing defect, quality evaluation meeting the agreed threshold, successful restoration, approved public commercial content, and a named support owner. Real payment verification must use an authorized controlled transaction and documented refund procedure when necessary.</w:t>
      </w:r>
    </w:p>
    <w:p>
      <w:r>
        <w:t>Roll out first to staff using synthetic data, then to five design partners, then to a capped group of paid organizations. Monitor cost, latency, errors, and answer feedback during each expansion. Maintain the ability to pause signups, uploads, generation, or checkout independently. A model outage should not prevent billing review, data export, or reading public help.</w:t>
      </w:r>
    </w:p>
    <w:p>
      <w:bookmarkStart w:id="23" w:name="section_23"/>
      <w:pPr>
        <w:pStyle w:val="Heading1"/>
      </w:pPr>
      <w:r>
        <w:t>23 Risks and decision register</w:t>
      </w:r>
      <w:bookmarkEnd w:id="23"/>
    </w:p>
    <w:p>
      <w:r>
        <w:t>The largest commercial risk is weak recurring use after the initial demonstration. Address it through observed customer tasks and a narrow first use case. If customers do not return, investigate document quality, question frequency, answer usefulness, and onboarding before adding more features or increasing advertising.</w:t>
      </w:r>
    </w:p>
    <w:p>
      <w:r>
        <w:t>The largest delivery risk is scope expansion across a website, an assistant, a document editor, a workflow builder, and a marketplace. Keep the first release tied to the approved journey. A second product enters planning only after the first product has paying retention evidence and sufficient support capacity.</w:t>
      </w:r>
    </w:p>
    <w:p>
      <w:r>
        <w:t>Technical risks include incorrect answers, source mismatches, tenant leakage, uncontrolled model spending, asynchronous payment errors, and deletion gaps. The controls in this PRD assign observable behaviors and release tests to each risk. Avoid presenting a single technology choice or a security badge as proof that those risks are solved.</w:t>
      </w:r>
    </w:p>
    <w:p>
      <w:r>
        <w:t>The product owner must resolve the following before their respective implementation or publication gates: final brand and domain; contracting entity; supported launch markets; data-processing region and providers; approved prices and quotas; support hours; final retention policy; initial demo content; and whether a customer reference can be published. Maintain an owner, due date, and decision record for each item.</w:t>
      </w:r>
    </w:p>
    <w:p>
      <w:r>
        <w:t>The recommendation is to approve the Knowledge Workspace scope, validate it with prospective buyers, and proceed through the staged release plan. Product expansion should follow measured customer value, dependable operations, and sustainable delivery costs.</w:t>
      </w:r>
    </w:p>
    <w:p>
      <w:bookmarkStart w:id="24" w:name="section_24"/>
      <w:pPr>
        <w:pStyle w:val="Heading1"/>
      </w:pPr>
      <w:r>
        <w:t>24 Reference sources</w:t>
      </w:r>
      <w:bookmarkEnd w:id="24"/>
    </w:p>
    <w:p>
      <w:pPr>
        <w:spacing w:after="160"/>
      </w:pPr>
      <w:r>
        <w:t>The sources below support platform behavior and external standards. Product scope, prices, quotas, schedules, and commercial targets are proposed requirements. Source guidance was reviewed for this document on 24 October 2026 and must be rechecked when implementation decisions depend on changed provider behavior.</w:t>
      </w:r>
    </w:p>
    <w:p>
      <w:pPr>
        <w:spacing w:after="160"/>
      </w:pPr>
      <w:r>
        <w:t xml:space="preserve">[1] Next.js. How to implement authentication in Next.js. </w:t>
      </w:r>
      <w:hyperlink r:id="rId9">
        <w:r>
          <w:rPr>
            <w:color w:val="175A88"/>
            <w:rFonts w:ascii="Nimbus Sans" w:hAnsi="Nimbus Sans"/>
          </w:rPr>
          <w:t>https://nextjs.org/docs/app/guides/authentication</w:t>
        </w:r>
      </w:hyperlink>
    </w:p>
    <w:p>
      <w:pPr>
        <w:spacing w:after="160"/>
      </w:pPr>
      <w:r>
        <w:t xml:space="preserve">[2] Supabase. Row Level Security. </w:t>
      </w:r>
      <w:hyperlink r:id="rId10">
        <w:r>
          <w:rPr>
            <w:color w:val="175A88"/>
            <w:rFonts w:ascii="Nimbus Sans" w:hAnsi="Nimbus Sans"/>
          </w:rPr>
          <w:t>https://supabase.com/docs/guides/database/postgres/row-level-security</w:t>
        </w:r>
      </w:hyperlink>
    </w:p>
    <w:p>
      <w:pPr>
        <w:spacing w:after="160"/>
      </w:pPr>
      <w:r>
        <w:t xml:space="preserve">[3] Stripe. Receive Stripe events in your webhook endpoint. </w:t>
      </w:r>
      <w:hyperlink r:id="rId11">
        <w:r>
          <w:rPr>
            <w:color w:val="175A88"/>
            <w:rFonts w:ascii="Nimbus Sans" w:hAnsi="Nimbus Sans"/>
          </w:rPr>
          <w:t>https://docs.stripe.com/webhooks</w:t>
        </w:r>
      </w:hyperlink>
    </w:p>
    <w:p>
      <w:pPr>
        <w:spacing w:after="160"/>
      </w:pPr>
      <w:r>
        <w:t xml:space="preserve">[4] Stripe. Using webhooks with subscriptions. </w:t>
      </w:r>
      <w:hyperlink r:id="rId12">
        <w:r>
          <w:rPr>
            <w:color w:val="175A88"/>
            <w:rFonts w:ascii="Nimbus Sans" w:hAnsi="Nimbus Sans"/>
          </w:rPr>
          <w:t>https://docs.stripe.com/billing/subscriptions/webhooks</w:t>
        </w:r>
      </w:hyperlink>
    </w:p>
    <w:p>
      <w:pPr>
        <w:spacing w:after="160"/>
      </w:pPr>
      <w:r>
        <w:t xml:space="preserve">[5] OWASP Gen AI Security Project. LLM01 Prompt Injection. </w:t>
      </w:r>
      <w:hyperlink r:id="rId13">
        <w:r>
          <w:rPr>
            <w:color w:val="175A88"/>
            <w:rFonts w:ascii="Nimbus Sans" w:hAnsi="Nimbus Sans"/>
          </w:rPr>
          <w:t>https://genai.owasp.org/llmrisk/llm01-prompt-injection/</w:t>
        </w:r>
      </w:hyperlink>
    </w:p>
    <w:p>
      <w:pPr>
        <w:spacing w:after="160"/>
      </w:pPr>
      <w:r>
        <w:t xml:space="preserve">[6] World Wide Web Consortium. Web Content Accessibility Guidelines 2.2. </w:t>
      </w:r>
      <w:hyperlink r:id="rId14">
        <w:r>
          <w:rPr>
            <w:color w:val="175A88"/>
            <w:rFonts w:ascii="Nimbus Sans" w:hAnsi="Nimbus Sans"/>
          </w:rPr>
          <w:t>https://www.w3.org/TR/WCAG22/</w:t>
        </w:r>
      </w:hyperlink>
    </w:p>
    <w:p>
      <w:pPr>
        <w:spacing w:after="160"/>
      </w:pPr>
      <w:r>
        <w:t xml:space="preserve">[7] Google web.dev. Web Vitals. </w:t>
      </w:r>
      <w:hyperlink r:id="rId15">
        <w:r>
          <w:rPr>
            <w:color w:val="175A88"/>
            <w:rFonts w:ascii="Nimbus Sans" w:hAnsi="Nimbus Sans"/>
          </w:rPr>
          <w:t>https://web.dev/articles/vitals</w:t>
        </w:r>
      </w:hyperlink>
    </w:p>
    <w:p>
      <w:pPr>
        <w:spacing w:after="160"/>
      </w:pPr>
      <w:r>
        <w:t xml:space="preserve">[8] Google Search Central. Managing multi-regional and multilingual sites. </w:t>
      </w:r>
      <w:hyperlink r:id="rId16">
        <w:r>
          <w:rPr>
            <w:color w:val="175A88"/>
            <w:rFonts w:ascii="Nimbus Sans" w:hAnsi="Nimbus Sans"/>
          </w:rPr>
          <w:t>https://developers.google.com/search/docs/specialty/international/managing-multi-regional-sites</w:t>
        </w:r>
      </w:hyperlink>
    </w:p>
    <w:p>
      <w:pPr>
        <w:spacing w:after="160"/>
      </w:pPr>
      <w:r>
        <w:t xml:space="preserve">[9] Office of the Privacy Commissioner for Personal Data Hong Kong. Artificial Intelligence Model Personal Data Protection Framework. </w:t>
      </w:r>
      <w:hyperlink r:id="rId17">
        <w:r>
          <w:rPr>
            <w:color w:val="175A88"/>
            <w:rFonts w:ascii="Nimbus Sans" w:hAnsi="Nimbus Sans"/>
          </w:rPr>
          <w:t>https://www.pcpd.org.hk/english/resources_centre/publications/files/ai_protection_framework.pdf</w:t>
        </w:r>
      </w:hyperlink>
    </w:p>
    <w:sectPr w:rsidR="00FC693F" w:rsidRPr="0006063C" w:rsidSect="00034616">
      <w:footerReference w:type="default" r:id="rId18"/>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imbus Sans" w:hAnsi="Nimbus Sans"/>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Nimbus Sans" w:hAnsi="Nimbus Sans" w:eastAsia="Nimbus Sans" w:cs="Nimbus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Nimbus Sans" w:hAnsi="Nimbus Sans" w:eastAsia="Nimbus Sans" w:cs="Nimbus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Nimbus Sans" w:hAnsi="Nimbus Sans" w:eastAsia="Nimbus Sans" w:cs="Nimbus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Nimbus Sans" w:hAnsi="Nimbus Sans" w:eastAsia="Nimbus Sans" w:cs="Nimbus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Nimbus Sans" w:hAnsi="Nimbus Sans" w:eastAsia="Nimbus Sans" w:cs="Nimbus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00"/>
    </w:pPr>
    <w:rPr>
      <w:rFonts w:ascii="Nimbus Sans" w:hAnsi="Nimbus Sans" w:eastAsia="Nimbus Sans" w:cs="Nimbus San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xtjs.org/docs/app/guides/authentication" TargetMode="External"/><Relationship Id="rId10" Type="http://schemas.openxmlformats.org/officeDocument/2006/relationships/hyperlink" Target="https://supabase.com/docs/guides/database/postgres/row-level-security" TargetMode="External"/><Relationship Id="rId11" Type="http://schemas.openxmlformats.org/officeDocument/2006/relationships/hyperlink" Target="https://docs.stripe.com/webhooks" TargetMode="External"/><Relationship Id="rId12" Type="http://schemas.openxmlformats.org/officeDocument/2006/relationships/hyperlink" Target="https://docs.stripe.com/billing/subscriptions/webhooks" TargetMode="External"/><Relationship Id="rId13" Type="http://schemas.openxmlformats.org/officeDocument/2006/relationships/hyperlink" Target="https://genai.owasp.org/llmrisk/llm01-prompt-injection/" TargetMode="External"/><Relationship Id="rId14" Type="http://schemas.openxmlformats.org/officeDocument/2006/relationships/hyperlink" Target="https://www.w3.org/TR/WCAG22/" TargetMode="External"/><Relationship Id="rId15" Type="http://schemas.openxmlformats.org/officeDocument/2006/relationships/hyperlink" Target="https://web.dev/articles/vitals" TargetMode="External"/><Relationship Id="rId16" Type="http://schemas.openxmlformats.org/officeDocument/2006/relationships/hyperlink" Target="https://developers.google.com/search/docs/specialty/international/managing-multi-regional-sites" TargetMode="External"/><Relationship Id="rId17" Type="http://schemas.openxmlformats.org/officeDocument/2006/relationships/hyperlink" Target="https://www.pcpd.org.hk/english/resources_centre/publications/files/ai_protection_framework.pdf"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Stargazer AI SaaS Website Product Requirements</dc:title>
  <dc:subject>Product scope, website, customer workspace and implementation requirements</dc:subject>
  <dc:creator/>
  <cp:keywords>Stargazer, AI SaaS, PRD, knowledge workspace</cp:keywords>
  <dc:description/>
  <cp:lastModifiedBy/>
  <cp:revision>1</cp:revision>
  <dcterms:created xsi:type="dcterms:W3CDTF">2013-12-23T23:15:00Z</dcterms:created>
  <dcterms:modified xsi:type="dcterms:W3CDTF">2013-12-23T23:15:00Z</dcterms:modified>
  <cp:category/>
</cp:coreProperties>
</file>