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 Алексей Петрович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