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F711F7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F711F7">
        <w:rPr>
          <w:rFonts w:ascii="Times New Roman" w:hAnsi="Times New Roman" w:cs="Times New Roman"/>
          <w:sz w:val="24"/>
          <w:szCs w:val="24"/>
        </w:rPr>
        <w:t xml:space="preserve">ООО "Мир Билета"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sz w:val="24"/>
          <w:szCs w:val="24"/>
        </w:rPr>
        <w:t/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sz w:val="24"/>
          <w:szCs w:val="24"/>
        </w:rPr>
        <w:t xml:space="preserve"/>
      </w:r>
      <w:r w:rsidR="0047304E" w:rsidRPr="00F711F7">
        <w:rPr>
          <w:rFonts w:ascii="Times New Roman" w:hAnsi="Times New Roman" w:cs="Times New Roman"/>
          <w:bCs/>
          <w:sz w:val="24"/>
          <w:szCs w:val="24"/>
        </w:rPr>
        <w:t>,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, в лице</w:t>
      </w:r>
      <w:r w:rsidRPr="00F711F7">
        <w:rPr>
          <w:rFonts w:ascii="Times New Roman" w:hAnsi="Times New Roman" w:cs="Times New Roman"/>
          <w:bCs/>
          <w:sz w:val="24"/>
          <w:szCs w:val="24"/>
        </w:rPr>
        <w:t xml:space="preserve"> Гоптарева Ивана Ивановича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A2003B">
        <w:rPr>
          <w:rFonts w:ascii="Times New Roman" w:hAnsi="Times New Roman" w:cs="Times New Roman"/>
          <w:bCs/>
          <w:sz w:val="24"/>
          <w:szCs w:val="24"/>
        </w:rPr>
        <w:t>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Pr="00F711F7">
        <w:rPr>
          <w:rFonts w:ascii="Times New Roman" w:hAnsi="Times New Roman" w:cs="Times New Roman"/>
          <w:sz w:val="24"/>
          <w:szCs w:val="24"/>
        </w:rPr>
        <w:t xml:space="preserve">ООО "Мир Билетов"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sz w:val="24"/>
          <w:szCs w:val="24"/>
        </w:rPr>
        <w:t xml:space="preserve"/>
      </w:r>
      <w:r w:rsidRPr="00F711F7">
        <w:rPr>
          <w:rFonts w:ascii="Times New Roman" w:hAnsi="Times New Roman" w:cs="Times New Roman"/>
          <w:bCs/>
          <w:sz w:val="24"/>
          <w:szCs w:val="24"/>
        </w:rPr>
        <w:t>,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F711F7">
        <w:rPr>
          <w:rFonts w:ascii="Times New Roman" w:hAnsi="Times New Roman" w:cs="Times New Roman"/>
          <w:bCs/>
          <w:sz w:val="24"/>
          <w:szCs w:val="24"/>
        </w:rPr>
        <w:t xml:space="preserve">Гоптарева Александра Ивановича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F711F7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C84737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lastRenderedPageBreak/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lastRenderedPageBreak/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lastRenderedPageBreak/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</w:t>
      </w:r>
      <w:r w:rsidRPr="00C84737">
        <w:rPr>
          <w:sz w:val="24"/>
          <w:szCs w:val="24"/>
        </w:rPr>
        <w:lastRenderedPageBreak/>
        <w:t>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удовлетворением иных законных и 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>тороной 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 xml:space="preserve">ьменного </w:t>
      </w:r>
      <w:r w:rsidR="000B5101" w:rsidRPr="00C84737">
        <w:rPr>
          <w:szCs w:val="24"/>
        </w:rPr>
        <w:lastRenderedPageBreak/>
        <w:t>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43"/>
        <w:gridCol w:w="472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10328" w:rsidRPr="00464004" w:rsidSect="00E4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BDD" w:rsidRDefault="00164BDD" w:rsidP="00C84737">
      <w:pPr>
        <w:spacing w:after="0" w:line="240" w:lineRule="auto"/>
      </w:pPr>
      <w:r>
        <w:separator/>
      </w:r>
    </w:p>
  </w:endnote>
  <w:endnote w:type="continuationSeparator" w:id="0">
    <w:p w:rsidR="00164BDD" w:rsidRDefault="00164BDD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BDD" w:rsidRDefault="00164BDD" w:rsidP="00C84737">
      <w:pPr>
        <w:spacing w:after="0" w:line="240" w:lineRule="auto"/>
      </w:pPr>
      <w:r>
        <w:separator/>
      </w:r>
    </w:p>
  </w:footnote>
  <w:footnote w:type="continuationSeparator" w:id="0">
    <w:p w:rsidR="00164BDD" w:rsidRDefault="00164BDD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36A6B"/>
    <w:rsid w:val="00164BDD"/>
    <w:rsid w:val="00165C9C"/>
    <w:rsid w:val="001848DB"/>
    <w:rsid w:val="00196212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7743C"/>
    <w:rsid w:val="00786D07"/>
    <w:rsid w:val="00796A09"/>
    <w:rsid w:val="007A4D25"/>
    <w:rsid w:val="007D7BAB"/>
    <w:rsid w:val="007E1006"/>
    <w:rsid w:val="00823949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40747"/>
    <w:rsid w:val="00E6557B"/>
    <w:rsid w:val="00E7402D"/>
    <w:rsid w:val="00E76A01"/>
    <w:rsid w:val="00ED66EA"/>
    <w:rsid w:val="00EF0273"/>
    <w:rsid w:val="00F03C18"/>
    <w:rsid w:val="00F52BF7"/>
    <w:rsid w:val="00F711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747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7E9AC-1B72-484D-B286-04691EF5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3</cp:revision>
  <cp:lastPrinted>2015-04-23T11:20:00Z</cp:lastPrinted>
  <dcterms:created xsi:type="dcterms:W3CDTF">2016-07-16T16:08:00Z</dcterms:created>
  <dcterms:modified xsi:type="dcterms:W3CDTF">2016-07-16T16:10:00Z</dcterms:modified>
</cp:coreProperties>
</file>