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28"/>
          <w:szCs w:val="28"/>
        </w:rPr>
        <w:t xml:space="preserve">Consulta de datos CAFCI para proyecto de investigación</w:t>
      </w:r>
    </w:p>
    <w:p>
      <w:pPr>
        <w:spacing w:after="100"/>
        <w:jc w:val="both"/>
      </w:pPr>
      <w:r>
        <w:rPr>
          <w:rFonts w:ascii="Calibri" w:cs="Calibri" w:eastAsia="Calibri" w:hAnsi="Calibri"/>
          <w:sz w:val="21"/>
          <w:szCs w:val="21"/>
        </w:rPr>
        <w:t xml:space="preserve">Como parte del proyecto de investigación, nos interesa entender cómo los fondos de mercado de dinero se convirtieron en el vehículo del dinero transaccional de las billeteras, y qué consecuencias tuvo eso sobre la manera en que la banca se fondea. La consulta se organiza en cuatro puntos. Debajo de cada uno figuran los datos publicados que ya consultamos y los que necesitamos y no encontramos publicados.</w:t>
      </w:r>
    </w:p>
    <w:p>
      <w:pPr>
        <w:spacing w:after="90" w:before="280"/>
      </w:pPr>
      <w:r>
        <w:rPr>
          <w:rFonts w:ascii="Calibri" w:cs="Calibri" w:eastAsia="Calibri" w:hAnsi="Calibri"/>
          <w:b/>
          <w:bCs/>
          <w:color w:val="1F3864"/>
          <w:sz w:val="24"/>
          <w:szCs w:val="24"/>
        </w:rPr>
        <w:t xml:space="preserve">1. El cuadro de cuotapartistas, abierto por fondo y por agente de colocación</w:t>
      </w:r>
    </w:p>
    <w:p>
      <w:pPr>
        <w:spacing w:after="50" w:before="130"/>
      </w:pPr>
      <w:r>
        <w:rPr>
          <w:rFonts w:ascii="Calibri" w:cs="Calibri" w:eastAsia="Calibri" w:hAnsi="Calibri"/>
          <w:b/>
          <w:bCs/>
          <w:sz w:val="21"/>
          <w:szCs w:val="21"/>
        </w:rPr>
        <w:t xml:space="preserve">Lo que ya consultamos</w:t>
      </w:r>
    </w:p>
    <w:p>
      <w:pPr>
        <w:pStyle w:val="ListParagraph"/>
        <w:numPr>
          <w:ilvl w:val="0"/>
          <w:numId w:val="2"/>
        </w:numPr>
        <w:spacing w:after="100"/>
        <w:jc w:val="both"/>
      </w:pPr>
      <w:r>
        <w:rPr>
          <w:rFonts w:ascii="Calibri" w:cs="Calibri" w:eastAsia="Calibri" w:hAnsi="Calibri"/>
          <w:sz w:val="21"/>
          <w:szCs w:val="21"/>
        </w:rPr>
        <w:t xml:space="preserve">En el resumen mensual, el cuadro “Industria de FCI Abiertos – Evolución de las Inversiones de los Cuotapartistas”: monto y cantidad de cuentas por categoría de cuotapartista (ACDIs, entidades financieras, sociedades gerentes, etcétera), a nivel del total de la industria.</w:t>
      </w:r>
    </w:p>
    <w:p>
      <w:pPr>
        <w:spacing w:after="50" w:before="130"/>
      </w:pPr>
      <w:r>
        <w:rPr>
          <w:rFonts w:ascii="Calibri" w:cs="Calibri" w:eastAsia="Calibri" w:hAnsi="Calibri"/>
          <w:b/>
          <w:bCs/>
          <w:sz w:val="21"/>
          <w:szCs w:val="21"/>
        </w:rPr>
        <w:t xml:space="preserve">Lo que necesitamos</w:t>
      </w:r>
    </w:p>
    <w:p>
      <w:pPr>
        <w:spacing w:after="100"/>
        <w:jc w:val="both"/>
      </w:pPr>
      <w:r>
        <w:rPr>
          <w:rFonts w:ascii="Calibri" w:cs="Calibri" w:eastAsia="Calibri" w:hAnsi="Calibri"/>
          <w:sz w:val="21"/>
          <w:szCs w:val="21"/>
        </w:rPr>
        <w:t xml:space="preserve">La fila ACDIs del cuadro publicado agrega a todos los agentes de colocación en un solo número. Lo que necesitamos saber es si detrás de ese total existe alguna desagregación por agente, y en tal caso:</w:t>
      </w:r>
    </w:p>
    <w:p>
      <w:pPr>
        <w:pStyle w:val="ListParagraph"/>
        <w:numPr>
          <w:ilvl w:val="0"/>
          <w:numId w:val="2"/>
        </w:numPr>
        <w:spacing w:after="100"/>
        <w:jc w:val="both"/>
      </w:pPr>
      <w:r>
        <w:rPr>
          <w:rFonts w:ascii="Calibri" w:cs="Calibri" w:eastAsia="Calibri" w:hAnsi="Calibri"/>
          <w:sz w:val="21"/>
          <w:szCs w:val="21"/>
          <w:u w:val="single"/>
        </w:rPr>
        <w:t xml:space="preserve">El mismo cuadro, pero por fondo: para cada fondo (o clase de cuotaparte), la cantidad de cuentas de cada categoría de cuotapartista y, si se registra, el monto. Si es posible, mensual y desde el primer mes disponible.</w:t>
      </w:r>
    </w:p>
    <w:p>
      <w:pPr>
        <w:pStyle w:val="ListParagraph"/>
        <w:numPr>
          <w:ilvl w:val="0"/>
          <w:numId w:val="2"/>
        </w:numPr>
        <w:spacing w:after="100"/>
        <w:jc w:val="both"/>
      </w:pPr>
      <w:r>
        <w:rPr>
          <w:rFonts w:ascii="Calibri" w:cs="Calibri" w:eastAsia="Calibri" w:hAnsi="Calibri"/>
          <w:sz w:val="21"/>
          <w:szCs w:val="21"/>
          <w:u w:val="single"/>
        </w:rPr>
        <w:t xml:space="preserve">La fila ACDIs abierta por agente de colocación individual, identificando cuáles de esos agentes son proveedores de servicios de pago (Mercado Pago, Personal Pay, etcétera).</w:t>
      </w:r>
      <w:r>
        <w:rPr>
          <w:rFonts w:ascii="Calibri" w:cs="Calibri" w:eastAsia="Calibri" w:hAnsi="Calibri"/>
          <w:sz w:val="21"/>
          <w:szCs w:val="21"/>
        </w:rPr>
        <w:t xml:space="preserve"> Es el dato central del proyecto: permitiría distinguir, dentro de un mismo fondo, cuánto del fondeo entra por cada billetera y cuánto por los canales tradicionales.</w:t>
      </w:r>
    </w:p>
    <w:p>
      <w:pPr>
        <w:pStyle w:val="ListParagraph"/>
        <w:numPr>
          <w:ilvl w:val="0"/>
          <w:numId w:val="2"/>
        </w:numPr>
        <w:spacing w:after="100"/>
        <w:jc w:val="both"/>
      </w:pPr>
      <w:r>
        <w:rPr>
          <w:rFonts w:ascii="Calibri" w:cs="Calibri" w:eastAsia="Calibri" w:hAnsi="Calibri"/>
          <w:sz w:val="21"/>
          <w:szCs w:val="21"/>
        </w:rPr>
        <w:t xml:space="preserve">Cualquier versión intermedia sirve: por ejemplo, separar los ACDIs que son PSP de los que no lo son; agentes anonimizados pero consistentes en el tiempo; o el detalle por fondo sin la apertura por agente.</w:t>
      </w:r>
    </w:p>
    <w:p>
      <w:pPr>
        <w:spacing w:after="90" w:before="280"/>
      </w:pPr>
      <w:r>
        <w:rPr>
          <w:rFonts w:ascii="Calibri" w:cs="Calibri" w:eastAsia="Calibri" w:hAnsi="Calibri"/>
          <w:b/>
          <w:bCs/>
          <w:color w:val="1F3864"/>
          <w:sz w:val="24"/>
          <w:szCs w:val="24"/>
        </w:rPr>
        <w:t xml:space="preserve">2. La información diaria por clase, en su serie histórica, con suscripciones y rescates</w:t>
      </w:r>
    </w:p>
    <w:p>
      <w:pPr>
        <w:spacing w:after="50" w:before="130"/>
      </w:pPr>
      <w:r>
        <w:rPr>
          <w:rFonts w:ascii="Calibri" w:cs="Calibri" w:eastAsia="Calibri" w:hAnsi="Calibri"/>
          <w:b/>
          <w:bCs/>
          <w:sz w:val="21"/>
          <w:szCs w:val="21"/>
        </w:rPr>
        <w:t xml:space="preserve">Lo que ya consultamos</w:t>
      </w:r>
    </w:p>
    <w:p>
      <w:pPr>
        <w:pStyle w:val="ListParagraph"/>
        <w:numPr>
          <w:ilvl w:val="0"/>
          <w:numId w:val="2"/>
        </w:numPr>
        <w:spacing w:after="100"/>
        <w:jc w:val="both"/>
      </w:pPr>
      <w:r>
        <w:rPr>
          <w:rFonts w:ascii="Calibri" w:cs="Calibri" w:eastAsia="Calibri" w:hAnsi="Calibri"/>
          <w:sz w:val="21"/>
          <w:szCs w:val="21"/>
        </w:rPr>
        <w:t xml:space="preserve">En el sitio de estadísticas, la pantalla “Información Diaria”: patrimonio, cantidad de cuotapartes y valor de cuotaparte, por fondo y clase, únicamente para el día corriente.</w:t>
      </w:r>
    </w:p>
    <w:p>
      <w:pPr>
        <w:spacing w:after="50" w:before="130"/>
      </w:pPr>
      <w:r>
        <w:rPr>
          <w:rFonts w:ascii="Calibri" w:cs="Calibri" w:eastAsia="Calibri" w:hAnsi="Calibri"/>
          <w:b/>
          <w:bCs/>
          <w:sz w:val="21"/>
          <w:szCs w:val="21"/>
        </w:rPr>
        <w:t xml:space="preserve">Lo que necesitamos</w:t>
      </w:r>
    </w:p>
    <w:p>
      <w:pPr>
        <w:pStyle w:val="ListParagraph"/>
        <w:numPr>
          <w:ilvl w:val="0"/>
          <w:numId w:val="2"/>
        </w:numPr>
        <w:spacing w:after="100"/>
        <w:jc w:val="both"/>
      </w:pPr>
      <w:r>
        <w:rPr>
          <w:rFonts w:ascii="Calibri" w:cs="Calibri" w:eastAsia="Calibri" w:hAnsi="Calibri"/>
          <w:sz w:val="21"/>
          <w:szCs w:val="21"/>
          <w:u w:val="single"/>
        </w:rPr>
        <w:t xml:space="preserve">La serie histórica de esa misma tabla: patrimonio, cantidad de cuotapartes y valor de cuotaparte, por fondo y clase, diaria en lo posible, desde el primer período disponible.</w:t>
      </w:r>
    </w:p>
    <w:p>
      <w:pPr>
        <w:pStyle w:val="ListParagraph"/>
        <w:numPr>
          <w:ilvl w:val="0"/>
          <w:numId w:val="2"/>
        </w:numPr>
        <w:spacing w:after="100"/>
        <w:jc w:val="both"/>
      </w:pPr>
      <w:r>
        <w:rPr>
          <w:rFonts w:ascii="Calibri" w:cs="Calibri" w:eastAsia="Calibri" w:hAnsi="Calibri"/>
          <w:sz w:val="21"/>
          <w:szCs w:val="21"/>
          <w:u w:val="single"/>
        </w:rPr>
        <w:t xml:space="preserve">De registrarse, las cuotapartes suscriptas y rescatadas de cada día.</w:t>
      </w:r>
      <w:r>
        <w:rPr>
          <w:rFonts w:ascii="Calibri" w:cs="Calibri" w:eastAsia="Calibri" w:hAnsi="Calibri"/>
          <w:sz w:val="21"/>
          <w:szCs w:val="21"/>
        </w:rPr>
        <w:t xml:space="preserve"> La tabla publicada muestra el stock al cierre del día; con las suscripciones y los rescates por separado se puede distinguir cuánto del movimiento es rotación (dinero que entra y sale) y cuánto es crecimiento neto, que es lo que nos interesa medir alrededor de los eventos que evaluamos.</w:t>
      </w:r>
    </w:p>
    <w:p>
      <w:pPr>
        <w:spacing w:after="90" w:before="280"/>
      </w:pPr>
      <w:r>
        <w:rPr>
          <w:rFonts w:ascii="Calibri" w:cs="Calibri" w:eastAsia="Calibri" w:hAnsi="Calibri"/>
          <w:b/>
          <w:bCs/>
          <w:color w:val="1F3864"/>
          <w:sz w:val="24"/>
          <w:szCs w:val="24"/>
        </w:rPr>
        <w:t xml:space="preserve">3. La cartera de los fondos, con el banco de cada colocación, en su serie histórica</w:t>
      </w:r>
    </w:p>
    <w:p>
      <w:pPr>
        <w:spacing w:after="50" w:before="130"/>
      </w:pPr>
      <w:r>
        <w:rPr>
          <w:rFonts w:ascii="Calibri" w:cs="Calibri" w:eastAsia="Calibri" w:hAnsi="Calibri"/>
          <w:b/>
          <w:bCs/>
          <w:sz w:val="21"/>
          <w:szCs w:val="21"/>
        </w:rPr>
        <w:t xml:space="preserve">Lo que ya consultamos</w:t>
      </w:r>
    </w:p>
    <w:p>
      <w:pPr>
        <w:pStyle w:val="ListParagraph"/>
        <w:numPr>
          <w:ilvl w:val="0"/>
          <w:numId w:val="2"/>
        </w:numPr>
        <w:spacing w:after="100"/>
        <w:jc w:val="both"/>
      </w:pPr>
      <w:r>
        <w:rPr>
          <w:rFonts w:ascii="Calibri" w:cs="Calibri" w:eastAsia="Calibri" w:hAnsi="Calibri"/>
          <w:sz w:val="21"/>
          <w:szCs w:val="21"/>
        </w:rPr>
        <w:t xml:space="preserve">En la ficha de cada fondo, la composición de cartera vigente, que identifica la entidad financiera de cada plazo fijo y cuenta remunerada. Entendemos que es la última de las composiciones que las gerentes informan periódicamente, de modo que las anteriores deberían existir en el sistema.</w:t>
      </w:r>
    </w:p>
    <w:p>
      <w:pPr>
        <w:spacing w:after="50" w:before="130"/>
      </w:pPr>
      <w:r>
        <w:rPr>
          <w:rFonts w:ascii="Calibri" w:cs="Calibri" w:eastAsia="Calibri" w:hAnsi="Calibri"/>
          <w:b/>
          <w:bCs/>
          <w:sz w:val="21"/>
          <w:szCs w:val="21"/>
        </w:rPr>
        <w:t xml:space="preserve">Lo que necesitamos</w:t>
      </w:r>
    </w:p>
    <w:p>
      <w:pPr>
        <w:pStyle w:val="ListParagraph"/>
        <w:numPr>
          <w:ilvl w:val="0"/>
          <w:numId w:val="2"/>
        </w:numPr>
        <w:spacing w:after="100"/>
        <w:jc w:val="both"/>
      </w:pPr>
      <w:r>
        <w:rPr>
          <w:rFonts w:ascii="Calibri" w:cs="Calibri" w:eastAsia="Calibri" w:hAnsi="Calibri"/>
          <w:sz w:val="21"/>
          <w:szCs w:val="21"/>
          <w:u w:val="single"/>
        </w:rPr>
        <w:t xml:space="preserve">Los datos históricos de esa misma composición: por fondo de mercado de dinero, desde el primer período disponible.</w:t>
      </w:r>
      <w:r>
        <w:rPr>
          <w:rFonts w:ascii="Calibri" w:cs="Calibri" w:eastAsia="Calibri" w:hAnsi="Calibri"/>
          <w:sz w:val="21"/>
          <w:szCs w:val="21"/>
        </w:rPr>
        <w:t xml:space="preserve"> Con eso se podría reconstruir qué parte del fondeo de cada banco proviene de los fondos.</w:t>
      </w:r>
    </w:p>
    <w:p>
      <w:pPr>
        <w:pStyle w:val="ListParagraph"/>
        <w:numPr>
          <w:ilvl w:val="0"/>
          <w:numId w:val="2"/>
        </w:numPr>
        <w:spacing w:after="100"/>
        <w:jc w:val="both"/>
      </w:pPr>
      <w:r>
        <w:rPr>
          <w:rFonts w:ascii="Calibri" w:cs="Calibri" w:eastAsia="Calibri" w:hAnsi="Calibri"/>
          <w:sz w:val="21"/>
          <w:szCs w:val="21"/>
          <w:u w:val="single"/>
        </w:rPr>
        <w:t xml:space="preserve">Sirve también una versión agregada por banco: el total que los fondos de mercado de dinero tienen colocado en cada entidad financiera, por ejemplo por mes.</w:t>
      </w:r>
    </w:p>
    <w:p>
      <w:pPr>
        <w:spacing w:after="90" w:before="280"/>
      </w:pPr>
      <w:r>
        <w:rPr>
          <w:rFonts w:ascii="Calibri" w:cs="Calibri" w:eastAsia="Calibri" w:hAnsi="Calibri"/>
          <w:b/>
          <w:bCs/>
          <w:color w:val="1F3864"/>
          <w:sz w:val="24"/>
          <w:szCs w:val="24"/>
        </w:rPr>
        <w:t xml:space="preserve">4. Los cuadros del resumen mensual, en serie completa y formato tabular</w:t>
      </w:r>
    </w:p>
    <w:p>
      <w:pPr>
        <w:spacing w:after="50" w:before="130"/>
      </w:pPr>
      <w:r>
        <w:rPr>
          <w:rFonts w:ascii="Calibri" w:cs="Calibri" w:eastAsia="Calibri" w:hAnsi="Calibri"/>
          <w:b/>
          <w:bCs/>
          <w:sz w:val="21"/>
          <w:szCs w:val="21"/>
        </w:rPr>
        <w:t xml:space="preserve">Lo que ya consultamos</w:t>
      </w:r>
    </w:p>
    <w:p>
      <w:pPr>
        <w:pStyle w:val="ListParagraph"/>
        <w:numPr>
          <w:ilvl w:val="0"/>
          <w:numId w:val="2"/>
        </w:numPr>
        <w:spacing w:after="100"/>
        <w:jc w:val="both"/>
      </w:pPr>
      <w:r>
        <w:rPr>
          <w:rFonts w:ascii="Calibri" w:cs="Calibri" w:eastAsia="Calibri" w:hAnsi="Calibri"/>
          <w:sz w:val="21"/>
          <w:szCs w:val="21"/>
        </w:rPr>
        <w:t xml:space="preserve">Los resúmenes mensuales de la industria, en PDF desde 2010: patrimonio y cuentas por tipo de persona, el cuadro de cuotapartistas y aperturas por clase de fondo, con cortes que varían según la edición.</w:t>
      </w:r>
    </w:p>
    <w:p>
      <w:pPr>
        <w:spacing w:after="50" w:before="130"/>
      </w:pPr>
      <w:r>
        <w:rPr>
          <w:rFonts w:ascii="Calibri" w:cs="Calibri" w:eastAsia="Calibri" w:hAnsi="Calibri"/>
          <w:b/>
          <w:bCs/>
          <w:sz w:val="21"/>
          <w:szCs w:val="21"/>
        </w:rPr>
        <w:t xml:space="preserve">Lo que necesitamos</w:t>
      </w:r>
    </w:p>
    <w:p>
      <w:pPr>
        <w:pStyle w:val="ListParagraph"/>
        <w:numPr>
          <w:ilvl w:val="0"/>
          <w:numId w:val="2"/>
        </w:numPr>
        <w:spacing w:after="100"/>
        <w:jc w:val="both"/>
      </w:pPr>
      <w:r>
        <w:rPr>
          <w:rFonts w:ascii="Calibri" w:cs="Calibri" w:eastAsia="Calibri" w:hAnsi="Calibri"/>
          <w:sz w:val="21"/>
          <w:szCs w:val="21"/>
          <w:u w:val="single"/>
        </w:rPr>
        <w:t xml:space="preserve">Esos mismos cuadros, pero en formato de planilla y para todos los meses: la serie completa desde el primer mes disponible, con la apertura por clase de fondo (en especial mercado de dinero).</w:t>
      </w:r>
    </w:p>
    <w:p>
      <w:pPr>
        <w:spacing w:after="40"/>
        <w:jc w:val="both"/>
      </w:pPr>
      <w:r>
        <w:rPr>
          <w:rFonts w:ascii="Calibri" w:cs="Calibri" w:eastAsia="Calibri" w:hAnsi="Calibri"/>
          <w:sz w:val="21"/>
          <w:szCs w:val="21"/>
        </w:rPr>
        <w:t xml:space="preserve"/>
      </w:r>
    </w:p>
    <w:p>
      <w:pPr>
        <w:spacing w:after="100"/>
        <w:jc w:val="both"/>
      </w:pPr>
      <w:r>
        <w:rPr>
          <w:rFonts w:ascii="Calibri" w:cs="Calibri" w:eastAsia="Calibri" w:hAnsi="Calibri"/>
          <w:sz w:val="21"/>
          <w:szCs w:val="21"/>
        </w:rPr>
        <w:t xml:space="preserve">Cualquier formato resulta útil. Quedamos a disposición para conversar el alcance de cada punto.</w:t>
      </w:r>
    </w:p>
    <w:p>
      <w:pPr>
        <w:spacing w:after="90" w:before="280"/>
      </w:pPr>
      <w:r>
        <w:rPr>
          <w:rFonts w:ascii="Calibri" w:cs="Calibri" w:eastAsia="Calibri" w:hAnsi="Calibri"/>
          <w:b/>
          <w:bCs/>
          <w:color w:val="1F3864"/>
          <w:sz w:val="24"/>
          <w:szCs w:val="24"/>
        </w:rPr>
        <w:t xml:space="preserve">Fuentes consultadas</w:t>
      </w:r>
    </w:p>
    <w:p>
      <w:pPr>
        <w:spacing w:after="40"/>
        <w:jc w:val="both"/>
      </w:pPr>
      <w:r>
        <w:rPr>
          <w:rFonts w:ascii="Calibri" w:cs="Calibri" w:eastAsia="Calibri" w:hAnsi="Calibri"/>
          <w:sz w:val="21"/>
          <w:szCs w:val="21"/>
        </w:rPr>
        <w:t xml:space="preserve">Información diaria por clase: estadisticas.cafci.org.ar/estadisticas/informacion-diaria</w:t>
      </w:r>
    </w:p>
    <w:p>
      <w:pPr>
        <w:spacing w:after="40"/>
        <w:jc w:val="both"/>
      </w:pPr>
      <w:r>
        <w:rPr>
          <w:rFonts w:ascii="Calibri" w:cs="Calibri" w:eastAsia="Calibri" w:hAnsi="Calibri"/>
          <w:sz w:val="21"/>
          <w:szCs w:val="21"/>
        </w:rPr>
        <w:t xml:space="preserve">Consulta de fondos (universo de fondos y clases): estadisticas.cafci.org.ar/consulta-de-fondos</w:t>
      </w:r>
    </w:p>
    <w:p>
      <w:pPr>
        <w:spacing w:after="40"/>
        <w:jc w:val="both"/>
      </w:pPr>
      <w:r>
        <w:rPr>
          <w:rFonts w:ascii="Calibri" w:cs="Calibri" w:eastAsia="Calibri" w:hAnsi="Calibri"/>
          <w:sz w:val="21"/>
          <w:szCs w:val="21"/>
        </w:rPr>
        <w:t xml:space="preserve">Comparador de fondos money market: estadisticas.cafci.org.ar/v2/fondos-mercado-de-dinero</w:t>
      </w:r>
    </w:p>
    <w:p>
      <w:pPr>
        <w:spacing w:after="40"/>
        <w:jc w:val="both"/>
      </w:pPr>
      <w:r>
        <w:rPr>
          <w:rFonts w:ascii="Calibri" w:cs="Calibri" w:eastAsia="Calibri" w:hAnsi="Calibri"/>
          <w:sz w:val="21"/>
          <w:szCs w:val="21"/>
        </w:rPr>
        <w:t xml:space="preserve">Resúmenes mensuales de la industria: cafci.org.ar, sección Información Estadística, Resumen Mensual (ejemplo con el cuadro de cuotapartistas: cafci.org.ar/Publica/Estadistica/Resumenes/Mensual/20251201_Resumen_Industria.pdf)</w:t>
      </w:r>
    </w:p>
    <w:p>
      <w:pPr>
        <w:spacing w:after="40"/>
        <w:jc w:val="both"/>
      </w:pPr>
      <w:r>
        <w:rPr>
          <w:rFonts w:ascii="Calibri" w:cs="Calibri" w:eastAsia="Calibri" w:hAnsi="Calibri"/>
          <w:sz w:val="21"/>
          <w:szCs w:val="21"/>
        </w:rPr>
        <w:t xml:space="preserve">Fichas por fondo, con composición de cartera vigente: cafci.org.ar/ficha-fondo.html</w:t>
      </w:r>
    </w:p>
    <w:p>
      <w:pPr>
        <w:spacing w:after="40"/>
        <w:jc w:val="both"/>
      </w:pPr>
      <w:r>
        <w:rPr>
          <w:rFonts w:ascii="Calibri" w:cs="Calibri" w:eastAsia="Calibri" w:hAnsi="Calibri"/>
          <w:sz w:val="21"/>
          <w:szCs w:val="21"/>
        </w:rPr>
        <w:t xml:space="preserve">Régimen informativo de las gerentes: Normas CNV, Título V, Capítulo I, artículo 25 (información diaria, semanal y mensual al sistema CNV-CAFCI)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2026-08-25T18:50:30.599Z</dcterms:created>
  <dcterms:modified xsi:type="dcterms:W3CDTF">2026-08-25T18:50:30.613Z</dcterms:modified>
</cp:coreProperties>
</file>

<file path=docProps/custom.xml><?xml version="1.0" encoding="utf-8"?>
<Properties xmlns="http://schemas.openxmlformats.org/officeDocument/2006/custom-properties" xmlns:vt="http://schemas.openxmlformats.org/officeDocument/2006/docPropsVTypes"/>
</file>