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МІНІСТЕРСТВО ОСВІТИ І НАУКИ УКРАЇНИ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Львівський національний університет імені Івана Франка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прикладної математики та інформатики</w:t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прикладної математики</w:t>
      </w:r>
    </w:p>
    <w:p>
      <w:pPr>
        <w:spacing w:before="0" w:after="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Затверджено</w:t>
      </w:r>
    </w:p>
    <w:p>
      <w:pPr>
        <w:spacing w:before="0"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засіданні кафедри прикладної математики</w:t>
      </w:r>
    </w:p>
    <w:p>
      <w:pPr>
        <w:spacing w:before="0"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факультету прикладної математики та інформатики</w:t>
      </w:r>
    </w:p>
    <w:p>
      <w:pPr>
        <w:spacing w:before="0"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Львівського національного університету імені Івана Франка</w:t>
      </w:r>
    </w:p>
    <w:p>
      <w:pPr>
        <w:spacing w:before="0"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(протокол № ___ від ____________ р.)</w:t>
      </w:r>
    </w:p>
    <w:p>
      <w:pPr>
        <w:spacing w:before="0"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Завідувач кафедри _______________</w:t>
      </w:r>
    </w:p>
    <w:p>
      <w:pPr>
        <w:spacing w:before="200"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Силабус з навчальної дисципліни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“Захист інформації: OAuth від фундаменту до продакшену”,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що викладається в межах першого (бакалаврського) рівня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вищої освіти для здобувачів</w:t>
      </w:r>
    </w:p>
    <w:p>
      <w:pPr>
        <w:spacing w:before="0"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спеціальності 113 – прикладна математика</w:t>
      </w: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Львів 2025 р.</w:t>
      </w:r>
    </w:p>
    <w:p>
      <w:pPr>
        <w:spacing w:after="0"/>
      </w:pPr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 дисципліни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Захист інформації: OAuth від фундаменту до продакшену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Адреса викладання дисципліни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Головний корпус ЛНУ ім. І. Франка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 Львів, вул. Університетська 1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Факультет та кафедра, за якою закріплена дисципліни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Факультет прикладної математики та інформатики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Кафедра прикладної математики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Галузь знань, шифр та назва спеціальності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 – математика та статистика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113 – прикладна математика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Викладачі дисципліни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Контактна інформація викладачів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Консультації з питань навчання по дисципліні відбуваються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Консультації в день проведення лекцій/лабораторних занять (за попередньою домовленістю).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Сторінка курсу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Інформація про дисципліну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Дисципліна "Захист інформації: OAuth від фундаменту до продакшену" є дисципліною на вибір зі спеціальності 113 – прикладна математика для освітньої програми "Прикладна математика", яка викладається в 8-му семестрі в обсязі 4-х кредитів (за Європейською Кредитно-Трансферною Системою ECTS).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Коротка анотація дисципліни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 побудований навколо протоколу OAuth 2.0 як центральної осі, через яку розкриваються всі ключові концепції захисту інформації: криптографічні примітиви, симетричне та асиметричне шифрування, JWT, OpenID Connect, безпека мікросервісів та веб-додатків. Кожна тема мотивована практичною потребою — спочатку проблема, потім інструмент.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Мета та цілі дисципліни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Метою курсу є ґрунтовне ознайомлення студентів із підходами організації захисту інформації через практичне вивчення протоколу OAuth 2.0 та пов’язаних технологій.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Завданням вивчення навчальної дисципліни є формування у студентів теоретичних знань в області захисту інформації та здобуття практичних навичок реалізації безпечних систем автентифікації та авторизації.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Література для вивчення дисципліни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Основна література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Eduardo Fernandez-Buglioni. Security patterns in practice. – Wiley: 2013 – 582p.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Loren Kohnfelder. Designing Secure Software. – No Starch Press: 2021 – 312p.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David Wong. Real-World Cryptography. – Manning: 2021 – 400p.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Charles Pfleeger. Security in Computing, 6th Ed. – Addison-Wesley: 2023 – 1040p.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Jean-Philippe Aumasson. Serious Cryptography. – No Starch Press: 2017 – 312p.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David Pointcheval. Asymmetric Cryptography. – Wiley-ISTE: 2023 – 304p.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Sam Newman. Building Microservices, 2nd Ed. – O’Reilly: 2021 – 612p.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W. Kankanamge. Microservices Security in Action. – Manning: 2020 – 616p.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Chris Richardson. Microservices Patterns. – Manning: 2018 – 520p.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Bryan Sullivan. Web Application Security, a beginner’s guide. – McGraw-Hill: 2011 – 384p.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Andrew Hoffman. Web Application Security. – O’Reilly: 2020 – 327p.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Matthew Baker. Secure Web Application Development. – Apress: 2022 – 471p.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Adam Shostack. Threat Modeling: Designing for Security. – Wiley: 2014 – 624p.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Derek Fisher. Application Security Program Handbook. – Manning: 2023 – 296p.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RFC та стандарти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RFC 6749 – The OAuth 2.0 Authorization Framework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RFC 7009 – OAuth 2.0 Token Revocation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RFC 7636 – Proof Key for Code Exchange (PKCE)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RFC 7662 – OAuth 2.0 Token Introspection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RFC 8693 – OAuth 2.0 Token Exchange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Обсяг курсу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Загальний обсяг: 120 год. З них, аудиторних занять: 56 год., з них 28 години лекцій, 28 години лабораторних робіт та 64 год. самостійної роботи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Очікувані результати навчання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Після завершення цього курсу студент буде: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Знати: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криптографічні примітиви (хешування, симетричне та асиметричне шифрування, цифрові підписи)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архітектуру OAuth 2.0 та OpenID 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типи грантів, JWT, PKCE, token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атаки на OAuth та методи захисту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принципи безпеки мікросервісних та веб-архітектур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Вміти: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реалізовувати алгоритми шифрування та хешування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розгортати Authorization Server та налаштовувати OAuth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працювати з JWT: створення, підпис, валідація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проводити threat modeling та security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будувати безпечні мікросервісні та веб-архітектури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Ключові слова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OAuth 2.0, OpenID Connect, JWT, PKCE, автентифікація, авторизація, криптографія, шифрування, токени, мікросервіси, API Gateway, threat modeling.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 курсу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Очний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Проведення лекцій, лабораторних робіт і консультацій.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Теми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Подано нижче у таблиці Схема курсу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Підсумковий контроль, форма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Залік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Пререквізити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Для вивчення курсу студенти потребують базових знань з: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 програмування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Практичних навичок програмування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Мережевих технологій (базовий рівень)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Навчальні методи та техніки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Презентації, лекції, лабораторні роботи, модульний контроль. Індивідуальні завдання.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Необхідне обладнання</w:t>
            </w:r>
          </w:p>
        </w:tc>
        <w:tc>
          <w:tcPr>
            <w:tcW w:type="dxa" w:w="6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Комп’ютер із програмним забезпеченням: мова програмування на вибір студента, IDE, Docker, Postman або аналог.</w:t>
            </w:r>
          </w:p>
        </w:tc>
      </w:tr>
    </w:tbl>
    <w:p>
      <w:pPr>
        <w:spacing w:after="0"/>
      </w:pPr>
      <w:r>
        <w:br w:type="page"/>
      </w:r>
    </w:p>
    <w:p>
      <w:pPr>
        <w:spacing w:before="200" w:after="12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Критерії оцінювання</w:t>
      </w:r>
    </w:p>
    <w:p>
      <w:pPr>
        <w:spacing w:before="0"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Оцінювання проводиться за 100-бальною шкалою.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2426"/>
        <w:gridCol w:w="24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ECTS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Оцінка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Бали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Національна шкала (екзамен, диф. залік)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Залік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Відмінно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 – 100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Відмінно 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зараховано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Дуже добре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81 – 89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Добре 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зараховано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Добре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71 – 80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зараховано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Задовільно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61 – 70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Задовільно 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зараховано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Достатньо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 – 60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зараховано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FX (F)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Незадовільно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– 50</w:t>
            </w:r>
          </w:p>
        </w:tc>
        <w:tc>
          <w:tcPr>
            <w:tcW w:type="dxa" w:w="2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Незадовільно 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зараховано</w:t>
            </w:r>
          </w:p>
        </w:tc>
      </w:tr>
    </w:tbl>
    <w:p>
      <w:pPr>
        <w:spacing w:before="0"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0"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Бали нараховуються за наступним співвідношенням: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індивідуальні завдання: 80% семестрової оцінки; максимальна кількість балів 80 (3 завдання: 25, 25 та 30 балів);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контрольні заміри (модулі): 20% семестрової оцінки; максимальна кількість балів 20 (4 тестові модулі по 5 балів);</w:t>
      </w:r>
    </w:p>
    <w:p>
      <w:pPr>
        <w:spacing w:before="80"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Загалом протягом семестру 100 балів.</w:t>
      </w:r>
    </w:p>
    <w:p>
      <w:pPr>
        <w:spacing w:before="0"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Індивідуальне завдання №1 (25 балів):</w:t>
      </w:r>
    </w:p>
    <w:p>
      <w:pPr>
        <w:spacing w:before="0"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Криптографія + базовий OAuth flow: реалізація алгоритмів хешування, шифрування та базового Authorization Code Flow. Здача на 8-му тижні.</w:t>
      </w:r>
    </w:p>
    <w:p>
      <w:pPr>
        <w:spacing w:before="0"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Індивідуальне завдання №2 (25 балів):</w:t>
      </w:r>
    </w:p>
    <w:p>
      <w:pPr>
        <w:spacing w:before="0"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Повний OAuth flow з PKCE та JWT: реалізація захищеного OAuth 2.0 flow з PKCE, JWT валідацією та token lifecycle. Здача на 11-му тижні.</w:t>
      </w:r>
    </w:p>
    <w:p>
      <w:pPr>
        <w:spacing w:before="0"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Індивідуальне завдання №3 (30 балів):</w:t>
      </w:r>
    </w:p>
    <w:p>
      <w:pPr>
        <w:spacing w:before="0"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Архітектура: повноцінна система з Authorization Server, захищеним API, веб-клієнтом та threat model документом. Здача на 14-му тижні.</w:t>
      </w:r>
    </w:p>
    <w:p>
      <w:pPr>
        <w:spacing w:before="100"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Академічна доброчесність:</w:t>
      </w:r>
    </w:p>
    <w:p>
      <w:pPr>
        <w:spacing w:before="0"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Очікується, що роботи студентів будуть їх оригінальними дослідженнями чи міркуваннями. Відсутність посилань на використані джерела, фабрикування джерел, списування, втручання в роботу інших студентів становлять, але не обмежують, приклади можливої академічної недоброчесності. Виявлення ознак академічної недоброчесності в письмовій роботі студента є підставою для її незарахування викладачем, незалежно від масштабів плагіату чи обману.</w:t>
      </w:r>
    </w:p>
    <w:p>
      <w:pPr>
        <w:spacing w:before="0"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Відвідання занять є важливою складовою навчання. Очікується, що всі студенти відвідають усі лекції та лабораторні заняття курсу. Студенти повинні інформувати викладача про неможливість відвідати заняття. У будь-якому випадку студенти зобов’язані дотримуватися термінів визначених для виконання домашніх та індивідуальних завдань, передбачених курсом.</w:t>
      </w:r>
    </w:p>
    <w:p>
      <w:pPr>
        <w:spacing w:before="0"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Жодні форми порушення академічної доброчесності не толеруються.</w:t>
      </w:r>
    </w:p>
    <w:p>
      <w:pPr>
        <w:spacing w:before="0"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Політика виставлення балів:</w:t>
      </w:r>
    </w:p>
    <w:p>
      <w:pPr>
        <w:spacing w:before="0"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Враховуються бали набрані за індивідуальні завдання та контрольні заміри. При цьому обов’язково враховуються присутність на заняттях та активність студента під час практичного заняття; недопустимість пропусків та запізнень на заняття; списування та плагіат; несвоєчасне виконання поставленого завдання.</w:t>
      </w:r>
    </w:p>
    <w:p>
      <w:pPr>
        <w:spacing w:before="0"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Питання до контрольних замірів: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Криптографічні примітиви та алгоритми шифрування.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OAuth 2.0: архітектура, flows, токени.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PKCE, OpenID Connect, атаки на OAuth.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Безпека мікросервісів та веб-додатків.</w:t>
      </w:r>
    </w:p>
    <w:p>
      <w:pPr>
        <w:spacing w:before="0"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Опитування:</w:t>
      </w:r>
    </w:p>
    <w:p>
      <w:pPr>
        <w:spacing w:before="0"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Оцінювання якості курсу буде доступне у системі “Dekanat” після завершення курсу.</w:t>
      </w:r>
    </w:p>
    <w:p>
      <w:pPr>
        <w:spacing w:after="0"/>
      </w:pPr>
      <w:r>
        <w:br w:type="page"/>
      </w:r>
    </w:p>
    <w:p>
      <w:pPr>
        <w:spacing w:before="0"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Схема курсу "Захист інформації: OAuth від фундаменту до продакшену"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800"/>
        <w:gridCol w:w="1200"/>
        <w:gridCol w:w="900"/>
        <w:gridCol w:w="2076"/>
        <w:gridCol w:w="1500"/>
      </w:tblGrid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Тиж.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Тема, план, короткі тези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 діяльності (заняття)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Літера-тура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Завдання, год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Термін виконання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1. Вступ. Проблема довіри в інтернеті. Identity, authentication, authorization. Історія: Basic Auth → сесії → токени → OAuth. Threat modeling: STRIDE модель.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[1, 2, 13]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1. Аналіз вразливостей Basic Auth. HTTP-сервер з Basic Auth. Перехоплення credentials через Wireshark/mitmproxy. Налаштування робочого середовища.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[1, 2, 13]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Налаштування локального середовища (3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2. Хешування та цілісність даних. SHA-256, bcrypt, Argon2. Ентропія та CSPRNG. HMAC. Rainbow tables та salting. Використання в OAuth-екосистемі.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[3, 4, 5]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2. Хешування на практиці. Хешування паролів (bcrypt), генерація безпечних випадкових значень (state, nonce, code_verifier). Атака rainbow table на слабкі хеші.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[3, 4, 5]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Реалізація алгоритмів хешування (4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3. Симетричне шифрування. AES (CBC, GCM). Padding oracle attack. Шифрування токенів, сесій, cookies. Key management basics.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[3, 4, 5]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3. Шифрування та дешифрування. Реалізація AES-GCM для шифрування payload. Шифрування refresh token у БД. Демонстрація ECB (penguin problem).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[3, 4, 5]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Реалізація алгоритмів шифрування (5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4. Асиметричне шифрування, підписи, PKI. RSA, ECDSA. Цифрові підписи. X.509, ланцюжки довіри. TLS handshake. Як HTTPS забезпечує канал для OAuth.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[3, 4, 5, 6]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(3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4. Підписи та сертифікати. Генерація RSA ключів. Підпис та верифікація повідомлень. Створення self-signed сертифікату. Налаштування HTTPS.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[3, 4, 5, 6]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Робота з PKI (4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5. OAuth 2.0: архітектура протоколу. Ролі: Resource Owner, Client, Authorization Server, Resource Server. Типи грантів. RFC 6749. Client registration, redirect URIs, scopes.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9, 15]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5. Розгортання Authorization Server. Розгортання мінімального Authorization Server. Реєстрація клієнта. Конфігурація redirect URI, scopes. .well-known/openid-configuration.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9, 15]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Налаштування Authorization Server (5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6. Authorization Code Flow. Повний flow крок за кроком: authorization request → consent → code → token exchange. State parameter та CSRF захист. Back-channel vs front-channel.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9, 15]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6. Реалізація Authorization Code Flow. Клієнтський додаток з повним Authorization Code Flow. Логування кожного кроку (request/response). Перевірка: що буде без state parameter.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9, 15]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Реалізація Auth Code Flow (5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7. JWT: токени зсередини. Структура JWT (header.payload.signature). Claims: стандартні та кастомні. Підпис (RS256, ES256). Валідація. Opaque vs self-contained. JWK, JWKS endpoint.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[3, 7, 8]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7. Робота з JWT. Створення, підпис, валідація JWT вручну та з бібліотеками. Декодування токенів. Модифікація payload — перевірка валідації. Реалізація JWKS endpoint.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[3, 7, 8]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Реалізація JWT (4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8. Access Token, Refresh Token, Token Lifecycle. Lifetime стратегії. Refresh token rotation. Token revocation (RFC 7009). Token introspection (RFC 7662). Зберігання токенів.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16, 18]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8. Презентації та оцінювання індивідуального завдання №1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16, 18]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Захист індивідуального завдання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9. PKCE та безпека публічних клієнтів. SPA та мобільні додатки: чому не можуть зберігати секрет. PKCE (S256). Implicit flow — чому deprecated. OAuth 2.1 BCP.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9, 17]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9. Реалізація PKCE. Authorization Code + PKCE flow для SPA або CLI-додатку. Генерація code_verifier / code_challenge. Перевірка: flow без PKCE — що можна перехопити.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9, 17]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Реалізація PKCE (4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10. OpenID Connect. OIDC як надбудова над OAuth 2.0. ID Token та його claims. UserInfo endpoint. Discovery. SSO сценарії.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9]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10. SSO через OIDC. Логін через OIDC провайдер (Google або Keycloak). Валідація ID Token (nonce, aud, iss, exp). Отримання профілю через UserInfo. SSO між двома додатками.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9]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Реалізація SSO (5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11. Атаки на OAuth та захист. CSRF, authorization code injection, redirect URI manipulation, token leakage, mix-up attack. OWASP OAuth recommendations.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[10, 11, 14]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11. Презентації та оцінювання індивідуального завдання №2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[10, 11, 14]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Захист індивідуального завдання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12. OAuth у мікросервісній архітектурі. API Gateway + token validation. Client Credentials flow. Token propagation та identity chaining. Zero Trust. Token exchange (RFC 8693).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9, 19]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12. Мікросервісна архітектура з OAuth. API Gateway + 2 мікросервіси + Authorization Server. Gateway валідує access token. Сервіси спілкуються через Client Credentials.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[7, 8, 9, 19]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Розробка мікросервісів (5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13. Безпека веб-додатків навколо OAuth. Зберігання токенів (httpOnly cookies vs localStorage). XSS та вплив на токени. CORS, CSP, SameSite cookies. BFF pattern. DPoP, Passkeys, OAuth 2.1.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[10, 11, 12]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Опрацювання лекційного матеріалу (2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13. Розробка безпечного веб-додатку. BFF: фронтенд без токенів, httpOnly cookies. Налаштування CORS, CSP headers. XSS-атака: localStorage vs BFF.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[10, 11, 12]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Розробка веб-додатку (5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тижні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14. Проєктування безпечної системи. Підсумок. Threat modeling повноцінної системи. Вибір flows для різних клієнтів. Security review checklist. Підсумок курсу.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Лекція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[1, 2, 13, 14]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Підготовка до заліку (3 год.)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тиждень</w:t>
            </w:r>
          </w:p>
        </w:tc>
      </w:tr>
      <w:tr>
        <w:tc>
          <w:tcPr>
            <w:tcW w:type="dxa" w:w="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14. Презентації та оцінювання індивідуального завдання №3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Лабораторне заняття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(2 год)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[1, 2, 13, 14]</w:t>
            </w:r>
          </w:p>
        </w:tc>
        <w:tc>
          <w:tcPr>
            <w:tcW w:type="dxa" w:w="207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Захист індивідуального завдання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2026-02-13T08:14:35.463Z</dcterms:created>
  <dcterms:modified xsi:type="dcterms:W3CDTF">2026-02-13T08:14:35.463Z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