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2"/>
        </w:rPr>
        <w:t>UNIVERSITAS PRIMAKARA</w:t>
      </w:r>
    </w:p>
    <w:p>
      <w:pPr>
        <w:spacing w:after="240"/>
        <w:jc w:val="center"/>
      </w:pPr>
      <w:r>
        <w:rPr>
          <w:b w:val="0"/>
          <w:sz w:val="24"/>
        </w:rPr>
        <w:t>Program Studi Informatika</w:t>
      </w:r>
    </w:p>
    <w:p>
      <w:pPr>
        <w:pStyle w:val="Title"/>
        <w:spacing w:before="1160" w:after="700" w:line="288" w:lineRule="auto"/>
        <w:jc w:val="center"/>
      </w:pPr>
      <w:r>
        <w:rPr>
          <w:b/>
          <w:sz w:val="28"/>
        </w:rPr>
        <w:t>IMPLEMENTASI DAN EVALUASI HYBRID RETRIEVAL BERBASIS BM25 DAN DENSE VECTOR SEARCH PADA RETRIEVAL-AUGMENTED GENERATION (RAG) UNTUK KNOWLEDGE MANAGEMENT OPERASIONAL WEDDING ORGANIZER</w:t>
      </w:r>
    </w:p>
    <w:p>
      <w:pPr>
        <w:spacing w:after="600"/>
        <w:jc w:val="center"/>
      </w:pPr>
      <w:r>
        <w:rPr>
          <w:b/>
        </w:rPr>
        <w:t>Laporan Progres Implementasi dan Uji Coba Awal Metode Retrieval</w:t>
      </w:r>
    </w:p>
    <w:p>
      <w:pPr>
        <w:jc w:val="center"/>
      </w:pPr>
      <w:r>
        <w:rPr>
          <w:b/>
        </w:rPr>
        <w:t>Muhammad Ivan Verdyansyah</w:t>
      </w:r>
    </w:p>
    <w:p>
      <w:pPr>
        <w:jc w:val="center"/>
      </w:pPr>
      <w:r>
        <w:rPr>
          <w:b w:val="0"/>
        </w:rPr>
        <w:t>9 Oktober 2026</w:t>
      </w:r>
    </w:p>
    <w:p>
      <w:pPr>
        <w:jc w:val="center"/>
      </w:pPr>
      <w:r>
        <w:rPr>
          <w:b w:val="0"/>
        </w:rPr>
        <w:t>Bahan Diskusi dan Bimbingan Dosen</w:t>
      </w:r>
    </w:p>
    <w:p>
      <w:pPr>
        <w:jc w:val="center"/>
      </w:pPr>
      <w:r>
        <w:rPr>
          <w:b w:val="0"/>
        </w:rPr>
        <w:t>Development Pilot — Not Final Evaluation</w:t>
      </w:r>
    </w:p>
    <w:p>
      <w:r>
        <w:br w:type="page"/>
      </w:r>
    </w:p>
    <w:p>
      <w:pPr>
        <w:pStyle w:val="Heading1"/>
      </w:pPr>
      <w:r>
        <w:t>1 Ringkasan Progres Penelitian</w:t>
      </w:r>
    </w:p>
    <w:p>
      <w:r>
        <w:rPr>
          <w:b w:val="0"/>
        </w:rPr>
        <w:t>Empat metode retrieval telah diimplementasikan dan dijalankan pada corpus serta pertanyaan development yang sama. Hasil uji coba menyediakan perbandingan urutan chunk yang ditemukan, tetapi belum cukup untuk menentukan metode paling efektif. Laporan ini menjadi bahan bimbingan mengenai kelayakan dataset, kebutuhan penilaian relevansi, dan rancangan evaluasi utama.</w:t>
      </w:r>
    </w:p>
    <w:p>
      <w:r>
        <w:rPr>
          <w:b w:val="0"/>
        </w:rPr>
        <w:t>Pengetahuan operasional Wedding Organizer (WO) mencakup pembagian tugas, koordinasi vendor, rundown, penanganan tamu, dan respons terhadap gangguan. Informasi tersebut dapat tersebar pada panduan naratif maupun tabel. Retrieval diperlukan untuk menemukan bagian pengetahuan yang sesuai dengan kebutuhan pertanyaan sebelum informasi digunakan dalam sistem Retrieval-Augmented Generation (RAG).</w:t>
      </w:r>
    </w:p>
    <w:p>
      <w:r>
        <w:rPr>
          <w:b w:val="0"/>
        </w:rPr>
        <w:t>Perbandingan mencakup TF-IDF, BM25, BGE-M3 Dense Retrieval, dan Hybrid BM25–Dense melalui Reciprocal Rank Fusion (RRF). Fokus penelitian adalah efektivitas pencarian chunk. Kualitas jawaban chatbot atau keluaran LLM belum menjadi objek evaluasi pada progres ini. Indeks dan uji teknis telah tersedia; validasi corpus oleh praktisi, relevance judgments manusia, dan evaluation queries independen masih diperlukan.</w:t>
      </w:r>
    </w:p>
    <w:p>
      <w:pPr>
        <w:pStyle w:val="Heading1"/>
      </w:pPr>
      <w:r>
        <w:t>2 Dataset dan Persiapan Eksperimen</w:t>
      </w:r>
    </w:p>
    <w:p>
      <w:r>
        <w:rPr>
          <w:b w:val="0"/>
        </w:rPr>
        <w:t>Corpus berbahasa Indonesia terdiri atas 50 dokumen sintetis yang disusun untuk penelitian, bukan arsip internal autentik perusahaan WO. Dataset telah melalui AI-assisted editorial correction menjadi V2, tetapi belum divalidasi oleh praktisi WO. Karena itu, kesesuaian isi dengan praktik lapangan belum dapat diasumsikan.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tblHeader/>
        </w:trPr>
        <w:tc>
          <w:tcPr>
            <w:tcW w:type="dxa" w:w="226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Komponen</w:t>
            </w:r>
          </w:p>
        </w:tc>
        <w:tc>
          <w:tcPr>
            <w:tcW w:type="dxa" w:w="6803"/>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Kondisi yang digunakan</w:t>
            </w:r>
          </w:p>
        </w:tc>
      </w:tr>
      <w:tr>
        <w:trPr>
          <w:cantSplit/>
        </w:trPr>
        <w:tc>
          <w:tcPr>
            <w:tcW w:type="dxa" w:w="226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Dokumen sumber</w:t>
            </w:r>
          </w:p>
        </w:tc>
        <w:tc>
          <w:tcPr>
            <w:tcW w:type="dxa" w:w="680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26 DOCX, 9 PDF, 10 XLSX, dan 5 TXT</w:t>
            </w:r>
          </w:p>
        </w:tc>
      </w:tr>
      <w:tr>
        <w:trPr>
          <w:cantSplit/>
        </w:trPr>
        <w:tc>
          <w:tcPr>
            <w:tcW w:type="dxa" w:w="226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Unit retrieval</w:t>
            </w:r>
          </w:p>
        </w:tc>
        <w:tc>
          <w:tcPr>
            <w:tcW w:type="dxa" w:w="680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371 canonical chunks dari 50 dokumen</w:t>
            </w:r>
          </w:p>
        </w:tc>
      </w:tr>
      <w:tr>
        <w:trPr>
          <w:cantSplit/>
        </w:trPr>
        <w:tc>
          <w:tcPr>
            <w:tcW w:type="dxa" w:w="226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Snapshot</w:t>
            </w:r>
          </w:p>
        </w:tc>
        <w:tc>
          <w:tcPr>
            <w:tcW w:type="dxa" w:w="680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WO-CORPUS-V2-AI-CORRECTED-PILOT-001</w:t>
            </w:r>
          </w:p>
        </w:tc>
      </w:tr>
      <w:tr>
        <w:trPr>
          <w:cantSplit/>
        </w:trPr>
        <w:tc>
          <w:tcPr>
            <w:tcW w:type="dxa" w:w="226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Pertanyaan development</w:t>
            </w:r>
          </w:p>
        </w:tc>
        <w:tc>
          <w:tcPr>
            <w:tcW w:type="dxa" w:w="680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18 pertanyaan asli; 6 lexical, 6 semantic paraphrase, 6 mixed</w:t>
            </w:r>
          </w:p>
        </w:tc>
      </w:tr>
    </w:tbl>
    <w:p>
      <w:pPr>
        <w:spacing w:after="0" w:line="40" w:lineRule="exact" w:before="0"/>
      </w:pPr>
      <w:r>
        <w:rPr>
          <w:b w:val="0"/>
        </w:rPr>
      </w:r>
      <w:r>
        <w:rPr>
          <w:sz w:val="2"/>
        </w:rPr>
      </w:r>
    </w:p>
    <w:p>
      <w:r>
        <w:rPr>
          <w:b w:val="0"/>
        </w:rPr>
        <w:t>Isi dokumen diekstraksi sesuai format, dinormalisasi, dan dibagi menjadi chunks. Konfigurasi chunking memakai target 500 token dan overlap 75 token dengan penghitung aproksimasi karakter Unicode dibagi empat; angka ini bukan ukuran tokenizer BGE-M3. Serialisasi mempertahankan isi serta konteks judul, heading, dan kategori yang diperlukan dengan kebijakan deduplikasi. Teks serialized yang sama digunakan oleh keempat metode. Pertanyaan development masih berstatus draft dan belum menjadi evaluation set independen.</w:t>
      </w:r>
    </w:p>
    <w:p>
      <w:pPr>
        <w:spacing w:after="120"/>
      </w:pPr>
      <w:r>
        <w:rPr>
          <w:b w:val="0"/>
          <w:sz w:val="19"/>
        </w:rPr>
        <w:t>Sumber bagian 1–2: laporan 9A.11–9A.15, manifest sumber/snapshot V2, konfigurasi chunking, dan development queries existing.</w:t>
      </w:r>
    </w:p>
    <w:p>
      <w:r>
        <w:br w:type="page"/>
      </w:r>
    </w:p>
    <w:p>
      <w:pPr>
        <w:pStyle w:val="Heading1"/>
      </w:pPr>
      <w:r>
        <w:t>3 Empat Metode Retrieval yang Dibandingkan</w:t>
      </w:r>
    </w:p>
    <w:p>
      <w:r>
        <w:rPr>
          <w:b w:val="0"/>
        </w:rPr>
        <w:t>R1 dan R2 menggunakan representasi kata, sedangkan R3 merepresentasikan pertanyaan dan chunk sebagai dense vectors. R4 menggabungkan posisi hasil BM25 dan Dense. Seluruh metode memakai corpus V2 yang sama sehingga perbedaan urutan tidak berasal dari corpus yang berbeda.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969"/>
        <w:gridCol w:w="3685"/>
      </w:tblGrid>
      <w:tr>
        <w:trPr>
          <w:tblHeader/>
        </w:trPr>
        <w:tc>
          <w:tcPr>
            <w:tcW w:type="dxa" w:w="1417"/>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Metode</w:t>
            </w:r>
          </w:p>
        </w:tc>
        <w:tc>
          <w:tcPr>
            <w:tcW w:type="dxa" w:w="3969"/>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Prinsip pencarian</w:t>
            </w:r>
          </w:p>
        </w:tc>
        <w:tc>
          <w:tcPr>
            <w:tcW w:type="dxa" w:w="3685"/>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Konfigurasi pilot</w:t>
            </w:r>
          </w:p>
        </w:tc>
      </w:tr>
      <w:tr>
        <w:trPr>
          <w:cantSplit/>
        </w:trPr>
        <w:tc>
          <w:tcPr>
            <w:tcW w:type="dxa" w:w="141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R1  TF-IDF</w:t>
            </w:r>
          </w:p>
        </w:tc>
        <w:tc>
          <w:tcPr>
            <w:tcW w:type="dxa" w:w="3969"/>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Bobot kata mempertimbangkan frekuensi dalam chunk dan kelangkaannya dalam corpus. Cosine membandingkan vektor pertanyaan dengan chunk.</w:t>
            </w:r>
          </w:p>
        </w:tc>
        <w:tc>
          <w:tcPr>
            <w:tcW w:type="dxa" w:w="3685"/>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Unigram; smoothed IDF; normalisasi L2; exact cosine; kandidat dengan skor positif.</w:t>
            </w:r>
          </w:p>
        </w:tc>
      </w:tr>
      <w:tr>
        <w:trPr>
          <w:cantSplit/>
        </w:trPr>
        <w:tc>
          <w:tcPr>
            <w:tcW w:type="dxa" w:w="141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R2  BM25</w:t>
            </w:r>
          </w:p>
        </w:tc>
        <w:tc>
          <w:tcPr>
            <w:tcW w:type="dxa" w:w="3969"/>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Kecocokan kata dinilai dengan saturasi frekuensi istilah dan normalisasi panjang chunk. Berbeda dari TF-IDF, kenaikan frekuensi istilah tidak menaikkan kontribusi secara linear.</w:t>
            </w:r>
          </w:p>
        </w:tc>
        <w:tc>
          <w:tcPr>
            <w:tcW w:type="dxa" w:w="3685"/>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BM25Okapi; k1 = 1.5; b = 0.75; epsilon = 0.25; kandidat dengan skor positif.</w:t>
            </w:r>
          </w:p>
        </w:tc>
      </w:tr>
      <w:tr>
        <w:trPr>
          <w:cantSplit/>
        </w:trPr>
        <w:tc>
          <w:tcPr>
            <w:tcW w:type="dxa" w:w="141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R3  BGE-M3 Dense</w:t>
            </w:r>
          </w:p>
        </w:tc>
        <w:tc>
          <w:tcPr>
            <w:tcW w:type="dxa" w:w="3969"/>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Model memetakan teks menjadi vektor sehingga kedekatan representasi dapat digunakan untuk mencari hubungan makna. Kedekatan vektor tetap memerlukan pemeriksaan relevansi.</w:t>
            </w:r>
          </w:p>
        </w:tc>
        <w:tc>
          <w:tcPr>
            <w:tcW w:type="dxa" w:w="3685"/>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BAAI/bge-m3; dimensi 1024; exact cosine; max_length 640; full Dense ranking 371 chunks.</w:t>
            </w:r>
          </w:p>
        </w:tc>
      </w:tr>
      <w:tr>
        <w:trPr>
          <w:cantSplit/>
        </w:trPr>
        <w:tc>
          <w:tcPr>
            <w:tcW w:type="dxa" w:w="141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R4  Hybrid RRF</w:t>
            </w:r>
          </w:p>
        </w:tc>
        <w:tc>
          <w:tcPr>
            <w:tcW w:type="dxa" w:w="3969"/>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Posisi BM25 dan Dense digabung dengan kontribusi berdasarkan rank, bukan dengan menjumlahkan skor mentah kedua metode.</w:t>
            </w:r>
          </w:p>
        </w:tc>
        <w:tc>
          <w:tcPr>
            <w:tcW w:type="dxa" w:w="3685"/>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RRF k = 60; bobot 1/1; full Dense ranking dan seluruh kandidat BM25 dengan skor positif.</w:t>
            </w:r>
          </w:p>
        </w:tc>
      </w:tr>
    </w:tbl>
    <w:p>
      <w:pPr>
        <w:spacing w:after="0" w:line="40" w:lineRule="exact" w:before="0"/>
      </w:pPr>
      <w:r>
        <w:rPr>
          <w:b w:val="0"/>
        </w:rPr>
      </w:r>
      <w:r>
        <w:rPr>
          <w:sz w:val="2"/>
        </w:rPr>
      </w:r>
    </w:p>
    <w:p>
      <w:r>
        <w:rPr>
          <w:b w:val="0"/>
        </w:rPr>
        <w:t>Embeddings R3 dibuat pada Google Colab dengan GPU Tesla T4. Sebanyak 371 corpus vectors dan 18 query vectors berhasil diproses dan diimpor. Model memakai revision 5617a9f61b028005a4858fdac845db406aefb181. Penyimpanan normalized float32 diverifikasi setelah encoding FP16. Uji retrieval lokal menggunakan query cache tersebut; keberhasilannya tidak berarti live query inference lokal telah diuji.</w:t>
      </w:r>
    </w:p>
    <w:p>
      <w:pPr>
        <w:pStyle w:val="Heading2"/>
      </w:pPr>
      <w:r>
        <w:t>Alur penggabungan pada Hybrid RRF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2098"/>
        <w:gridCol w:w="1304"/>
        <w:gridCol w:w="2268"/>
      </w:tblGrid>
      <w:tr>
        <w:trPr>
          <w:tblHeader/>
        </w:trPr>
        <w:tc>
          <w:tcPr>
            <w:tcW w:type="dxa" w:w="1701"/>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Pertanyaan pengguna</w:t>
            </w:r>
          </w:p>
        </w:tc>
        <w:tc>
          <w:tcPr>
            <w:tcW w:type="dxa" w:w="1701"/>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Proses retrieval</w:t>
            </w:r>
          </w:p>
        </w:tc>
        <w:tc>
          <w:tcPr>
            <w:tcW w:type="dxa" w:w="209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BM25 dan Dense</w:t>
            </w:r>
          </w:p>
        </w:tc>
        <w:tc>
          <w:tcPr>
            <w:tcW w:type="dxa" w:w="1304"/>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RRF</w:t>
            </w:r>
          </w:p>
        </w:tc>
        <w:tc>
          <w:tcPr>
            <w:tcW w:type="dxa" w:w="226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Ranked chunks</w:t>
            </w:r>
          </w:p>
        </w:tc>
      </w:tr>
      <w:tr>
        <w:trPr>
          <w:cantSplit/>
        </w:trPr>
        <w:tc>
          <w:tcPr>
            <w:tcW w:type="dxa" w:w="170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Teks pertanyaan</w:t>
            </w:r>
          </w:p>
        </w:tc>
        <w:tc>
          <w:tcPr>
            <w:tcW w:type="dxa" w:w="170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Input yang sama</w:t>
            </w:r>
          </w:p>
        </w:tc>
        <w:tc>
          <w:tcPr>
            <w:tcW w:type="dxa" w:w="209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Dua ranking komponen</w:t>
            </w:r>
          </w:p>
        </w:tc>
        <w:tc>
          <w:tcPr>
            <w:tcW w:type="dxa" w:w="1304"/>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Gabungkan posisi</w:t>
            </w:r>
          </w:p>
        </w:tc>
        <w:tc>
          <w:tcPr>
            <w:tcW w:type="dxa" w:w="226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Urutan hasil akhir</w:t>
            </w:r>
          </w:p>
        </w:tc>
      </w:tr>
    </w:tbl>
    <w:p>
      <w:pPr>
        <w:spacing w:after="0" w:line="40" w:lineRule="exact" w:before="0"/>
      </w:pPr>
      <w:r>
        <w:rPr>
          <w:b w:val="0"/>
        </w:rPr>
      </w:r>
      <w:r>
        <w:rPr>
          <w:sz w:val="2"/>
        </w:rPr>
      </w:r>
    </w:p>
    <w:p>
      <w:pPr>
        <w:pStyle w:val="Caption"/>
      </w:pPr>
      <w:r>
        <w:rPr>
          <w:b w:val="0"/>
        </w:rPr>
        <w:t>Pertanyaan pengguna → Proses retrieval → BM25 / Dense → RRF → Ranked chunks</w:t>
      </w:r>
    </w:p>
    <w:p>
      <w:r>
        <w:rPr>
          <w:b w:val="0"/>
        </w:rPr>
        <w:t>Pada R4, kontribusi komponen adalah 1/(60 + rank). Kandidat yang tidak memiliki skor BM25 positif memperoleh kontribusi BM25 nol, tetapi tetap dapat muncul dari full Dense ranking. Diagram ini menggambarkan proses retrieval yang telah diimplementasikan; tahap pembentukan jawaban LLM tidak ditambahkan.</w:t>
      </w:r>
    </w:p>
    <w:p>
      <w:pPr>
        <w:spacing w:after="120"/>
      </w:pPr>
      <w:r>
        <w:rPr>
          <w:b w:val="0"/>
          <w:sz w:val="19"/>
        </w:rPr>
        <w:t>Sumber: konfigurasi efektif pada run manifest 9A.12 dan manifest Dense V2. Diagram menggunakan teks dan tabel Word yang dapat diedit.</w:t>
      </w:r>
    </w:p>
    <w:p>
      <w:r>
        <w:br w:type="page"/>
      </w:r>
    </w:p>
    <w:p>
      <w:pPr>
        <w:pStyle w:val="Heading1"/>
      </w:pPr>
      <w:r>
        <w:t>4 Hasil Implementasi dan Pengujian Teknis</w:t>
      </w:r>
    </w:p>
    <w:p>
      <w:r>
        <w:rPr>
          <w:b w:val="0"/>
        </w:rPr>
        <w:t>Uji coba telah menghasilkan 18 queries × 4 metode = 72 retrieval rankings dan 720 baris hasil Top-10. R3 Dense V2 berstatus COMPLETE; integrasi R4 dengan komponen BM25 dan Dense telah lulus smoke test menggunakan cache hasil Colab.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6633"/>
      </w:tblGrid>
      <w:tr>
        <w:trPr>
          <w:tblHeader/>
        </w:trPr>
        <w:tc>
          <w:tcPr>
            <w:tcW w:type="dxa" w:w="243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Pemeriksaan</w:t>
            </w:r>
          </w:p>
        </w:tc>
        <w:tc>
          <w:tcPr>
            <w:tcW w:type="dxa" w:w="6633"/>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Status dan bukti</w:t>
            </w:r>
          </w:p>
        </w:tc>
      </w:tr>
      <w:tr>
        <w:trPr>
          <w:cantSplit/>
        </w:trPr>
        <w:tc>
          <w:tcPr>
            <w:tcW w:type="dxa" w:w="243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R1–R4 dijalankan</w:t>
            </w:r>
          </w:p>
        </w:tc>
        <w:tc>
          <w:tcPr>
            <w:tcW w:type="dxa" w:w="663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Lulus pada 18 development queries; 72 ranking tersimpan.</w:t>
            </w:r>
          </w:p>
        </w:tc>
      </w:tr>
      <w:tr>
        <w:trPr>
          <w:cantSplit/>
        </w:trPr>
        <w:tc>
          <w:tcPr>
            <w:tcW w:type="dxa" w:w="243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R3 Dense V2</w:t>
            </w:r>
          </w:p>
        </w:tc>
        <w:tc>
          <w:tcPr>
            <w:tcW w:type="dxa" w:w="663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COMPLETE; 371 corpus vectors berdimensi 1024 dan 18 query caches.</w:t>
            </w:r>
          </w:p>
        </w:tc>
      </w:tr>
      <w:tr>
        <w:trPr>
          <w:cantSplit/>
        </w:trPr>
        <w:tc>
          <w:tcPr>
            <w:tcW w:type="dxa" w:w="243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Integrasi R4</w:t>
            </w:r>
          </w:p>
        </w:tc>
        <w:tc>
          <w:tcPr>
            <w:tcW w:type="dxa" w:w="663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PASS; komponen Dense sesuai R3 dan kontribusi RRF diperiksa.</w:t>
            </w:r>
          </w:p>
        </w:tc>
      </w:tr>
      <w:tr>
        <w:trPr>
          <w:cantSplit/>
        </w:trPr>
        <w:tc>
          <w:tcPr>
            <w:tcW w:type="dxa" w:w="243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Determinisme ranking</w:t>
            </w:r>
          </w:p>
        </w:tc>
        <w:tc>
          <w:tcPr>
            <w:tcW w:type="dxa" w:w="663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Pengulangan pada uji teknis menghasilkan ranking identik; urutan memakai skor turun lalu chunk ID naik untuk tie-break.</w:t>
            </w:r>
          </w:p>
        </w:tc>
      </w:tr>
      <w:tr>
        <w:trPr>
          <w:cantSplit/>
        </w:trPr>
        <w:tc>
          <w:tcPr>
            <w:tcW w:type="dxa" w:w="243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Integritas hasil</w:t>
            </w:r>
          </w:p>
        </w:tc>
        <w:tc>
          <w:tcPr>
            <w:tcW w:type="dxa" w:w="663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Canonical chunk/document IDs valid, skor finite, dan tidak ada duplicate chunk IDs pada setiap ranking.</w:t>
            </w:r>
          </w:p>
        </w:tc>
      </w:tr>
      <w:tr>
        <w:trPr>
          <w:cantSplit/>
        </w:trPr>
        <w:tc>
          <w:tcPr>
            <w:tcW w:type="dxa" w:w="243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Regression tests</w:t>
            </w:r>
          </w:p>
        </w:tc>
        <w:tc>
          <w:tcPr>
            <w:tcW w:type="dxa" w:w="663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137 tests PASS pada 9A.11; 145 pada 9A.12; 161 pada 9A.14. Audit 9A.15 menjalankan 8 targeted tests dan arithmetic self-checks, seluruhnya lulus.</w:t>
            </w:r>
          </w:p>
        </w:tc>
      </w:tr>
    </w:tbl>
    <w:p>
      <w:pPr>
        <w:spacing w:after="0" w:line="40" w:lineRule="exact" w:before="0"/>
      </w:pPr>
      <w:r>
        <w:rPr>
          <w:b w:val="0"/>
        </w:rPr>
      </w:r>
      <w:r>
        <w:rPr>
          <w:sz w:val="2"/>
        </w:rPr>
      </w:r>
    </w:p>
    <w:p>
      <w:r>
        <w:rPr>
          <w:b w:val="0"/>
        </w:rPr>
        <w:t>Jumlah tests tersebut merupakan catatan suite pada milestone masing-masing, bukan jumlah yang boleh dijumlahkan karena ada pengujian berulang. Penyusunan laporan ini memeriksa artefak tersimpan tanpa menjalankan ulang retrieval atau regression suite. Lulusnya pengujian teknis menunjukkan konsistensi implementasi dan integritas output, bukan kualitas relevansi tertinggi suatu metode.</w:t>
      </w:r>
    </w:p>
    <w:p>
      <w:pPr>
        <w:pStyle w:val="Heading1"/>
      </w:pPr>
      <w:r>
        <w:t>5 Contoh Nyata Perbandingan Hasil Pencarian</w:t>
      </w:r>
    </w:p>
    <w:p>
      <w:r>
        <w:rPr>
          <w:b w:val="0"/>
        </w:rPr>
        <w:t>Contoh dipilih dengan aturan tetap: query ID terkecil pada setiap kelompok gaya. Hasilnya adalah WO-DEV-001 untuk lexical, WO-DEV-007 untuk semantic paraphrase, dan WO-DEV-013 untuk mixed. Pemilihan tidak didasarkan pada metode yang memperoleh ranking terlihat paling baik.</w:t>
      </w:r>
    </w:p>
    <w:p>
      <w:r>
        <w:rPr>
          <w:b w:val="0"/>
        </w:rPr>
        <w:t>Tiga halaman berikut membandingkan Top-5 keempat metode. Setiap sel memuat canonical chunk ID, document ID, cuplikan asli, dan status judgment existing. Cuplikan dipendekkan hanya untuk keterbacaan; tanda elipsis berada di luar kutipan. Penilaian mengacu pada chunk lengkap, bukan cuplikan. Skor mentah antar-metode tidak dibandingkan karena skalanya berbeda.</w:t>
      </w:r>
    </w:p>
    <w:p>
      <w:pPr>
        <w:spacing w:after="120"/>
      </w:pPr>
      <w:r>
        <w:rPr>
          <w:b w:val="0"/>
          <w:sz w:val="19"/>
        </w:rPr>
        <w:t>Label Grade 0/1/2 pada tabel adalah AI SILVER — PROVISIONAL, belum human/expert validated. UNJUDGED berarti belum ada judgment existing, bukan Grade 0. Pilot assessment terpisah tidak digunakan untuk mengganti label tabel.</w:t>
      </w:r>
    </w:p>
    <w:p>
      <w:r>
        <w:br w:type="page"/>
      </w:r>
    </w:p>
    <w:p>
      <w:pPr>
        <w:pStyle w:val="Heading2"/>
      </w:pPr>
      <w:r>
        <w:t>5.1 Perbandingan pertanyaan Lexical</w:t>
      </w:r>
    </w:p>
    <w:p>
      <w:r>
        <w:rPr>
          <w:b/>
        </w:rPr>
        <w:t>WO-DEV-001</w:t>
      </w:r>
    </w:p>
    <w:p>
      <w:r>
        <w:rPr>
          <w:b/>
        </w:rPr>
        <w:t>Untuk pengelolaan daftar registrasi, bagaimana pembagian peran A dan R dalam matriks RACI tim?</w:t>
      </w:r>
    </w:p>
    <w:p>
      <w:pPr>
        <w:spacing w:after="120"/>
      </w:pPr>
      <w:r>
        <w:rPr>
          <w:b w:val="0"/>
          <w:sz w:val="19"/>
        </w:rPr>
        <w:t>Setiap label Grade adalah AI SILVER — PROVISIONAL. UNJUDGED tidak berarti Grade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126"/>
        <w:gridCol w:w="2126"/>
        <w:gridCol w:w="2126"/>
        <w:gridCol w:w="2126"/>
      </w:tblGrid>
      <w:tr>
        <w:trPr>
          <w:tblHeader/>
        </w:trPr>
        <w:tc>
          <w:tcPr>
            <w:tcW w:type="dxa" w:w="567"/>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Rank</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TF-IDF  R1</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BM25  R2</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Dense  R3</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Hybrid  R4</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1</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WO-DOC-006-C002</w:t>
              <w:br/>
              <w:t>WO-DOC-006</w:t>
              <w:br/>
              <w:t>“Mengelola daftar registrasi</w:t>
              <w:br/>
              <w:t>A: EC</w:t>
              <w:br/>
              <w:t>R: guest desk”</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WO-DOC-006-C002</w:t>
              <w:br/>
              <w:t>WO-DOC-006</w:t>
              <w:br/>
              <w:t>“Mengelola daftar registrasi</w:t>
              <w:br/>
              <w:t>A: EC</w:t>
              <w:br/>
              <w:t>R: guest desk”</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WO-DOC-006-C002</w:t>
              <w:br/>
              <w:t>WO-DOC-006</w:t>
              <w:br/>
              <w:t>“Mengelola daftar registrasi</w:t>
              <w:br/>
              <w:t>A: EC</w:t>
              <w:br/>
              <w:t>R: guest desk”</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WO-DOC-006-C002</w:t>
              <w:br/>
              <w:t>WO-DOC-006</w:t>
              <w:br/>
              <w:t>“Mengelola daftar registrasi</w:t>
              <w:br/>
              <w:t>A: EC</w:t>
              <w:br/>
              <w:t>R: guest desk”</w:t>
              <w:br/>
              <w:t>Grade 2 (AI silver)</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2</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WO-DOC-006-C001</w:t>
              <w:br/>
              <w:t>WO-DOC-006</w:t>
              <w:br/>
              <w:t>“Menetapkan lingkup layanan</w:t>
              <w:br/>
              <w:t>A: WC</w:t>
              <w:br/>
              <w:t>R: WC”</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WO-DOC-006-C001</w:t>
              <w:br/>
              <w:t>WO-DOC-006</w:t>
              <w:br/>
              <w:t>“Menetapkan lingkup layanan</w:t>
              <w:br/>
              <w:t>A: WC</w:t>
              <w:br/>
              <w:t>R: WC”</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WO-DOC-006-C001</w:t>
              <w:br/>
              <w:t>WO-DOC-006</w:t>
              <w:br/>
              <w:t>“Menetapkan lingkup layanan</w:t>
              <w:br/>
              <w:t>A: WC</w:t>
              <w:br/>
              <w:t>R: WC”</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WO-DOC-006-C001</w:t>
              <w:br/>
              <w:t>WO-DOC-006</w:t>
              <w:br/>
              <w:t>“Menetapkan lingkup layanan</w:t>
              <w:br/>
              <w:t>A: WC</w:t>
              <w:br/>
              <w:t>R: WC”</w:t>
              <w:br/>
              <w:t>UNJUDGED</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3</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WO-DOC-006-C004</w:t>
              <w:br/>
              <w:t>WO-DOC-006</w:t>
              <w:br/>
              <w:t>“Mencatat keputusan lapangan</w:t>
              <w:br/>
              <w:t>A: EC</w:t>
              <w:br/>
              <w:t>R: floor”</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WO-DOC-006-C004</w:t>
              <w:br/>
              <w:t>WO-DOC-006</w:t>
              <w:br/>
              <w:t>“Mencatat keputusan lapangan</w:t>
              <w:br/>
              <w:t>A: EC</w:t>
              <w:br/>
              <w:t>R: floor”</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WO-DOC-006-C003</w:t>
              <w:br/>
              <w:t>WO-DOC-006</w:t>
              <w:br/>
              <w:t>“Memverifikasi tamu tambahan</w:t>
              <w:br/>
              <w:t>A: EC</w:t>
              <w:br/>
              <w:t>R: PIC keluarga”</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WO-DOC-006-C003</w:t>
              <w:br/>
              <w:t>WO-DOC-006</w:t>
              <w:br/>
              <w:t>“Memverifikasi tamu tambahan</w:t>
              <w:br/>
              <w:t>A: EC</w:t>
              <w:br/>
              <w:t>R: PIC keluarga”</w:t>
              <w:br/>
              <w:t>UNJUDGED</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4</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WO-DOC-006-C003</w:t>
              <w:br/>
              <w:t>WO-DOC-006</w:t>
              <w:br/>
              <w:t>“Memverifikasi tamu tambahan</w:t>
              <w:br/>
              <w:t>A: EC</w:t>
              <w:br/>
              <w:t>R: PIC keluarga”</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WO-DOC-006-C003</w:t>
              <w:br/>
              <w:t>WO-DOC-006</w:t>
              <w:br/>
              <w:t>“Memverifikasi tamu tambahan</w:t>
              <w:br/>
              <w:t>A: EC</w:t>
              <w:br/>
              <w:t>R: PIC keluarga”</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WO-DOC-006-C004</w:t>
              <w:br/>
              <w:t>WO-DOC-006</w:t>
              <w:br/>
              <w:t>“Mencatat keputusan lapangan</w:t>
              <w:br/>
              <w:t>A: EC</w:t>
              <w:br/>
              <w:t>R: floor”</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WO-DOC-006-C004</w:t>
              <w:br/>
              <w:t>WO-DOC-006</w:t>
              <w:br/>
              <w:t>“Mencatat keputusan lapangan</w:t>
              <w:br/>
              <w:t>A: EC</w:t>
              <w:br/>
              <w:t>R: floor”</w:t>
              <w:br/>
              <w:t>UNJUDGED</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5</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WO-DOC-006-C005</w:t>
              <w:br/>
              <w:t>WO-DOC-006</w:t>
              <w:br/>
              <w:t>“A adalah pengesah operasional untuk satu tugas; R pelaksana utama”</w:t>
              <w:br/>
              <w:t>Grade 1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WO-DOC-006-C005</w:t>
              <w:br/>
              <w:t>WO-DOC-006</w:t>
              <w:br/>
              <w:t>“A adalah pengesah operasional untuk satu tugas; R pelaksana utama”</w:t>
              <w:br/>
              <w:t>Grade 1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WO-DOC-034-C005</w:t>
              <w:br/>
              <w:t>WO-DOC-034</w:t>
              <w:br/>
              <w:t>“Pemicu: Kursi kelompok tertukar”</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WO-DOC-006-C005</w:t>
              <w:br/>
              <w:t>WO-DOC-006</w:t>
              <w:br/>
              <w:t>“A adalah pengesah operasional untuk satu tugas; R pelaksana utama”</w:t>
              <w:br/>
              <w:t>Grade 1 (AI silver)</w:t>
            </w:r>
          </w:p>
        </w:tc>
      </w:tr>
    </w:tbl>
    <w:p>
      <w:pPr>
        <w:spacing w:after="0" w:line="40" w:lineRule="exact" w:before="0"/>
      </w:pPr>
      <w:r>
        <w:rPr>
          <w:b w:val="0"/>
        </w:rPr>
      </w:r>
      <w:r>
        <w:rPr>
          <w:sz w:val="2"/>
        </w:rPr>
      </w:r>
    </w:p>
    <w:p>
      <w:r>
        <w:rPr>
          <w:b w:val="0"/>
        </w:rPr>
        <w:t>Keempat metode menempatkan WO-DOC-006-C002 pada rank 1 dan WO-DOC-006-C001 pada rank 2. R1 dan R2 mempunyai urutan Top-5 yang sama. Dense menukar posisi C003 dan C004 serta memasukkan WO-DOC-034-C005 pada rank 5. RRF menempatkan WO-DOC-006-C005 pada rank 5, naik dari Dense rank 8; posisi BM25 rank 5 ikut berkontribusi. Kesamaan hasil pertama memperlihatkan bahwa metode berbeda dapat menemukan chunk yang sama pada kebutuhan lexical ini.</w:t>
      </w:r>
    </w:p>
    <w:p>
      <w:pPr>
        <w:spacing w:after="120"/>
      </w:pPr>
      <w:r>
        <w:rPr>
          <w:b w:val="0"/>
          <w:sz w:val="19"/>
        </w:rPr>
        <w:t>Sumber: ranking 9A.12, canonical chunks V2, dan qrels existing.</w:t>
      </w:r>
    </w:p>
    <w:p>
      <w:r>
        <w:br w:type="page"/>
      </w:r>
    </w:p>
    <w:p>
      <w:pPr>
        <w:pStyle w:val="Heading2"/>
      </w:pPr>
      <w:r>
        <w:t>5.2 Perbandingan pertanyaan Semantic paraphrase</w:t>
      </w:r>
    </w:p>
    <w:p>
      <w:r>
        <w:rPr>
          <w:b/>
        </w:rPr>
        <w:t>WO-DEV-007</w:t>
      </w:r>
    </w:p>
    <w:p>
      <w:r>
        <w:rPr>
          <w:b/>
        </w:rPr>
        <w:t>Dua atasan memberi arahan yang saling bertentangan kepada kru yang sama. Apa yang sebaiknya dilakukan kru?</w:t>
      </w:r>
    </w:p>
    <w:p>
      <w:pPr>
        <w:spacing w:after="120"/>
      </w:pPr>
      <w:r>
        <w:rPr>
          <w:b w:val="0"/>
          <w:sz w:val="19"/>
        </w:rPr>
        <w:t>Setiap label Grade adalah AI SILVER — PROVISIONAL. UNJUDGED tidak berarti Grade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126"/>
        <w:gridCol w:w="2126"/>
        <w:gridCol w:w="2126"/>
        <w:gridCol w:w="2126"/>
      </w:tblGrid>
      <w:tr>
        <w:trPr>
          <w:tblHeader/>
        </w:trPr>
        <w:tc>
          <w:tcPr>
            <w:tcW w:type="dxa" w:w="567"/>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Rank</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TF-IDF  R1</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BM25  R2</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Dense  R3</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Hybrid  R4</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1</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WO-DOC-001-C006</w:t>
              <w:br/>
              <w:t>WO-DOC-001</w:t>
              <w:br/>
              <w:t>“Kru menyebut dua instruksi yang berbeda dan menahan bagian yang belum”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WO-DOC-001-C006</w:t>
              <w:br/>
              <w:t>WO-DOC-001</w:t>
              <w:br/>
              <w:t>“Kru menyebut dua instruksi yang berbeda dan menahan bagian yang belum”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WO-DOC-001-C006</w:t>
              <w:br/>
              <w:t>WO-DOC-001</w:t>
              <w:br/>
              <w:t>“Kru menyebut dua instruksi yang berbeda dan menahan bagian yang belum”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WO-DOC-001-C006</w:t>
              <w:br/>
              <w:t>WO-DOC-001</w:t>
              <w:br/>
              <w:t>“Kru menyebut dua instruksi yang berbeda dan menahan bagian yang belum” …</w:t>
              <w:br/>
              <w:t>Grade 2 (AI silver)</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2</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WO-DOC-013-C002</w:t>
              <w:br/>
              <w:t>WO-DOC-013</w:t>
              <w:br/>
              <w:t>“PIC venue mengonfirmasi akses, jalur loading, area terbatas, storage,”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WO-DOC-023-C005</w:t>
              <w:br/>
              <w:t>WO-DOC-023</w:t>
              <w:br/>
              <w:t>“Gangguan mikrofon dilaporkan kepada teknisi melalui PIC vendor. Floor”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WO-DOC-046-C003</w:t>
              <w:br/>
              <w:t>WO-DOC-046</w:t>
              <w:br/>
              <w:t>“Setiap kru boleh menahan tugasnya, menjauh dari bagian terdampak”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WO-DOC-028-C004</w:t>
              <w:br/>
              <w:t>WO-DOC-028</w:t>
              <w:br/>
              <w:t>“Floor menahan cue yang membutuhkan perangkat atau jalur terdampak.” …</w:t>
              <w:br/>
              <w:t>UNJUDGED</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3</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WO-DOC-013-C003</w:t>
              <w:br/>
              <w:t>WO-DOC-013</w:t>
              <w:br/>
              <w:t>“Jadwal simulasi EVT-01 menetapkan crew assembly pukul 09.00. Kru”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WO-DOC-028-C004</w:t>
              <w:br/>
              <w:t>WO-DOC-028</w:t>
              <w:br/>
              <w:t>“Floor menahan cue yang membutuhkan perangkat atau jalur terdampak.”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WO-DOC-005-C001</w:t>
              <w:br/>
              <w:t>WO-DOC-005</w:t>
              <w:br/>
              <w:t>“Panduan ini digunakan runner, LO, dan guest desk saat EVT-03 di”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WO-DOC-031-C004</w:t>
              <w:br/>
              <w:t>WO-DOC-031</w:t>
              <w:br/>
              <w:t>“Floor menahan entrance atau sambutan yang membutuhkan audio sampai” …</w:t>
              <w:br/>
              <w:t>UNJUDGED</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4</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WO-DOC-050-C005</w:t>
              <w:br/>
              <w:t>WO-DOC-050</w:t>
              <w:br/>
              <w:t>“Antara 14.45 dan 15.15, PIC vendor mengatur pekerjaan pemasok dan PIC”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WO-DOC-050-C005</w:t>
              <w:br/>
              <w:t>WO-DOC-050</w:t>
              <w:br/>
              <w:t>“Antara 14.45 dan 15.15, PIC vendor mengatur pekerjaan pemasok dan PIC”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WO-DOC-005-C006</w:t>
              <w:br/>
              <w:t>WO-DOC-005</w:t>
              <w:br/>
              <w:t>“Jika ada tamu membutuhkan pertolongan, amankan ruang sekitar sesuai”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WO-DOC-005-C006</w:t>
              <w:br/>
              <w:t>WO-DOC-005</w:t>
              <w:br/>
              <w:t>“Jika ada tamu membutuhkan pertolongan, amankan ruang sekitar sesuai” …</w:t>
              <w:br/>
              <w:t>UNJUDGED</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5</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WO-DOC-029-C004</w:t>
              <w:br/>
              <w:t>WO-DOC-029</w:t>
              <w:br/>
              <w:t>“Runner dapat mengambil perlengkapan yang sudah jelas titik serta”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WO-DOC-013-C003</w:t>
              <w:br/>
              <w:t>WO-DOC-013</w:t>
              <w:br/>
              <w:t>“Jadwal simulasi EVT-01 menetapkan crew assembly pukul 09.00. Kru”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WO-DOC-034-C001</w:t>
              <w:br/>
              <w:t>WO-DOC-034</w:t>
              <w:br/>
              <w:t>“Pemicu: Hujan membuat jalur sulit dilalui”</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WO-DOC-005-C001</w:t>
              <w:br/>
              <w:t>WO-DOC-005</w:t>
              <w:br/>
              <w:t>“Panduan ini digunakan runner, LO, dan guest desk saat EVT-03 di” …</w:t>
              <w:br/>
              <w:t>UNJUDGED</w:t>
            </w:r>
          </w:p>
        </w:tc>
      </w:tr>
    </w:tbl>
    <w:p>
      <w:pPr>
        <w:spacing w:after="0" w:line="40" w:lineRule="exact" w:before="0"/>
      </w:pPr>
      <w:r>
        <w:rPr>
          <w:b w:val="0"/>
        </w:rPr>
      </w:r>
      <w:r>
        <w:rPr>
          <w:sz w:val="2"/>
        </w:rPr>
      </w:r>
    </w:p>
    <w:p>
      <w:r>
        <w:rPr>
          <w:b w:val="0"/>
        </w:rPr>
        <w:t>WO-DOC-001-C006 berada pada rank 1 di seluruh metode, meskipun pertanyaan termasuk semantic paraphrase. Hasil berikutnya lebih bervariasi: WO-DOC-028-C004 berada pada BM25 rank 3 dan Dense rank 7, lalu RRF rank 2. WO-DOC-031-C004 muncul pada RRF rank 3 dengan BM25 rank 7 dan Dense rank 9. Hybrid tidak mempertahankan Dense rank 2, WO-DOC-046-C003, dalam Top-5. Perubahan ini menunjukkan efek kombinasi posisi; tidak menetapkan hasil tambahan tersebut relevan.</w:t>
      </w:r>
    </w:p>
    <w:p>
      <w:pPr>
        <w:spacing w:after="120"/>
      </w:pPr>
      <w:r>
        <w:rPr>
          <w:b w:val="0"/>
          <w:sz w:val="19"/>
        </w:rPr>
        <w:t>Sumber: ranking 9A.12, canonical chunks V2, dan qrels existing.</w:t>
      </w:r>
    </w:p>
    <w:p>
      <w:r>
        <w:br w:type="page"/>
      </w:r>
    </w:p>
    <w:p>
      <w:pPr>
        <w:pStyle w:val="Heading2"/>
      </w:pPr>
      <w:r>
        <w:t>5.3 Perbandingan pertanyaan Mixed</w:t>
      </w:r>
    </w:p>
    <w:p>
      <w:r>
        <w:rPr>
          <w:b/>
        </w:rPr>
        <w:t>WO-DEV-013</w:t>
      </w:r>
    </w:p>
    <w:p>
      <w:r>
        <w:rPr>
          <w:b/>
        </w:rPr>
        <w:t>Menjelang prosesi, makeup sudah selesai tetapi pengantin belum tiba di titik standby. Apa yang harus dicek sebelum menyatakan pasangan siap?</w:t>
      </w:r>
    </w:p>
    <w:p>
      <w:pPr>
        <w:spacing w:after="120"/>
      </w:pPr>
      <w:r>
        <w:rPr>
          <w:b w:val="0"/>
          <w:sz w:val="19"/>
        </w:rPr>
        <w:t>Setiap label Grade adalah AI SILVER — PROVISIONAL. UNJUDGED tidak berarti Grade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2126"/>
        <w:gridCol w:w="2126"/>
        <w:gridCol w:w="2126"/>
        <w:gridCol w:w="2126"/>
      </w:tblGrid>
      <w:tr>
        <w:trPr>
          <w:tblHeader/>
        </w:trPr>
        <w:tc>
          <w:tcPr>
            <w:tcW w:type="dxa" w:w="567"/>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Rank</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TF-IDF  R1</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BM25  R2</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Dense  R3</w:t>
            </w:r>
          </w:p>
        </w:tc>
        <w:tc>
          <w:tcPr>
            <w:tcW w:type="dxa" w:w="212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Hybrid  R4</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1</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WO-DOC-024-C003</w:t>
              <w:br/>
              <w:t>WO-DOC-024</w:t>
              <w:br/>
              <w:t>“Layanan pasangan direncanakan mulai 06.00 WITA, disusul dressing dan”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WO-DOC-024-C003</w:t>
              <w:br/>
              <w:t>WO-DOC-024</w:t>
              <w:br/>
              <w:t>“Layanan pasangan direncanakan mulai 06.00 WITA, disusul dressing dan”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WO-DOC-024-C006</w:t>
              <w:br/>
              <w:t>WO-DOC-024</w:t>
              <w:br/>
              <w:t>“Tentukan siapa standby untuk touch-up, lokasi, dan sampai tahap mana”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WO-DOC-014-C002</w:t>
              <w:br/>
              <w:t>WO-DOC-014</w:t>
              <w:br/>
              <w:t>“PIC pengantin mencocokkan urutan makeup dan pakaian dengan jam” …</w:t>
              <w:br/>
              <w:t>Grade 1 (AI silver)</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2</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WO-DOC-014-C004</w:t>
              <w:br/>
              <w:t>WO-DOC-014</w:t>
              <w:br/>
              <w:t>“Siap berarti pakaian selesai, benda prosesi berada pada penerima,” …</w:t>
              <w:br/>
              <w:t>Grade 2 (AI silver)</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WO-DOC-014-C002</w:t>
              <w:br/>
              <w:t>WO-DOC-014</w:t>
              <w:br/>
              <w:t>“PIC pengantin mencocokkan urutan makeup dan pakaian dengan jam” …</w:t>
              <w:br/>
              <w:t>Grade 1 (AI silver)</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WO-DOC-014-C004</w:t>
              <w:br/>
              <w:t>WO-DOC-014</w:t>
              <w:br/>
              <w:t>“Siap berarti pakaian selesai, benda prosesi berada pada penerima,” …</w:t>
              <w:br/>
              <w:t>Grade 2 (AI silver)</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WO-DOC-014-C004</w:t>
              <w:br/>
              <w:t>WO-DOC-014</w:t>
              <w:br/>
              <w:t>“Siap berarti pakaian selesai, benda prosesi berada pada penerima,” …</w:t>
              <w:br/>
              <w:t>Grade 2 (AI silver)</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3</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WO-DOC-014-C002</w:t>
              <w:br/>
              <w:t>WO-DOC-014</w:t>
              <w:br/>
              <w:t>“PIC pengantin mencocokkan urutan makeup dan pakaian dengan jam” …</w:t>
              <w:br/>
              <w:t>Grade 1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WO-DOC-014-C004</w:t>
              <w:br/>
              <w:t>WO-DOC-014</w:t>
              <w:br/>
              <w:t>“Siap berarti pakaian selesai, benda prosesi berada pada penerima,”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WO-DOC-014-C002</w:t>
              <w:br/>
              <w:t>WO-DOC-014</w:t>
              <w:br/>
              <w:t>“PIC pengantin mencocokkan urutan makeup dan pakaian dengan jam” …</w:t>
              <w:br/>
              <w:t>Grade 1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WO-DOC-024-C003</w:t>
              <w:br/>
              <w:t>WO-DOC-024</w:t>
              <w:br/>
              <w:t>“Layanan pasangan direncanakan mulai 06.00 WITA, disusul dressing dan” …</w:t>
              <w:br/>
              <w:t>Grade 2 (AI silver)</w:t>
            </w:r>
          </w:p>
        </w:tc>
      </w:tr>
      <w:tr>
        <w:trPr>
          <w:cantSplit/>
        </w:trPr>
        <w:tc>
          <w:tcPr>
            <w:tcW w:type="dxa" w:w="56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4</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WO-DOC-003-C004</w:t>
              <w:br/>
              <w:t>WO-DOC-003</w:t>
              <w:br/>
              <w:t>“PIC pengantin melapor pada saat mulai persiapan, menjelang”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WO-DOC-003-C002</w:t>
              <w:br/>
              <w:t>WO-DOC-003</w:t>
              <w:br/>
              <w:t>“STAFF-03 memeriksa akses ruang persiapan, urutan makeup, ketersediaan”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WO-DOC-014-C003</w:t>
              <w:br/>
              <w:t>WO-DOC-014</w:t>
              <w:br/>
              <w:t>“PIC meminta perkiraan selesai dari makeup artist pada titik” …</w:t>
              <w:br/>
              <w:t>UNJUDGED</w:t>
            </w:r>
          </w:p>
        </w:tc>
        <w:tc>
          <w:tcPr>
            <w:tcW w:type="dxa" w:w="212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WO-DOC-003-C004</w:t>
              <w:br/>
              <w:t>WO-DOC-003</w:t>
              <w:br/>
              <w:t>“PIC pengantin melapor pada saat mulai persiapan, menjelang” …</w:t>
              <w:br/>
              <w:t>UNJUDGED</w:t>
            </w:r>
          </w:p>
        </w:tc>
      </w:tr>
      <w:tr>
        <w:trPr>
          <w:cantSplit/>
        </w:trPr>
        <w:tc>
          <w:tcPr>
            <w:tcW w:type="dxa" w:w="56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5</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WO-DOC-003-C002</w:t>
              <w:br/>
              <w:t>WO-DOC-003</w:t>
              <w:br/>
              <w:t>“STAFF-03 memeriksa akses ruang persiapan, urutan makeup, ketersediaan”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WO-DOC-003-C004</w:t>
              <w:br/>
              <w:t>WO-DOC-003</w:t>
              <w:br/>
              <w:t>“PIC pengantin melapor pada saat mulai persiapan, menjelang” …</w:t>
              <w:br/>
              <w:t>UNJUDGED</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WO-DOC-024-C003</w:t>
              <w:br/>
              <w:t>WO-DOC-024</w:t>
              <w:br/>
              <w:t>“Layanan pasangan direncanakan mulai 06.00 WITA, disusul dressing dan” …</w:t>
              <w:br/>
              <w:t>Grade 2 (AI silver)</w:t>
            </w:r>
          </w:p>
        </w:tc>
        <w:tc>
          <w:tcPr>
            <w:tcW w:type="dxa" w:w="212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WO-DOC-024-C001</w:t>
              <w:br/>
              <w:t>WO-DOC-024</w:t>
              <w:br/>
              <w:t>“VEN-MUA-01 menangani layanan makeup yang disepakati untuk EVT-02 di” …</w:t>
              <w:br/>
              <w:t>UNJUDGED</w:t>
            </w:r>
          </w:p>
        </w:tc>
      </w:tr>
    </w:tbl>
    <w:p>
      <w:pPr>
        <w:spacing w:after="0" w:line="40" w:lineRule="exact" w:before="0"/>
      </w:pPr>
      <w:r>
        <w:rPr>
          <w:b w:val="0"/>
        </w:rPr>
      </w:r>
      <w:r>
        <w:rPr>
          <w:sz w:val="2"/>
        </w:rPr>
      </w:r>
    </w:p>
    <w:p>
      <w:r>
        <w:rPr>
          <w:b w:val="0"/>
        </w:rPr>
        <w:t>R1 dan R2 menempatkan WO-DOC-024-C003 pada rank 1; Dense menempatkan WO-DOC-024-C006, yang membahas touch-up dan akhir layanan. RRF menempatkan WO-DOC-014-C002 pada rank 1, dari BM25 rank 2 dan Dense rank 3. WO-DOC-014-C004 bergeser dari BM25 rank 3/Dense rank 2 menjadi RRF rank 2. Dense rank 1, WO-DOC-024-C006, turun ke RRF rank 10. Perbedaan fokus isi terlihat, tetapi chunk yang turun masih UNJUDGED sehingga tidak dapat dinyatakan nonrelevant.</w:t>
      </w:r>
    </w:p>
    <w:p>
      <w:pPr>
        <w:spacing w:after="120"/>
      </w:pPr>
      <w:r>
        <w:rPr>
          <w:b w:val="0"/>
          <w:sz w:val="19"/>
        </w:rPr>
        <w:t>Sumber: ranking 9A.12, canonical chunks V2, dan qrels existing.</w:t>
      </w:r>
    </w:p>
    <w:p>
      <w:r>
        <w:br w:type="page"/>
      </w:r>
    </w:p>
    <w:p>
      <w:pPr>
        <w:pStyle w:val="Heading1"/>
      </w:pPr>
      <w:r>
        <w:t>6 Audit Ketersediaan Relevance Judgments</w:t>
      </w:r>
    </w:p>
    <w:p>
      <w:r>
        <w:rPr>
          <w:b w:val="0"/>
        </w:rPr>
        <w:t>Relevance judgment adalah keputusan tentang kontribusi isi chunk terhadap kebutuhan informasi pada query. Keputusan Grade 0 berarti pasangan telah diperiksa dan tidak memberi dukungan berguna. Jika pasangan tidak mempunyai label, statusnya UNJUDGED dan relevansinya belum diketahui.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361"/>
        <w:gridCol w:w="1701"/>
        <w:gridCol w:w="1814"/>
        <w:gridCol w:w="2268"/>
      </w:tblGrid>
      <w:tr>
        <w:trPr>
          <w:tblHeader/>
        </w:trPr>
        <w:tc>
          <w:tcPr>
            <w:tcW w:type="dxa" w:w="192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Metode</w:t>
            </w:r>
          </w:p>
        </w:tc>
        <w:tc>
          <w:tcPr>
            <w:tcW w:type="dxa" w:w="1361"/>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Judged</w:t>
            </w:r>
          </w:p>
        </w:tc>
        <w:tc>
          <w:tcPr>
            <w:tcW w:type="dxa" w:w="1701"/>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Judged %</w:t>
            </w:r>
          </w:p>
        </w:tc>
        <w:tc>
          <w:tcPr>
            <w:tcW w:type="dxa" w:w="1814"/>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UNJUDGED</w:t>
            </w:r>
          </w:p>
        </w:tc>
        <w:tc>
          <w:tcPr>
            <w:tcW w:type="dxa" w:w="226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UNJUDGED %</w:t>
            </w:r>
          </w:p>
        </w:tc>
      </w:tr>
      <w:tr>
        <w:trPr>
          <w:cantSplit/>
        </w:trPr>
        <w:tc>
          <w:tcPr>
            <w:tcW w:type="dxa" w:w="192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TF-IDF</w:t>
            </w:r>
          </w:p>
        </w:tc>
        <w:tc>
          <w:tcPr>
            <w:tcW w:type="dxa" w:w="136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39/180</w:t>
            </w:r>
          </w:p>
        </w:tc>
        <w:tc>
          <w:tcPr>
            <w:tcW w:type="dxa" w:w="170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21,67%</w:t>
            </w:r>
          </w:p>
        </w:tc>
        <w:tc>
          <w:tcPr>
            <w:tcW w:type="dxa" w:w="1814"/>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141/180</w:t>
            </w:r>
          </w:p>
        </w:tc>
        <w:tc>
          <w:tcPr>
            <w:tcW w:type="dxa" w:w="226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78,33%</w:t>
            </w:r>
          </w:p>
        </w:tc>
      </w:tr>
      <w:tr>
        <w:trPr>
          <w:cantSplit/>
        </w:trPr>
        <w:tc>
          <w:tcPr>
            <w:tcW w:type="dxa" w:w="192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BM25</w:t>
            </w:r>
          </w:p>
        </w:tc>
        <w:tc>
          <w:tcPr>
            <w:tcW w:type="dxa" w:w="136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31/180</w:t>
            </w:r>
          </w:p>
        </w:tc>
        <w:tc>
          <w:tcPr>
            <w:tcW w:type="dxa" w:w="170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17,22%</w:t>
            </w:r>
          </w:p>
        </w:tc>
        <w:tc>
          <w:tcPr>
            <w:tcW w:type="dxa" w:w="1814"/>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149/180</w:t>
            </w:r>
          </w:p>
        </w:tc>
        <w:tc>
          <w:tcPr>
            <w:tcW w:type="dxa" w:w="226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82,78%</w:t>
            </w:r>
          </w:p>
        </w:tc>
      </w:tr>
      <w:tr>
        <w:trPr>
          <w:cantSplit/>
        </w:trPr>
        <w:tc>
          <w:tcPr>
            <w:tcW w:type="dxa" w:w="192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BGE-M3 Dense</w:t>
            </w:r>
          </w:p>
        </w:tc>
        <w:tc>
          <w:tcPr>
            <w:tcW w:type="dxa" w:w="136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44/180</w:t>
            </w:r>
          </w:p>
        </w:tc>
        <w:tc>
          <w:tcPr>
            <w:tcW w:type="dxa" w:w="170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24,44%</w:t>
            </w:r>
          </w:p>
        </w:tc>
        <w:tc>
          <w:tcPr>
            <w:tcW w:type="dxa" w:w="1814"/>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136/180</w:t>
            </w:r>
          </w:p>
        </w:tc>
        <w:tc>
          <w:tcPr>
            <w:tcW w:type="dxa" w:w="226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75,56%</w:t>
            </w:r>
          </w:p>
        </w:tc>
      </w:tr>
      <w:tr>
        <w:trPr>
          <w:cantSplit/>
        </w:trPr>
        <w:tc>
          <w:tcPr>
            <w:tcW w:type="dxa" w:w="192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Hybrid RRF</w:t>
            </w:r>
          </w:p>
        </w:tc>
        <w:tc>
          <w:tcPr>
            <w:tcW w:type="dxa" w:w="136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41/180</w:t>
            </w:r>
          </w:p>
        </w:tc>
        <w:tc>
          <w:tcPr>
            <w:tcW w:type="dxa" w:w="170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22,78%</w:t>
            </w:r>
          </w:p>
        </w:tc>
        <w:tc>
          <w:tcPr>
            <w:tcW w:type="dxa" w:w="1814"/>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139/180</w:t>
            </w:r>
          </w:p>
        </w:tc>
        <w:tc>
          <w:tcPr>
            <w:tcW w:type="dxa" w:w="226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77,22%</w:t>
            </w:r>
          </w:p>
        </w:tc>
      </w:tr>
    </w:tbl>
    <w:p>
      <w:pPr>
        <w:spacing w:after="0" w:line="40" w:lineRule="exact" w:before="0"/>
      </w:pPr>
      <w:r>
        <w:rPr>
          <w:b w:val="0"/>
        </w:rPr>
      </w:r>
      <w:r>
        <w:rPr>
          <w:sz w:val="2"/>
        </w:rPr>
      </w:r>
    </w:p>
    <w:p>
      <w:r>
        <w:rPr>
          <w:b w:val="0"/>
        </w:rPr>
        <w:t>Persentase pada tabel adalah judgment coverage di Top-10, bukan precision, accuracy, atau retrieval performance. Grade 0, 1, dan 2 seluruhnya termasuk judged. Setiap metode mempunyai 180 posisi Top-10 dari 18 pertanyaan; tidak ada missing result slots pada window tersebut.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53"/>
        <w:gridCol w:w="3118"/>
      </w:tblGrid>
      <w:tr>
        <w:trPr>
          <w:tblHeader/>
        </w:trPr>
        <w:tc>
          <w:tcPr>
            <w:tcW w:type="dxa" w:w="5953"/>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Scope</w:t>
            </w:r>
          </w:p>
        </w:tc>
        <w:tc>
          <w:tcPr>
            <w:tcW w:type="dxa" w:w="3118"/>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Jumlah pasangan</w:t>
            </w:r>
          </w:p>
        </w:tc>
      </w:tr>
      <w:tr>
        <w:trPr>
          <w:cantSplit/>
        </w:trPr>
        <w:tc>
          <w:tcPr>
            <w:tcW w:type="dxa" w:w="595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Seluruh kombinasi development query–chunk</w:t>
            </w:r>
          </w:p>
        </w:tc>
        <w:tc>
          <w:tcPr>
            <w:tcW w:type="dxa" w:w="311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18 × 371 = 6.678</w:t>
            </w:r>
          </w:p>
        </w:tc>
      </w:tr>
      <w:tr>
        <w:trPr>
          <w:cantSplit/>
        </w:trPr>
        <w:tc>
          <w:tcPr>
            <w:tcW w:type="dxa" w:w="595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Existing qrels AI silver</w:t>
            </w:r>
          </w:p>
        </w:tc>
        <w:tc>
          <w:tcPr>
            <w:tcW w:type="dxa" w:w="311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684; Grade 0/1/2 = 621/32/31</w:t>
            </w:r>
          </w:p>
        </w:tc>
      </w:tr>
      <w:tr>
        <w:trPr>
          <w:cantSplit/>
        </w:trPr>
        <w:tc>
          <w:tcPr>
            <w:tcW w:type="dxa" w:w="595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Belum judged dalam seluruh kombinasi</w:t>
            </w:r>
          </w:p>
        </w:tc>
        <w:tc>
          <w:tcPr>
            <w:tcW w:type="dxa" w:w="311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5.994</w:t>
            </w:r>
          </w:p>
        </w:tc>
      </w:tr>
      <w:tr>
        <w:trPr>
          <w:cantSplit/>
        </w:trPr>
        <w:tc>
          <w:tcPr>
            <w:tcW w:type="dxa" w:w="595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Union Top-20 R1–R4</w:t>
            </w:r>
          </w:p>
        </w:tc>
        <w:tc>
          <w:tcPr>
            <w:tcW w:type="dxa" w:w="311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654 unique pairs</w:t>
            </w:r>
          </w:p>
        </w:tc>
      </w:tr>
      <w:tr>
        <w:trPr>
          <w:cantSplit/>
        </w:trPr>
        <w:tc>
          <w:tcPr>
            <w:tcW w:type="dxa" w:w="5953"/>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Existing silver labels dalam pool</w:t>
            </w:r>
          </w:p>
        </w:tc>
        <w:tc>
          <w:tcPr>
            <w:tcW w:type="dxa" w:w="3118"/>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90</w:t>
            </w:r>
          </w:p>
        </w:tc>
      </w:tr>
      <w:tr>
        <w:trPr>
          <w:cantSplit/>
        </w:trPr>
        <w:tc>
          <w:tcPr>
            <w:tcW w:type="dxa" w:w="5953"/>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Awalnya UNJUDGED dalam pool</w:t>
            </w:r>
          </w:p>
        </w:tc>
        <w:tc>
          <w:tcPr>
            <w:tcW w:type="dxa" w:w="3118"/>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564</w:t>
            </w:r>
          </w:p>
        </w:tc>
      </w:tr>
    </w:tbl>
    <w:p>
      <w:pPr>
        <w:spacing w:after="0" w:line="40" w:lineRule="exact" w:before="0"/>
      </w:pPr>
      <w:r>
        <w:rPr>
          <w:b w:val="0"/>
        </w:rPr>
      </w:r>
      <w:r>
        <w:rPr>
          <w:sz w:val="2"/>
        </w:rPr>
      </w:r>
    </w:p>
    <w:p>
      <w:r>
        <w:rPr>
          <w:b w:val="0"/>
        </w:rPr>
        <w:t>Pilot penilaian AI atas 30 pasangan disimpan terpisah dan belum otomatis digabungkan ke qrels. Oleh karena itu, coverage di atas tidak dinaikkan menggunakan hasil pilot tersebut. Penilaian 30 pasangan juga tidak berarti seluruh pool berisi 654 pasangan telah selesai dinilai.</w:t>
      </w:r>
    </w:p>
    <w:p>
      <w:r>
        <w:rPr>
          <w:b w:val="0"/>
        </w:rPr>
        <w:t>Missing judgments membatasi Precision@k karena kualitas beberapa hasil belum diketahui. MRR@k dapat berubah jika hasil awal yang belum judged ternyata relevan. nDCG@k memerlukan grade hasil serta acuan ideal pada scope judgment yang ditetapkan. Recall@k memerlukan jumlah keseluruhan chunk relevan, sedangkan kelengkapan relevant set corpus ini belum diketahui. Menetapkan UNJUDGED sebagai Grade 0 akan menyamakan belum dinilai dengan tidak relevan dan dapat memengaruhi perbandingan metode secara berbeda.</w:t>
      </w:r>
    </w:p>
    <w:p>
      <w:pPr>
        <w:spacing w:after="120"/>
      </w:pPr>
      <w:r>
        <w:rPr>
          <w:b w:val="0"/>
          <w:sz w:val="19"/>
        </w:rPr>
        <w:t>Sumber: seluruh coverage.csv dan coverage_summary.csv 9A.12, qrels V2, serta union Top-20 yang telah diaudit pada 9A.13 dan 9A.15.</w:t>
      </w:r>
    </w:p>
    <w:p>
      <w:r>
        <w:br w:type="page"/>
      </w:r>
    </w:p>
    <w:p>
      <w:pPr>
        <w:pStyle w:val="Heading1"/>
      </w:pPr>
      <w:r>
        <w:t>7 Pilot Penilaian Relevansi Menggunakan AI</w:t>
      </w:r>
    </w:p>
    <w:p>
      <w:r>
        <w:rPr>
          <w:b w:val="0"/>
        </w:rPr>
        <w:t>Pilot mencakup 30 pasangan query–chunk yang mewakili 18 development queries. Setiap kelompok gaya mempunyai 10 pasangan. Dua putaran AI assessor menilai kebutuhan query terhadap isi chunk dengan rubric yang sama. Paket kedua memakai aliases dan urutan berbeda; hasilnya dicocokkan kembali melalui mapping pada tahap audit setelah assessment kedua selesai.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257"/>
      </w:tblGrid>
      <w:tr>
        <w:trPr>
          <w:tblHeader/>
        </w:trPr>
        <w:tc>
          <w:tcPr>
            <w:tcW w:type="dxa" w:w="1814"/>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Keputusan</w:t>
            </w:r>
          </w:p>
        </w:tc>
        <w:tc>
          <w:tcPr>
            <w:tcW w:type="dxa" w:w="7257"/>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Makna pada rubric</w:t>
            </w:r>
          </w:p>
        </w:tc>
      </w:tr>
      <w:tr>
        <w:trPr>
          <w:cantSplit/>
        </w:trPr>
        <w:tc>
          <w:tcPr>
            <w:tcW w:type="dxa" w:w="1814"/>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Grade 2</w:t>
            </w:r>
          </w:p>
        </w:tc>
        <w:tc>
          <w:tcPr>
            <w:tcW w:type="dxa" w:w="725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Chunk langsung memberikan informasi substantif yang menjawab kebutuhan query.</w:t>
            </w:r>
          </w:p>
        </w:tc>
      </w:tr>
      <w:tr>
        <w:trPr>
          <w:cantSplit/>
        </w:trPr>
        <w:tc>
          <w:tcPr>
            <w:tcW w:type="dxa" w:w="1814"/>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Grade 1</w:t>
            </w:r>
          </w:p>
        </w:tc>
        <w:tc>
          <w:tcPr>
            <w:tcW w:type="dxa" w:w="725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Chunk memberi dukungan berguna atau sebagian aspek, tetapi belum memadai untuk kebutuhan utama.</w:t>
            </w:r>
          </w:p>
        </w:tc>
      </w:tr>
      <w:tr>
        <w:trPr>
          <w:cantSplit/>
        </w:trPr>
        <w:tc>
          <w:tcPr>
            <w:tcW w:type="dxa" w:w="1814"/>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Grade 0</w:t>
            </w:r>
          </w:p>
        </w:tc>
        <w:tc>
          <w:tcPr>
            <w:tcW w:type="dxa" w:w="7257"/>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Isi telah diperiksa dan tidak memberikan dukungan berguna bagi kebutuhan tersebut.</w:t>
            </w:r>
          </w:p>
        </w:tc>
      </w:tr>
      <w:tr>
        <w:trPr>
          <w:cantSplit/>
        </w:trPr>
        <w:tc>
          <w:tcPr>
            <w:tcW w:type="dxa" w:w="1814"/>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UNRESOLVED</w:t>
            </w:r>
          </w:p>
        </w:tc>
        <w:tc>
          <w:tcPr>
            <w:tcW w:type="dxa" w:w="7257"/>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Grade null; bukti atau konteks tidak cukup untuk keputusan yang dapat dipertanggungjawabkan.</w:t>
            </w:r>
          </w:p>
        </w:tc>
      </w:tr>
    </w:tbl>
    <w:p>
      <w:pPr>
        <w:spacing w:after="0" w:line="40" w:lineRule="exact" w:before="0"/>
      </w:pPr>
      <w:r>
        <w:rPr>
          <w:b w:val="0"/>
        </w:rPr>
      </w:r>
      <w:r>
        <w:rPr>
          <w:sz w:val="2"/>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195"/>
      </w:tblGrid>
      <w:tr>
        <w:trPr>
          <w:tblHeader/>
        </w:trPr>
        <w:tc>
          <w:tcPr>
            <w:tcW w:type="dxa" w:w="4876"/>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Ukuran konsistensi</w:t>
            </w:r>
          </w:p>
        </w:tc>
        <w:tc>
          <w:tcPr>
            <w:tcW w:type="dxa" w:w="4195"/>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20"/>
              </w:rPr>
              <w:t>Hasil</w:t>
            </w:r>
          </w:p>
        </w:tc>
      </w:tr>
      <w:tr>
        <w:trPr>
          <w:cantSplit/>
        </w:trPr>
        <w:tc>
          <w:tcPr>
            <w:tcW w:type="dxa" w:w="487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Exact agreement seluruh pilot</w:t>
            </w:r>
          </w:p>
        </w:tc>
        <w:tc>
          <w:tcPr>
            <w:tcW w:type="dxa" w:w="4195"/>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26/30 = 86,67%</w:t>
            </w:r>
          </w:p>
        </w:tc>
      </w:tr>
      <w:tr>
        <w:trPr>
          <w:cantSplit/>
        </w:trPr>
        <w:tc>
          <w:tcPr>
            <w:tcW w:type="dxa" w:w="487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Both-resolved agreement</w:t>
            </w:r>
          </w:p>
        </w:tc>
        <w:tc>
          <w:tcPr>
            <w:tcW w:type="dxa" w:w="4195"/>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26/29 = 89,66%</w:t>
            </w:r>
          </w:p>
        </w:tc>
      </w:tr>
      <w:tr>
        <w:trPr>
          <w:cantSplit/>
        </w:trPr>
        <w:tc>
          <w:tcPr>
            <w:tcW w:type="dxa" w:w="487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Cohen’s kappa unweighted</w:t>
            </w:r>
          </w:p>
        </w:tc>
        <w:tc>
          <w:tcPr>
            <w:tcW w:type="dxa" w:w="4195"/>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0,836466; denominator 29 common-resolved</w:t>
            </w:r>
          </w:p>
        </w:tc>
      </w:tr>
      <w:tr>
        <w:trPr>
          <w:cantSplit/>
        </w:trPr>
        <w:tc>
          <w:tcPr>
            <w:tcW w:type="dxa" w:w="4876"/>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Linear weighted kappa</w:t>
            </w:r>
          </w:p>
        </w:tc>
        <w:tc>
          <w:tcPr>
            <w:tcW w:type="dxa" w:w="4195"/>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20"/>
              </w:rPr>
              <w:t>0,865533; denominator 29 common-resolved</w:t>
            </w:r>
          </w:p>
        </w:tc>
      </w:tr>
      <w:tr>
        <w:trPr>
          <w:cantSplit/>
        </w:trPr>
        <w:tc>
          <w:tcPr>
            <w:tcW w:type="dxa" w:w="4876"/>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Disagreement yang memerlukan adjudikasi</w:t>
            </w:r>
          </w:p>
        </w:tc>
        <w:tc>
          <w:tcPr>
            <w:tcW w:type="dxa" w:w="4195"/>
            <w:vAlign w:val="center"/>
            <w:tcMar>
              <w:top w:w="70" w:type="dxa"/>
              <w:bottom w:w="70" w:type="dxa"/>
              <w:left w:w="80" w:type="dxa"/>
              <w:right w:w="80" w:type="dxa"/>
            </w:tcMar>
          </w:tcPr>
          <w:p>
            <w:pPr>
              <w:keepNext w:val="0"/>
              <w:spacing w:after="0" w:before="0" w:line="252" w:lineRule="auto"/>
            </w:pPr>
            <w:r>
              <w:rPr>
                <w:rFonts w:ascii="Calibri" w:hAnsi="Calibri"/>
                <w:b w:val="0"/>
                <w:color w:val="000000"/>
                <w:sz w:val="20"/>
              </w:rPr>
              <w:t>4 kasus: 3 perbedaan Grade 0→1 dan 1 UNRESOLVED→1</w:t>
            </w:r>
          </w:p>
        </w:tc>
      </w:tr>
    </w:tbl>
    <w:p>
      <w:pPr>
        <w:spacing w:after="0" w:line="40" w:lineRule="exact" w:before="0"/>
      </w:pPr>
      <w:r>
        <w:rPr>
          <w:b w:val="0"/>
        </w:rPr>
      </w:r>
      <w:r>
        <w:rPr>
          <w:sz w:val="2"/>
        </w:rPr>
      </w:r>
    </w:p>
    <w:p>
      <w:r>
        <w:rPr>
          <w:b w:val="0"/>
        </w:rPr>
        <w:t>Distribusi first assessor adalah Grade 0/1/2 = 13/11/5 dan UNRESOLVED 1. Distribusi second adalah 10/15/5 dan UNRESOLVED 0. Satu pasangan null dikeluarkan dari kappa dan both-resolved denominator, tetapi tetap dicatat dalam disagreement ledger. Tidak ada keputusan null yang diubah menjadi Grade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520"/>
      </w:tblGrid>
      <w:tr>
        <w:trPr>
          <w:tblHeader/>
        </w:trPr>
        <w:tc>
          <w:tcPr>
            <w:tcW w:type="dxa" w:w="2551"/>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Assessment ID</w:t>
            </w:r>
          </w:p>
        </w:tc>
        <w:tc>
          <w:tcPr>
            <w:tcW w:type="dxa" w:w="6520"/>
            <w:vAlign w:val="center"/>
            <w:tcMar>
              <w:top w:w="70" w:type="dxa"/>
              <w:bottom w:w="70" w:type="dxa"/>
              <w:left w:w="80" w:type="dxa"/>
              <w:right w:w="80" w:type="dxa"/>
            </w:tcMar>
            <w:shd w:fill="E9EEF3"/>
          </w:tcPr>
          <w:p>
            <w:pPr>
              <w:keepNext w:val="0"/>
              <w:spacing w:after="0" w:before="0" w:line="252" w:lineRule="auto"/>
            </w:pPr>
            <w:r>
              <w:rPr>
                <w:rFonts w:ascii="Calibri" w:hAnsi="Calibri"/>
                <w:b/>
                <w:color w:val="000000"/>
                <w:sz w:val="19"/>
              </w:rPr>
              <w:t>Pokok perbedaan</w:t>
            </w:r>
          </w:p>
        </w:tc>
      </w:tr>
      <w:tr>
        <w:trPr>
          <w:cantSplit/>
        </w:trPr>
        <w:tc>
          <w:tcPr>
            <w:tcW w:type="dxa" w:w="255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WO-POOL-V2-0003</w:t>
            </w:r>
          </w:p>
        </w:tc>
        <w:tc>
          <w:tcPr>
            <w:tcW w:type="dxa" w:w="6520"/>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Konteks pelaporan peran versus penetapan A/R registrasi.</w:t>
            </w:r>
          </w:p>
        </w:tc>
      </w:tr>
      <w:tr>
        <w:trPr>
          <w:cantSplit/>
        </w:trPr>
        <w:tc>
          <w:tcPr>
            <w:tcW w:type="dxa" w:w="255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WO-POOL-V2-0107</w:t>
            </w:r>
          </w:p>
        </w:tc>
        <w:tc>
          <w:tcPr>
            <w:tcW w:type="dxa" w:w="6520"/>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Prasyarat umum kesiapan versus mapping cue C03 yang tidak tersedia.</w:t>
            </w:r>
          </w:p>
        </w:tc>
      </w:tr>
      <w:tr>
        <w:trPr>
          <w:cantSplit/>
        </w:trPr>
        <w:tc>
          <w:tcPr>
            <w:tcW w:type="dxa" w:w="2551"/>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WO-POOL-V2-0246</w:t>
            </w:r>
          </w:p>
        </w:tc>
        <w:tc>
          <w:tcPr>
            <w:tcW w:type="dxa" w:w="6520"/>
            <w:vAlign w:val="center"/>
            <w:tcMar>
              <w:top w:w="70" w:type="dxa"/>
              <w:bottom w:w="70" w:type="dxa"/>
              <w:left w:w="80" w:type="dxa"/>
              <w:right w:w="80" w:type="dxa"/>
            </w:tcMar>
          </w:tcPr>
          <w:p>
            <w:pPr>
              <w:keepNext w:val="0"/>
              <w:spacing w:after="0" w:before="0" w:line="252" w:lineRule="auto"/>
            </w:pPr>
            <w:r>
              <w:rPr>
                <w:rFonts w:ascii="Calibri" w:hAnsi="Calibri"/>
                <w:b w:val="0"/>
                <w:color w:val="000000"/>
                <w:sz w:val="19"/>
              </w:rPr>
              <w:t>Perencanaan H-20/H-17 versus pencatatan outstanding pada H-7.</w:t>
            </w:r>
          </w:p>
        </w:tc>
      </w:tr>
      <w:tr>
        <w:trPr>
          <w:cantSplit/>
        </w:trPr>
        <w:tc>
          <w:tcPr>
            <w:tcW w:type="dxa" w:w="2551"/>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WO-POOL-V2-0325</w:t>
            </w:r>
          </w:p>
        </w:tc>
        <w:tc>
          <w:tcPr>
            <w:tcW w:type="dxa" w:w="6520"/>
            <w:vAlign w:val="center"/>
            <w:tcMar>
              <w:top w:w="70" w:type="dxa"/>
              <w:bottom w:w="70" w:type="dxa"/>
              <w:left w:w="80" w:type="dxa"/>
              <w:right w:w="80" w:type="dxa"/>
            </w:tcMar>
            <w:shd w:fill="F7F8FA"/>
          </w:tcPr>
          <w:p>
            <w:pPr>
              <w:keepNext w:val="0"/>
              <w:spacing w:after="0" w:before="0" w:line="252" w:lineRule="auto"/>
            </w:pPr>
            <w:r>
              <w:rPr>
                <w:rFonts w:ascii="Calibri" w:hAnsi="Calibri"/>
                <w:b w:val="0"/>
                <w:color w:val="000000"/>
                <w:sz w:val="19"/>
              </w:rPr>
              <w:t>Final confirmation vendor versus inspeksi akses lokasi pantai.</w:t>
            </w:r>
          </w:p>
        </w:tc>
      </w:tr>
    </w:tbl>
    <w:p>
      <w:pPr>
        <w:spacing w:after="0" w:line="40" w:lineRule="exact" w:before="0"/>
      </w:pPr>
      <w:r>
        <w:rPr>
          <w:b w:val="0"/>
        </w:rPr>
      </w:r>
      <w:r>
        <w:rPr>
          <w:sz w:val="2"/>
        </w:rPr>
      </w:r>
    </w:p>
    <w:p>
      <w:r>
        <w:rPr>
          <w:b w:val="0"/>
        </w:rPr>
        <w:t>Kedua AI assessor tidak sepenuhnya terisolasi. First memiliki exposure konteks sebelumnya; second memiliki akses workspace dan konteks umum. Identitas model, revision, dan session detail tidak diekspos. Agreement yang teramati adalah consistency assessment AI SILVER — PROVISIONAL, bukan validasi pakar, gold standard, atau bukti kebenaran relevansi. Shared errors tetap mungkin terjadi meskipun kedua penilai sepakat. Keempat konflik belum diputuskan menjadi grade final dan belum ada penilaian manusia.</w:t>
      </w:r>
    </w:p>
    <w:p>
      <w:pPr>
        <w:spacing w:after="120"/>
      </w:pPr>
      <w:r>
        <w:rPr>
          <w:b w:val="0"/>
          <w:sz w:val="19"/>
        </w:rPr>
        <w:t>Sumber: agreement_statistics.json, comparison.json, provenance assessments, dan disagreement_ledger.jsonl pada audit 9A.15. Status pending pada laporan 9A.13/14 adalah catatan tahap sebelumnya; hasil terkini mengikuti artefak 9A.15.</w:t>
      </w:r>
    </w:p>
    <w:p>
      <w:r>
        <w:br w:type="page"/>
      </w:r>
    </w:p>
    <w:p>
      <w:pPr>
        <w:pStyle w:val="Heading1"/>
      </w:pPr>
      <w:r>
        <w:t>8 Temuan Keterbatasan dan Rencana Evaluasi</w:t>
      </w:r>
    </w:p>
    <w:p>
      <w:pPr>
        <w:spacing w:after="40"/>
      </w:pPr>
      <w:r>
        <w:rPr>
          <w:b/>
        </w:rPr>
        <w:t>Temuan yang sudah terbukti</w:t>
      </w:r>
    </w:p>
    <w:p>
      <w:r>
        <w:rPr>
          <w:b w:val="0"/>
        </w:rPr>
        <w:t>Keempat metode berjalan pada development corpus/query yang sama. Indeks Dense V2 dan query cache berhasil dibuat serta diimpor. Sebanyak 72 ranking tersedia, pengujian teknis lulus, dan konsistensi dua AI assessments pada pilot dapat dihitung. Bukti ini menunjukkan kesiapan pipeline dan bahan diagnostik awal.</w:t>
      </w:r>
    </w:p>
    <w:p>
      <w:pPr>
        <w:spacing w:after="40"/>
      </w:pPr>
      <w:r>
        <w:rPr>
          <w:b/>
        </w:rPr>
        <w:t>Hal yang belum terbukti</w:t>
      </w:r>
    </w:p>
    <w:p>
      <w:r>
        <w:rPr>
          <w:b w:val="0"/>
        </w:rPr>
        <w:t>Metode paling efektif dan keunggulan signifikan Hybrid terhadap BM25/Dense belum diketahui. Validitas corpus dan relevance judgments terhadap praktik WO nyata belum ditetapkan. Kinerja pada evaluation queries independen belum diuji. Metrik efektivitas final belum dihitung karena judgments belum memadai dan tervalidasi.</w:t>
      </w:r>
    </w:p>
    <w:p>
      <w:pPr>
        <w:spacing w:after="40"/>
      </w:pPr>
      <w:r>
        <w:rPr>
          <w:b/>
        </w:rPr>
        <w:t>Rencana yang memerlukan keputusan pembimbing</w:t>
      </w:r>
    </w:p>
    <w:p>
      <w:r>
        <w:rPr>
          <w:b w:val="0"/>
        </w:rPr>
        <w:t>Diusulkan review corpus dan kebutuhan informasi oleh praktisi WO, lalu pilot judgment manusia. Penilai kedua bekerja secara independen tanpa melihat ranking, skor, atau label AI. Disagreement dan kasus ambigu melalui adjudikasi dengan provenance terpisah; original judgments dipertahankan.</w:t>
      </w:r>
    </w:p>
    <w:p>
      <w:r>
        <w:rPr>
          <w:b w:val="0"/>
        </w:rPr>
        <w:t>Untuk evaluasi utama, development dan evaluation queries perlu dipisahkan berdasarkan information-need family agar paraphrase kebutuhan yang sama tidak tersebar pada kedua split. Rencana 75 main queries masih proposal. Opsi judgments mencakup exhaustive assessment atau pool union Top-20 disertai sampel di luar pool dan subset exhaustive. Pooling tidak menjamin seluruh chunk relevan ditemukan; scope metrics serta kebijakan UNJUDGED harus disepakati sebelum qrels dan protokol dibekukan.</w:t>
      </w:r>
    </w:p>
    <w:p>
      <w:pPr>
        <w:pStyle w:val="Heading1"/>
      </w:pPr>
      <w:r>
        <w:t>9 Pertanyaan untuk Dosen Pembimbing</w:t>
      </w:r>
    </w:p>
    <w:p>
      <w:pPr>
        <w:spacing w:after="80"/>
      </w:pPr>
      <w:r>
        <w:rPr>
          <w:b w:val="0"/>
        </w:rPr>
        <w:t>1. Apakah corpus sintetis 50 dokumen dengan provenance yang terbuka dapat digunakan untuk penelitian ini?</w:t>
      </w:r>
    </w:p>
    <w:p>
      <w:pPr>
        <w:spacing w:after="80"/>
      </w:pPr>
      <w:r>
        <w:rPr>
          <w:b w:val="0"/>
        </w:rPr>
        <w:t>2. Apakah penilaian AI silver sebaiknya dibatasi pada development pilot?</w:t>
      </w:r>
    </w:p>
    <w:p>
      <w:pPr>
        <w:spacing w:after="80"/>
      </w:pPr>
      <w:r>
        <w:rPr>
          <w:b w:val="0"/>
        </w:rPr>
        <w:t>3. Apakah evaluation qrels perlu divalidasi oleh praktisi Wedding Organizer atau penilai manusia lain dengan kualifikasi yang ditetapkan?</w:t>
      </w:r>
    </w:p>
    <w:p>
      <w:pPr>
        <w:spacing w:after="80"/>
      </w:pPr>
      <w:r>
        <w:rPr>
          <w:b w:val="0"/>
        </w:rPr>
        <w:t>4. Apakah pooled relevance judgments dapat digunakan, dan bagaimana kebijakan yang tepat terhadap UNJUDGED?</w:t>
      </w:r>
    </w:p>
    <w:p>
      <w:pPr>
        <w:spacing w:after="80"/>
      </w:pPr>
      <w:r>
        <w:rPr>
          <w:b w:val="0"/>
        </w:rPr>
        <w:t>5. Berapa jumlah evaluation queries yang dinilai memadai untuk scope penelitian ini?</w:t>
      </w:r>
    </w:p>
    <w:p>
      <w:pPr>
        <w:spacing w:after="80"/>
      </w:pPr>
      <w:r>
        <w:rPr>
          <w:b w:val="0"/>
        </w:rPr>
        <w:t>6. Apakah rencana 75 main evaluation queries dapat digunakan setelah pemisahan development/evaluation berdasarkan kebutuhan informasi dipastikan?</w:t>
      </w:r>
    </w:p>
    <w:p>
      <w:pPr>
        <w:spacing w:after="80"/>
      </w:pPr>
      <w:r>
        <w:rPr>
          <w:b w:val="0"/>
        </w:rPr>
        <w:t>7. Metrik utama apa yang sebaiknya diprioritaskan untuk perbandingan keempat metode?</w:t>
      </w:r>
    </w:p>
    <w:p>
      <w:pPr>
        <w:pStyle w:val="Heading1"/>
      </w:pPr>
      <w:r>
        <w:t>10 Kesimpulan Sementara</w:t>
      </w:r>
    </w:p>
    <w:p>
      <w:r>
        <w:rPr>
          <w:b w:val="0"/>
        </w:rPr>
        <w:t>Empat metode telah berhasil diimplementasikan dan diuji pada development corpus/query yang sama. Perbedaan hasil ranking dapat diamati, tetapi penentuan metode terbaik masih memerlukan evaluasi relevansi yang lebih lengkap dan tervalidasi. Laporan ini menyajikan progres implementasi dan uji coba awal untuk pembahasan metodologi bersama dosen pembimbing; penelitian belum dinyatakan selesai.</w:t>
      </w:r>
    </w:p>
    <w:p>
      <w:pPr>
        <w:spacing w:after="120"/>
      </w:pPr>
      <w:r>
        <w:rPr>
          <w:b w:val="0"/>
          <w:sz w:val="19"/>
        </w:rPr>
        <w:t>Rujukan: laporan 9A.11–9A.15, development pilot 9A.12, dan audit agreement 9A.15. Tidak ada evaluasi efektivitas baru.</w:t>
      </w:r>
    </w:p>
    <w:sectPr w:rsidR="00FC693F" w:rsidRPr="0006063C" w:rsidSect="00034616">
      <w:headerReference w:type="default" r:id="rId9"/>
      <w:footerReference w:type="default" r:id="rId10"/>
      <w:pgSz w:w="11906" w:h="16838"/>
      <w:pgMar w:top="1417" w:right="1417" w:bottom="141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Laporan Progres Penelitian  |  Muhammad Ivan Verdyansyah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b w:val="0"/>
      <w:color w:val="000000"/>
      <w:sz w:val="21"/>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lang w:val="id-ID"/>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lang w:val="id-ID"/>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lang w:val="id-I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32"/>
      <w:szCs w:val="52"/>
      <w:lang w:val="id-ID"/>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id-ID"/>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i w:val="0"/>
      <w:color w:val="000000"/>
      <w:sz w:val="19"/>
      <w:szCs w:val="18"/>
      <w:lang w:val="id-ID"/>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 Implementasi dan Uji Coba Awal Metode Retrieval</dc:title>
  <dc:subject>IMPLEMENTASI DAN EVALUASI HYBRID RETRIEVAL BERBASIS BM25 DAN DENSE VECTOR SEARCH PADA RETRIEVAL-AUGMENTED GENERATION (RAG) UNTUK KNOWLEDGE MANAGEMENT OPERASIONAL WEDDING ORGANIZER</dc:subject>
  <dc:creator>Muhammad Ivan Verdyansyah</dc:creator>
  <cp:keywords>Wedding Organizer, retrieval, development pilot</cp:keywords>
  <dc:description/>
  <cp:lastModifiedBy/>
  <cp:revision>1</cp:revision>
  <dcterms:created xsi:type="dcterms:W3CDTF">2013-12-23T23:15:00Z</dcterms:created>
  <dcterms:modified xsi:type="dcterms:W3CDTF">2013-12-23T23:15:00Z</dcterms:modified>
  <cp:category/>
</cp:coreProperties>
</file>