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Hasil Evaluasi Development Retrieval</w:t>
      </w:r>
    </w:p>
    <w:p>
      <w:r>
        <w:t>Pooled Development Evaluation — Not Final Thesis Evaluation</w:t>
      </w:r>
    </w:p>
    <w:p>
      <w:r>
        <w:t>Laporan ini membandingkan empat metode pada 18 development queries dengan penilaian relevansi peneliti. Hasil berlaku untuk cakupan pilot dan pool yang dinilai, belum merupakan hasil evaluasi utama skripsi.</w:t>
      </w:r>
    </w:p>
    <w:p>
      <w:r>
        <w:t>R1 adalah TF-IDF; R2 adalah BM25; R3 adalah BGE-M3 Dense; R4 adalah Hybrid BM25 dan Dense dengan Reciprocal Rank Fusion.</w:t>
      </w:r>
    </w:p>
    <w:p>
      <w:r>
        <w:t>Researcher-annotated relevance judgments. Penilai: Muhammad Ivan Verdyansyah. Belum expert-validated atau independently validated.</w:t>
      </w:r>
    </w:p>
    <w:p>
      <w:r>
        <w:t>Precision/MRR: grade ≥1. nDCG: gain 2^grade−1, discount log2(rank+1), ideal ranking dari seluruh union Top-20 pool per query. Recall tidak dihitung. Di luar pool tetap unknown.</w:t>
      </w:r>
    </w:p>
    <w:p>
      <w:r>
        <w:t>Snapshot: WO-CORPUS-V2-AI-CORRECTED-PILOT-001</w:t>
      </w:r>
    </w:p>
    <w:p>
      <w:pPr>
        <w:pStyle w:val="Heading1"/>
      </w:pPr>
      <w:r>
        <w:t>Cara membaca metrik</w:t>
      </w:r>
    </w:p>
    <w:p>
      <w:r>
        <w:t>Precision menunjukkan proporsi hasil relevan pada lima atau sepuluh posisi pertama. MRR menunjukkan seberapa awal hasil relevan pertama ditemukan dalam sepuluh posisi. nDCG memberi bobot lebih besar pada hasil sangat relevan yang muncul lebih awal, dibanding urutan ideal dalam pool yang sama. Semua metrik bernilai 0 hingga 1; lebih tinggi berarti lebih baik menurut metrik tersebut pada scope ini. Macro-average memberi bobot yang sama pada setiap query.</w:t>
      </w:r>
    </w:p>
    <w:p>
      <w:r>
        <w:t>Angka tabel dibulatkan menjadi empat angka desimal. Data perhitungan dengan presisi penuh tersedia pada berkas hasil pendamping.</w:t>
      </w:r>
    </w:p>
    <w:p>
      <w:pPr>
        <w:pStyle w:val="Heading1"/>
      </w:pPr>
      <w:r>
        <w:t>Macro-average seluruh development queries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0.6333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0.4944</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0.7222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0.4869</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0.5173</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0.6222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0.7847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0.4976</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0.5241</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0.7444</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0.5778</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0.9722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0.6466</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0.6635</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0.7111</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0.5889</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0.9444</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0.6279</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0.6465</w:t>
            </w:r>
          </w:p>
        </w:tc>
      </w:tr>
    </w:tbl>
    <w:p/>
    <w:p>
      <w:pPr>
        <w:pStyle w:val="Heading1"/>
      </w:pPr>
      <w:r>
        <w:t>Hasil menurut query style</w:t>
      </w:r>
    </w:p>
    <w:p>
      <w:pPr>
        <w:pStyle w:val="Heading2"/>
      </w:pPr>
      <w:r>
        <w:t>lexical_oriented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0.9000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0.6167</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0.9167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0.7054</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0.7309</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0.9000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0.6500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0.9167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0.7111</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0.7242</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0.9000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0.6500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0.7907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0.8096</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0.8667</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0.6500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0.7991</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0.7907</w:t>
            </w:r>
          </w:p>
        </w:tc>
      </w:tr>
    </w:tbl>
    <w:p/>
    <w:p>
      <w:pPr>
        <w:pStyle w:val="Heading2"/>
      </w:pPr>
      <w:r>
        <w:t>mixed_natural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0.7000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0.5833</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0.6944</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0.4989</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0.5233</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0.7000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0.5667</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0.7431</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0.5097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0.5207</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0.7667</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0.9167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0.5940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0.6122</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0.8333</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0.7000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0.9167</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0.6504</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0.6749</w:t>
            </w:r>
          </w:p>
        </w:tc>
      </w:tr>
    </w:tbl>
    <w:p/>
    <w:p>
      <w:pPr>
        <w:pStyle w:val="Heading2"/>
      </w:pPr>
      <w:r>
        <w:t>semantic_paraphrase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0.3000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0.2833</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0.5556</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0.2565</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0.2977</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0.2667</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0.2833</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0.6944</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0.2722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0.3275</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0.5667</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0.4833</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0.5550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0.5686</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0.4333</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0.4167</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0.9167</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0.4344</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0.4741</w:t>
            </w:r>
          </w:p>
        </w:tc>
      </w:tr>
    </w:tbl>
    <w:p/>
    <w:p>
      <w:pPr>
        <w:pStyle w:val="Heading1"/>
      </w:pPr>
      <w:r>
        <w:t>Hasil per query</w:t>
      </w:r>
    </w:p>
    <w:p>
      <w:pPr>
        <w:pStyle w:val="Heading2"/>
      </w:pPr>
      <w:r>
        <w:t>WO-DEV-001</w:t>
      </w:r>
    </w:p>
    <w:p>
      <w:pPr>
        <w:keepNext/>
      </w:pPr>
      <w:r>
        <w:t>Untuk pengelolaan daftar registrasi, bagaimana pembagian peran A dan R dalam matriks RACI tim?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1.0000</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1.0000</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0.9218</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0.9856</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1.0000</w:t>
            </w:r>
          </w:p>
        </w:tc>
      </w:tr>
    </w:tbl>
    <w:p/>
    <w:p>
      <w:pPr>
        <w:pStyle w:val="Heading2"/>
      </w:pPr>
      <w:r>
        <w:t>WO-DEV-002</w:t>
      </w:r>
    </w:p>
    <w:p>
      <w:pPr>
        <w:keepNext/>
      </w:pPr>
      <w:r>
        <w:t>Pada H-1, apa yang harus diperiksa dalam final confirmation ketika kebutuhan loading vendor berbeda dari izin venue?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0.3653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0.5479</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0.4720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0.5586</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0.6131</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0.7558</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0.7000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0.5480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0.5554</w:t>
            </w:r>
          </w:p>
        </w:tc>
      </w:tr>
    </w:tbl>
    <w:p/>
    <w:p>
      <w:pPr>
        <w:pStyle w:val="Heading2"/>
      </w:pPr>
      <w:r>
        <w:t>WO-DEV-003</w:t>
      </w:r>
    </w:p>
    <w:p>
      <w:pPr>
        <w:keepNext/>
      </w:pPr>
      <w:r>
        <w:t>Apa saja prasyarat cue C03 entrance sebelum floor memberi aba-aba jalan?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0.8399</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0.8725</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0.8282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0.8604</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0.8607</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0.9521</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0.8871</w:t>
            </w:r>
          </w:p>
        </w:tc>
      </w:tr>
    </w:tbl>
    <w:p/>
    <w:p>
      <w:pPr>
        <w:pStyle w:val="Heading2"/>
      </w:pPr>
      <w:r>
        <w:t>WO-DEV-004</w:t>
      </w:r>
    </w:p>
    <w:p>
      <w:pPr>
        <w:keepNext/>
      </w:pPr>
      <w:r>
        <w:t>Apa yang harus dikonfirmasi kepada makeup artist agar jadwal makeup tidak berbenturan dengan standby akad?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0.6131</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0.7448</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0.7000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0.4892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0.5445</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0.5069</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0.5664</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0.7000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0.5317</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0.6170</w:t>
            </w:r>
          </w:p>
        </w:tc>
      </w:tr>
    </w:tbl>
    <w:p/>
    <w:p>
      <w:pPr>
        <w:pStyle w:val="Heading2"/>
      </w:pPr>
      <w:r>
        <w:t>WO-DEV-005</w:t>
      </w:r>
    </w:p>
    <w:p>
      <w:pPr>
        <w:keepNext/>
      </w:pPr>
      <w:r>
        <w:t>Jika mikrofon gagal saat sambutan, bagaimana alur penanganan dan pemeriksaan sebelum audio dipakai lagi?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0.7000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0.8058</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0.7361</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0.8613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0.8144</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0.9000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0.8613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0.9315</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0.9000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0.8250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0.8982</w:t>
            </w:r>
          </w:p>
        </w:tc>
      </w:tr>
    </w:tbl>
    <w:p/>
    <w:p>
      <w:pPr>
        <w:pStyle w:val="Heading2"/>
      </w:pPr>
      <w:r>
        <w:t>WO-DEV-006</w:t>
      </w:r>
    </w:p>
    <w:p>
      <w:pPr>
        <w:keepNext/>
      </w:pPr>
      <w:r>
        <w:t>Saat checkout, apa yang perlu dicocokkan pada daftar aset WO sebelum barang diserahterimakan?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0.3000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0.6086</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0.4842</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0.6157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0.5673</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0.8409</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0.7574</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0.9377</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0.7865</w:t>
            </w:r>
          </w:p>
        </w:tc>
      </w:tr>
    </w:tbl>
    <w:p/>
    <w:p>
      <w:pPr>
        <w:pStyle w:val="Heading2"/>
      </w:pPr>
      <w:r>
        <w:t>WO-DEV-007</w:t>
      </w:r>
    </w:p>
    <w:p>
      <w:pPr>
        <w:keepNext/>
      </w:pPr>
      <w:r>
        <w:t>Dua atasan memberi arahan yang saling bertentangan kepada kru yang sama. Apa yang sebaiknya dilakukan kru?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0.4831</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0.4784</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0.4831</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0.4864</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0.3000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0.6540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0.5887</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0.2000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0.5524</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0.4972</w:t>
            </w:r>
          </w:p>
        </w:tc>
      </w:tr>
    </w:tbl>
    <w:p/>
    <w:p>
      <w:pPr>
        <w:pStyle w:val="Heading2"/>
      </w:pPr>
      <w:r>
        <w:t>WO-DEV-008</w:t>
      </w:r>
    </w:p>
    <w:p>
      <w:pPr>
        <w:keepNext/>
      </w:pPr>
      <w:r>
        <w:t>Seminggu menjelang acara, bagaimana mencatat pekerjaan yang belum tuntas agar tetap ditindaklanjuti sampai hari pelaksanaan?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0.3333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0.1099</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0.0917</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0.1000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0.3333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0.0619</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0.0517</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0.1772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0.2841</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0.1858</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0.3130</w:t>
            </w:r>
          </w:p>
        </w:tc>
      </w:tr>
    </w:tbl>
    <w:p/>
    <w:p>
      <w:pPr>
        <w:pStyle w:val="Heading2"/>
      </w:pPr>
      <w:r>
        <w:t>WO-DEV-009</w:t>
      </w:r>
    </w:p>
    <w:p>
      <w:pPr>
        <w:keepNext/>
      </w:pPr>
      <w:r>
        <w:t>Hujan turun menjelang tamu masuk ke taman. Apa yang perlu dipastikan sebelum kegiatan dialihkan ke ruang tertutup?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0.3000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0.3333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0.0565</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0.0849</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0.1131</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0.1438</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0.6992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0.7606</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0.5000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0.2846</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0.2974</w:t>
            </w:r>
          </w:p>
        </w:tc>
      </w:tr>
    </w:tbl>
    <w:p/>
    <w:p>
      <w:pPr>
        <w:pStyle w:val="Heading2"/>
      </w:pPr>
      <w:r>
        <w:t>WO-DEV-010</w:t>
      </w:r>
    </w:p>
    <w:p>
      <w:pPr>
        <w:keepNext/>
      </w:pPr>
      <w:r>
        <w:t>Saat meninjau lokasi di tepi pantai, apa yang perlu diperiksa agar tamu dan perlengkapan bisa mencapai area acara?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0.3392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0.3162</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0.3000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0.3392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0.4199</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0.7714</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0.7742</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0.3000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0.3957</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0.4259</w:t>
            </w:r>
          </w:p>
        </w:tc>
      </w:tr>
    </w:tbl>
    <w:p/>
    <w:p>
      <w:pPr>
        <w:pStyle w:val="Heading2"/>
      </w:pPr>
      <w:r>
        <w:t>WO-DEV-011</w:t>
      </w:r>
    </w:p>
    <w:p>
      <w:pPr>
        <w:keepNext/>
      </w:pPr>
      <w:r>
        <w:t>Ada orang yang menanyakan apakah seorang tamu sudah datang. Informasi apa yang boleh disampaikan petugas penerima tamu?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0.3333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0.2886</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0.4465</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0.3741</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0.5352</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0.3000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0.4658</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0.4676</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0.4000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0.7715</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0.7461</w:t>
            </w:r>
          </w:p>
        </w:tc>
      </w:tr>
    </w:tbl>
    <w:p/>
    <w:p>
      <w:pPr>
        <w:pStyle w:val="Heading2"/>
      </w:pPr>
      <w:r>
        <w:t>WO-DEV-012</w:t>
      </w:r>
    </w:p>
    <w:p>
      <w:pPr>
        <w:keepNext/>
      </w:pPr>
      <w:r>
        <w:t>Bagaimana mengubah hasil pembahasan setelah acara menjadi perbaikan yang bisa dipantau sampai selesai?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0.3333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0.2617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0.3685</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0.3000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0.3333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0.2617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0.3278</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0.5622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0.5366</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0.2000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0.4161</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0.5649</w:t>
            </w:r>
          </w:p>
        </w:tc>
      </w:tr>
    </w:tbl>
    <w:p/>
    <w:p>
      <w:pPr>
        <w:pStyle w:val="Heading2"/>
      </w:pPr>
      <w:r>
        <w:t>WO-DEV-013</w:t>
      </w:r>
    </w:p>
    <w:p>
      <w:pPr>
        <w:keepNext/>
      </w:pPr>
      <w:r>
        <w:t>Menjelang prosesi, makeup sudah selesai tetapi pengantin belum tiba di titik standby. Apa yang harus dicek sebelum menyatakan pasangan siap?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0.7000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0.8613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0.8506</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0.7000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0.8250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0.7502</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0.5525</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0.6803</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0.9000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0.7226</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0.8117</w:t>
            </w:r>
          </w:p>
        </w:tc>
      </w:tr>
    </w:tbl>
    <w:p/>
    <w:p>
      <w:pPr>
        <w:pStyle w:val="Heading2"/>
      </w:pPr>
      <w:r>
        <w:t>WO-DEV-014</w:t>
      </w:r>
    </w:p>
    <w:p>
      <w:pPr>
        <w:keepNext/>
      </w:pPr>
      <w:r>
        <w:t>Setelah foto di chapel, beberapa tamu akan naik shuttle ke lokasi dinner. Bagaimana LO memastikan tidak ada kelompok yang tertinggal?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0.3333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0.2392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0.3934</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0.3333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0.3658</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0.4784</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0.5059</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0.4593</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0.5000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0.3119</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0.3883</w:t>
            </w:r>
          </w:p>
        </w:tc>
      </w:tr>
    </w:tbl>
    <w:p/>
    <w:p>
      <w:pPr>
        <w:pStyle w:val="Heading2"/>
      </w:pPr>
      <w:r>
        <w:t>WO-DEV-015</w:t>
      </w:r>
    </w:p>
    <w:p>
      <w:pPr>
        <w:keepNext/>
      </w:pPr>
      <w:r>
        <w:t>Tamu yang datang melebihi daftar dan ada kursi kosong di ballroom. Apa yang perlu diperiksa sebelum menambah atau mengubah seating?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0.9000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0.6765</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0.6709</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0.6864</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0.6539</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0.9000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0.7600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0.7866</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0.9000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0.6765</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0.7335</w:t>
            </w:r>
          </w:p>
        </w:tc>
      </w:tr>
    </w:tbl>
    <w:p/>
    <w:p>
      <w:pPr>
        <w:pStyle w:val="Heading2"/>
      </w:pPr>
      <w:r>
        <w:t>WO-DEV-016</w:t>
      </w:r>
    </w:p>
    <w:p>
      <w:pPr>
        <w:keepNext/>
      </w:pPr>
      <w:r>
        <w:t>Seorang tamu meminta makanan khusus. Bagaimana guest desk menindaklanjuti permintaan itu dan apa batas informasi yang boleh dijanjikan?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0.6357</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0.6013</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0.5482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0.6315</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0.3000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0.6786</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0.7256</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0.9463</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0.9078</w:t>
            </w:r>
          </w:p>
        </w:tc>
      </w:tr>
    </w:tbl>
    <w:p/>
    <w:p>
      <w:pPr>
        <w:pStyle w:val="Heading2"/>
      </w:pPr>
      <w:r>
        <w:t>WO-DEV-017</w:t>
      </w:r>
    </w:p>
    <w:p>
      <w:pPr>
        <w:keepNext/>
      </w:pPr>
      <w:r>
        <w:t>Sambutan melewati durasi rencana, sementara dinner belum dimulai. Apa yang perlu dipertimbangkan untuk menyesuaikan rundown?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0.5242</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0.4634</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0.5000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0.6326</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0.5559</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0.6000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0.4000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0.4065</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0.4354</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0.6000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0.6170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0.5722</w:t>
            </w:r>
          </w:p>
        </w:tc>
      </w:tr>
    </w:tbl>
    <w:p/>
    <w:p>
      <w:pPr>
        <w:pStyle w:val="Heading2"/>
      </w:pPr>
      <w:r>
        <w:t>WO-DEV-018</w:t>
      </w:r>
    </w:p>
    <w:p>
      <w:pPr>
        <w:keepNext/>
      </w:pPr>
      <w:r>
        <w:t>PIC pengganti akan mengambil alih di tengah acara. Apa isi handover dan bagaimana memastikan pekerjaan benar-benar sudah diterima?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531"/>
        <w:gridCol w:w="1531"/>
        <w:gridCol w:w="1134"/>
        <w:gridCol w:w="1871"/>
        <w:gridCol w:w="1871"/>
      </w:tblGrid>
      <w:tr>
        <w:trPr>
          <w:tblHeader/>
          <w:cantSplit/>
        </w:trPr>
        <w:tc>
          <w:tcPr>
            <w:tcW w:type="dxa" w:w="1134"/>
            <w:vAlign w:val="center"/>
            <w:tcMar>
              <w:top w:w="90" w:type="dxa"/>
              <w:bottom w:w="90" w:type="dxa"/>
              <w:left w:w="90" w:type="dxa"/>
              <w:right w:w="90" w:type="dxa"/>
            </w:tcMar>
            <w:shd w:fill="E9EEF3"/>
          </w:tcPr>
          <w:p>
            <w:pPr>
              <w:keepNext/>
              <w:spacing w:after="0"/>
              <w:jc w:val="left"/>
            </w:pPr>
            <w:r>
              <w:rPr>
                <w:rFonts w:ascii="Arial" w:hAnsi="Arial"/>
                <w:b/>
                <w:sz w:val="19"/>
              </w:rPr>
              <w:t>Method</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Precision@5</w:t>
            </w:r>
          </w:p>
        </w:tc>
        <w:tc>
          <w:tcPr>
            <w:tcW w:type="dxa" w:w="1531"/>
            <w:vAlign w:val="center"/>
            <w:tcMar>
              <w:top w:w="90" w:type="dxa"/>
              <w:bottom w:w="90" w:type="dxa"/>
              <w:left w:w="90" w:type="dxa"/>
              <w:right w:w="90" w:type="dxa"/>
            </w:tcMar>
            <w:shd w:fill="E9EEF3"/>
          </w:tcPr>
          <w:p>
            <w:pPr>
              <w:keepNext/>
              <w:spacing w:after="0"/>
              <w:jc w:val="center"/>
            </w:pPr>
            <w:r>
              <w:rPr>
                <w:rFonts w:ascii="Arial" w:hAnsi="Arial"/>
                <w:b/>
                <w:sz w:val="19"/>
              </w:rPr>
              <w:t>Precision@10</w:t>
            </w:r>
          </w:p>
        </w:tc>
        <w:tc>
          <w:tcPr>
            <w:tcW w:type="dxa" w:w="1134"/>
            <w:vAlign w:val="center"/>
            <w:tcMar>
              <w:top w:w="90" w:type="dxa"/>
              <w:bottom w:w="90" w:type="dxa"/>
              <w:left w:w="90" w:type="dxa"/>
              <w:right w:w="90" w:type="dxa"/>
            </w:tcMar>
            <w:shd w:fill="E9EEF3"/>
          </w:tcPr>
          <w:p>
            <w:pPr>
              <w:keepNext/>
              <w:spacing w:after="0"/>
              <w:jc w:val="center"/>
            </w:pPr>
            <w:r>
              <w:rPr>
                <w:rFonts w:ascii="Arial" w:hAnsi="Arial"/>
                <w:b/>
                <w:sz w:val="19"/>
              </w:rPr>
              <w:t>MRR@10</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nDCG@5 (pooled)</w:t>
            </w:r>
          </w:p>
        </w:tc>
        <w:tc>
          <w:tcPr>
            <w:tcW w:type="dxa" w:w="1871"/>
            <w:vAlign w:val="center"/>
            <w:tcMar>
              <w:top w:w="90" w:type="dxa"/>
              <w:bottom w:w="90" w:type="dxa"/>
              <w:left w:w="90" w:type="dxa"/>
              <w:right w:w="90" w:type="dxa"/>
            </w:tcMar>
            <w:shd w:fill="E9EEF3"/>
          </w:tcPr>
          <w:p>
            <w:pPr>
              <w:keepNext/>
              <w:spacing w:after="0"/>
              <w:jc w:val="center"/>
            </w:pPr>
            <w:r>
              <w:rPr>
                <w:rFonts w:ascii="Arial" w:hAnsi="Arial"/>
                <w:b/>
                <w:sz w:val="19"/>
              </w:rPr>
              <w:t>nDCG@10 (pooled)</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R1</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0.3000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0.3333</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0.0565</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0.1604</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R2</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0.2000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0.1250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0.0542</w:t>
            </w:r>
          </w:p>
        </w:tc>
      </w:tr>
      <w:tr>
        <w:trPr>
          <w:cantSplit/>
        </w:trPr>
        <w:tc>
          <w:tcPr>
            <w:tcW w:type="dxa" w:w="1134"/>
            <w:vAlign w:val="center"/>
            <w:tcMar>
              <w:top w:w="90" w:type="dxa"/>
              <w:bottom w:w="90" w:type="dxa"/>
              <w:left w:w="90" w:type="dxa"/>
              <w:right w:w="90" w:type="dxa"/>
            </w:tcMar>
          </w:tcPr>
          <w:p>
            <w:pPr>
              <w:keepNext/>
              <w:spacing w:after="0"/>
              <w:jc w:val="left"/>
            </w:pPr>
            <w:r>
              <w:rPr>
                <w:rFonts w:ascii="Arial" w:hAnsi="Arial"/>
                <w:b w:val="0"/>
                <w:sz w:val="19"/>
              </w:rPr>
              <w:t>R3</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531"/>
            <w:vAlign w:val="center"/>
            <w:tcMar>
              <w:top w:w="90" w:type="dxa"/>
              <w:bottom w:w="90" w:type="dxa"/>
              <w:left w:w="90" w:type="dxa"/>
              <w:right w:w="90" w:type="dxa"/>
            </w:tcMar>
          </w:tcPr>
          <w:p>
            <w:pPr>
              <w:keepNext/>
              <w:spacing w:after="0"/>
              <w:jc w:val="center"/>
            </w:pPr>
            <w:r>
              <w:rPr>
                <w:rFonts w:ascii="Arial" w:hAnsi="Arial"/>
                <w:b w:val="0"/>
                <w:sz w:val="19"/>
              </w:rPr>
              <w:t>0.7000</w:t>
            </w:r>
          </w:p>
        </w:tc>
        <w:tc>
          <w:tcPr>
            <w:tcW w:type="dxa" w:w="1134"/>
            <w:vAlign w:val="center"/>
            <w:tcMar>
              <w:top w:w="90" w:type="dxa"/>
              <w:bottom w:w="90" w:type="dxa"/>
              <w:left w:w="90" w:type="dxa"/>
              <w:right w:w="90" w:type="dxa"/>
            </w:tcMar>
          </w:tcPr>
          <w:p>
            <w:pPr>
              <w:keepNext/>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0.6608</w:t>
            </w:r>
          </w:p>
        </w:tc>
        <w:tc>
          <w:tcPr>
            <w:tcW w:type="dxa" w:w="1871"/>
            <w:vAlign w:val="center"/>
            <w:tcMar>
              <w:top w:w="90" w:type="dxa"/>
              <w:bottom w:w="90" w:type="dxa"/>
              <w:left w:w="90" w:type="dxa"/>
              <w:right w:w="90" w:type="dxa"/>
            </w:tcMar>
          </w:tcPr>
          <w:p>
            <w:pPr>
              <w:keepNext/>
              <w:spacing w:after="0"/>
              <w:jc w:val="center"/>
            </w:pPr>
            <w:r>
              <w:rPr>
                <w:rFonts w:ascii="Arial" w:hAnsi="Arial"/>
                <w:b w:val="0"/>
                <w:sz w:val="19"/>
              </w:rPr>
              <w:t>0.5859</w:t>
            </w:r>
          </w:p>
        </w:tc>
      </w:tr>
      <w:tr>
        <w:trPr>
          <w:cantSplit/>
        </w:trPr>
        <w:tc>
          <w:tcPr>
            <w:tcW w:type="dxa" w:w="1134"/>
            <w:vAlign w:val="center"/>
            <w:tcMar>
              <w:top w:w="90" w:type="dxa"/>
              <w:bottom w:w="90" w:type="dxa"/>
              <w:left w:w="90" w:type="dxa"/>
              <w:right w:w="90" w:type="dxa"/>
            </w:tcMar>
          </w:tcPr>
          <w:p>
            <w:pPr>
              <w:keepNext w:val="0"/>
              <w:spacing w:after="0"/>
              <w:jc w:val="left"/>
            </w:pPr>
            <w:r>
              <w:rPr>
                <w:rFonts w:ascii="Arial" w:hAnsi="Arial"/>
                <w:b w:val="0"/>
                <w:sz w:val="19"/>
              </w:rPr>
              <w:t>R4</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0.8000</w:t>
            </w:r>
          </w:p>
        </w:tc>
        <w:tc>
          <w:tcPr>
            <w:tcW w:type="dxa" w:w="1531"/>
            <w:vAlign w:val="center"/>
            <w:tcMar>
              <w:top w:w="90" w:type="dxa"/>
              <w:bottom w:w="90" w:type="dxa"/>
              <w:left w:w="90" w:type="dxa"/>
              <w:right w:w="90" w:type="dxa"/>
            </w:tcMar>
          </w:tcPr>
          <w:p>
            <w:pPr>
              <w:keepNext w:val="0"/>
              <w:spacing w:after="0"/>
              <w:jc w:val="center"/>
            </w:pPr>
            <w:r>
              <w:rPr>
                <w:rFonts w:ascii="Arial" w:hAnsi="Arial"/>
                <w:b w:val="0"/>
                <w:sz w:val="19"/>
              </w:rPr>
              <w:t>0.7000</w:t>
            </w:r>
          </w:p>
        </w:tc>
        <w:tc>
          <w:tcPr>
            <w:tcW w:type="dxa" w:w="1134"/>
            <w:vAlign w:val="center"/>
            <w:tcMar>
              <w:top w:w="90" w:type="dxa"/>
              <w:bottom w:w="90" w:type="dxa"/>
              <w:left w:w="90" w:type="dxa"/>
              <w:right w:w="90" w:type="dxa"/>
            </w:tcMar>
          </w:tcPr>
          <w:p>
            <w:pPr>
              <w:keepNext w:val="0"/>
              <w:spacing w:after="0"/>
              <w:jc w:val="center"/>
            </w:pPr>
            <w:r>
              <w:rPr>
                <w:rFonts w:ascii="Arial" w:hAnsi="Arial"/>
                <w:b w:val="0"/>
                <w:sz w:val="19"/>
              </w:rPr>
              <w:t>1.0000</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0.6278</w:t>
            </w:r>
          </w:p>
        </w:tc>
        <w:tc>
          <w:tcPr>
            <w:tcW w:type="dxa" w:w="1871"/>
            <w:vAlign w:val="center"/>
            <w:tcMar>
              <w:top w:w="90" w:type="dxa"/>
              <w:bottom w:w="90" w:type="dxa"/>
              <w:left w:w="90" w:type="dxa"/>
              <w:right w:w="90" w:type="dxa"/>
            </w:tcMar>
          </w:tcPr>
          <w:p>
            <w:pPr>
              <w:keepNext w:val="0"/>
              <w:spacing w:after="0"/>
              <w:jc w:val="center"/>
            </w:pPr>
            <w:r>
              <w:rPr>
                <w:rFonts w:ascii="Arial" w:hAnsi="Arial"/>
                <w:b w:val="0"/>
                <w:sz w:val="19"/>
              </w:rPr>
              <w:t>0.6357</w:t>
            </w:r>
          </w:p>
        </w:tc>
      </w:tr>
    </w:tbl>
    <w:p/>
    <w:p>
      <w:pPr>
        <w:pStyle w:val="Heading1"/>
      </w:pPr>
      <w:r>
        <w:t>Kelengkapan dan batas interpretasi</w:t>
      </w:r>
    </w:p>
    <w:p>
      <w:r>
        <w:t>654/654 RESOLVED; missing 0; UNRESOLVED 0.</w:t>
      </w:r>
    </w:p>
    <w:p>
      <w:r>
        <w:t>Main evaluation belum dijalankan. Tidak ada kesimpulan metode terbaik atau signifikansi statistik. Hasil ini menggunakan corpus sintetis, development queries, dan satu penilai peneliti. nDCG pooled dapat berbeda dari nDCG dengan exhaustive corpus judgments.</w:t>
      </w:r>
    </w:p>
    <w:p>
      <w:r>
        <w:t>Descriptive paired method differences tersedia pada JSON/CSV yang menyertai laporan; bukan pengujian signifikansi.</w:t>
      </w:r>
    </w:p>
    <w:p>
      <w:pPr>
        <w:pStyle w:val="Heading1"/>
      </w:pPr>
      <w:r>
        <w:t>Interpretasi hasil development</w:t>
      </w:r>
    </w:p>
    <w:p>
      <w:r>
        <w:t>Pada Precision@10, macro-average tertinggi dalam development set ini adalah R4 dengan nilai 0.588889. Perbedaan ini bersifat deskriptif; bukan bukti keunggulan statistik atau generalisasi pada evaluation queries independen.</w:t>
      </w:r>
    </w:p>
    <w:p>
      <w:r>
        <w:t>Pada MRR@10, macro-average tertinggi dalam development set ini adalah R3 dengan nilai 0.972222. Perbedaan ini bersifat deskriptif; bukan bukti keunggulan statistik atau generalisasi pada evaluation queries independen.</w:t>
      </w:r>
    </w:p>
    <w:p>
      <w:r>
        <w:t>Pada nDCG@10 (pooled), macro-average tertinggi dalam development set ini adalah R3 dengan nilai 0.663459. Perbedaan ini bersifat deskriptif; bukan bukti keunggulan statistik atau generalisasi pada evaluation queries independen.</w:t>
      </w:r>
    </w:p>
    <w:p>
      <w:r>
        <w:t>Langkah berikutnya adalah menyepakati evaluation queries independen dan protokol bersama pembimbing, membekukan rancangan, lalu menilai relevansinya dalam workspace terpisah. Rencana 75 evaluation queries belum difinalisasi. Review praktisi WO atau second human assessor dapat ditambahkan sebagai tahap validasi tersendiri.</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Hasil Evaluasi Development Retrieval</dc:title>
  <dc:subject/>
  <dc:creator>Muhammad Ivan Verdyansyah</dc:creator>
  <cp:keywords/>
  <dc:description>generated by python-docx</dc:description>
  <cp:lastModifiedBy/>
  <cp:revision>1</cp:revision>
  <dcterms:created xsi:type="dcterms:W3CDTF">2013-12-23T23:15:00Z</dcterms:created>
  <dcterms:modified xsi:type="dcterms:W3CDTF">2013-12-23T23:15:00Z</dcterms:modified>
  <cp:category/>
</cp:coreProperties>
</file>