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A1F36"/>
          <w:sz w:val="10"/>
          <w:szCs w:val="10"/>
        </w:rPr>
        <w:t xml:space="preserve"/>
      </w:r>
    </w:p>
    <w:p>
      <w:pPr>
        <w:spacing w:after="0" w:before="0"/>
        <w:jc w:val="center"/>
      </w:pPr>
      <w:r>
        <w:rPr>
          <w:rFonts w:ascii="Arial" w:cs="Arial" w:eastAsia="Arial" w:hAnsi="Arial"/>
          <w:b/>
          <w:bCs/>
          <w:color w:val="4361EE"/>
          <w:sz w:val="80"/>
          <w:szCs w:val="80"/>
        </w:rPr>
        <w:t xml:space="preserve">SUPERSTORE</w:t>
      </w:r>
    </w:p>
    <w:p>
      <w:pPr>
        <w:spacing w:after="160" w:before="0"/>
        <w:jc w:val="center"/>
      </w:pPr>
      <w:r>
        <w:rPr>
          <w:rFonts w:ascii="Arial" w:cs="Arial" w:eastAsia="Arial" w:hAnsi="Arial"/>
          <w:b/>
          <w:bCs/>
          <w:color w:val="1A1F36"/>
          <w:sz w:val="80"/>
          <w:szCs w:val="80"/>
        </w:rPr>
        <w:t xml:space="preserve">ANALYTICS REPORT</w:t>
      </w:r>
    </w:p>
    <w:p>
      <w:pPr>
        <w:pBdr>
          <w:bottom w:val="single" w:color="4361EE" w:sz="12" w:space="1"/>
        </w:pBdr>
        <w:spacing w:after="240" w:before="0"/>
      </w:pPr>
    </w:p>
    <w:p>
      <w:pPr>
        <w:jc w:val="center"/>
      </w:pPr>
      <w:r>
        <w:rPr>
          <w:rFonts w:ascii="Arial" w:cs="Arial" w:eastAsia="Arial" w:hAnsi="Arial"/>
          <w:b/>
          <w:bCs/>
          <w:color w:val="6B7280"/>
          <w:sz w:val="24"/>
          <w:szCs w:val="24"/>
        </w:rPr>
        <w:t xml:space="preserve">TEAM 4</w:t>
      </w:r>
    </w:p>
    <w:p>
      <w:pPr>
        <w:spacing w:after="80" w:before="80"/>
        <w:jc w:val="center"/>
      </w:pPr>
      <w:r>
        <w:rPr>
          <w:rFonts w:ascii="Arial" w:cs="Arial" w:eastAsia="Arial" w:hAnsi="Arial"/>
          <w:color w:val="1A1F36"/>
          <w:sz w:val="22"/>
          <w:szCs w:val="22"/>
        </w:rPr>
        <w:t xml:space="preserve">Ivana Caridad Lovera Ruiz, Linda, Diogo Ruas, Daniel Santos</w:t>
      </w:r>
    </w:p>
    <w:p>
      <w:pPr>
        <w:jc w:val="center"/>
      </w:pPr>
      <w:r>
        <w:rPr>
          <w:rFonts w:ascii="Arial" w:cs="Arial" w:eastAsia="Arial" w:hAnsi="Arial"/>
          <w:color w:val="6B7280"/>
          <w:sz w:val="22"/>
          <w:szCs w:val="22"/>
        </w:rPr>
        <w:t xml:space="preserve">Porto Business School</w:t>
      </w:r>
    </w:p>
    <w:p>
      <w:pPr>
        <w:jc w:val="center"/>
      </w:pPr>
      <w:r>
        <w:rPr>
          <w:rFonts w:ascii="Arial" w:cs="Arial" w:eastAsia="Arial" w:hAnsi="Arial"/>
          <w:color w:val="6B7280"/>
          <w:sz w:val="22"/>
          <w:szCs w:val="22"/>
        </w:rPr>
        <w:t xml:space="preserve">Master in Business Analytics &amp; AI</w:t>
      </w:r>
    </w:p>
    <w:p>
      <w:pPr>
        <w:spacing w:after="80" w:before="0"/>
        <w:jc w:val="center"/>
      </w:pPr>
      <w:r>
        <w:rPr>
          <w:rFonts w:ascii="Arial" w:cs="Arial" w:eastAsia="Arial" w:hAnsi="Arial"/>
          <w:color w:val="6B7280"/>
          <w:sz w:val="22"/>
          <w:szCs w:val="22"/>
        </w:rPr>
        <w:t xml:space="preserve">Business Statistics &amp; Insights</w:t>
      </w:r>
    </w:p>
    <w:p>
      <w:pPr>
        <w:spacing w:after="400" w:before="0"/>
        <w:jc w:val="center"/>
      </w:pPr>
      <w:r>
        <w:rPr>
          <w:rFonts w:ascii="Arial" w:cs="Arial" w:eastAsia="Arial" w:hAnsi="Arial"/>
          <w:color w:val="6B7280"/>
          <w:sz w:val="20"/>
          <w:szCs w:val="20"/>
        </w:rPr>
        <w:t xml:space="preserve">Prof. Pedro José Ramos Moreira Campos</w:t>
      </w:r>
    </w:p>
    <w:p>
      <w:pPr>
        <w:spacing w:after="320" w:before="0"/>
        <w:jc w:val="center"/>
      </w:pPr>
      <w:r>
        <w:rPr>
          <w:rFonts w:ascii="Arial" w:cs="Arial" w:eastAsia="Arial" w:hAnsi="Arial"/>
          <w:color w:val="6B7280"/>
          <w:sz w:val="24"/>
          <w:szCs w:val="24"/>
        </w:rPr>
        <w:t xml:space="preserve">"Which customer segments create the most value, and how should the organisation allocate its marketing budget to maximise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$2.30M</w:t>
            </w:r>
          </w:p>
        </w:tc>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$286K</w:t>
            </w:r>
          </w:p>
        </w:tc>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793</w:t>
            </w:r>
          </w:p>
        </w:tc>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12.5%</w:t>
            </w:r>
          </w:p>
        </w:tc>
      </w:tr>
      <w:tr>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Total Sales</w:t>
            </w:r>
          </w:p>
        </w:tc>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Total Profit</w:t>
            </w:r>
          </w:p>
        </w:tc>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Customers</w:t>
            </w:r>
          </w:p>
        </w:tc>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Overall Margin</w:t>
            </w:r>
          </w:p>
        </w:tc>
      </w:tr>
      <w:tr>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$18.51</w:t>
            </w:r>
          </w:p>
        </w:tc>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62×</w:t>
            </w:r>
          </w:p>
        </w:tc>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$567K</w:t>
            </w:r>
          </w:p>
        </w:tc>
        <w:tc>
          <w:tcPr>
            <w:tcW w:type="dxa" w:w="2340"/>
            <w:tcBorders>
              <w:top w:val="single" w:color="D1D5DB" w:sz="1"/>
              <w:left w:val="single" w:color="D1D5DB" w:sz="1"/>
              <w:bottom w:val="single" w:color="D1D5DB" w:sz="1"/>
              <w:right w:val="single" w:color="D1D5DB" w:sz="1"/>
            </w:tcBorders>
            <w:shd w:fill="1A1F36"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104</w:t>
            </w:r>
          </w:p>
        </w:tc>
      </w:tr>
      <w:tr>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Avg CAC</w:t>
            </w:r>
          </w:p>
        </w:tc>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Avg LTV:CAC</w:t>
            </w:r>
          </w:p>
        </w:tc>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Discount Cost</w:t>
            </w:r>
          </w:p>
        </w:tc>
        <w:tc>
          <w:tcPr>
            <w:tcW w:type="dxa" w:w="2340"/>
            <w:tcBorders>
              <w:top w:val="single" w:color="D1D5DB" w:sz="1"/>
              <w:left w:val="single" w:color="D1D5DB" w:sz="1"/>
              <w:bottom w:val="single" w:color="D1D5DB" w:sz="1"/>
              <w:right w:val="single" w:color="D1D5DB" w:sz="1"/>
            </w:tcBorders>
            <w:shd w:fill="EEF1FD" w:val="clear"/>
            <w:tcMar>
              <w:top w:type="dxa" w:w="100"/>
              <w:left w:type="dxa" w:w="120"/>
              <w:bottom w:type="dxa" w:w="100"/>
              <w:right w:type="dxa" w:w="120"/>
            </w:tcMar>
          </w:tcPr>
          <w:p>
            <w:pPr>
              <w:jc w:val="center"/>
            </w:pPr>
            <w:r>
              <w:rPr>
                <w:rFonts w:ascii="Arial" w:cs="Arial" w:eastAsia="Arial" w:hAnsi="Arial"/>
                <w:color w:val="6B7280"/>
                <w:sz w:val="19"/>
                <w:szCs w:val="19"/>
              </w:rPr>
              <w:t xml:space="preserve">Champions</w:t>
            </w:r>
          </w:p>
        </w:tc>
      </w:tr>
    </w:tbl>
    <w:p>
      <w:pPr>
        <w:spacing w:after="0" w:before="180"/>
        <w:jc w:val="center"/>
      </w:pPr>
      <w:r>
        <w:rPr>
          <w:rFonts w:ascii="Arial" w:cs="Arial" w:eastAsia="Arial" w:hAnsi="Arial"/>
          <w:color w:val="6B7280"/>
          <w:sz w:val="18"/>
          <w:szCs w:val="18"/>
        </w:rPr>
        <w:t xml:space="preserve">Dataset: 9,994 transactions | 793 customers | Jan 2014 – Dec 2017 | Superstore Sales</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1. Introduction</w:t>
      </w:r>
    </w:p>
    <w:p>
      <w:pPr>
        <w:spacing w:after="80" w:before="80" w:line="276" w:lineRule="auto"/>
      </w:pPr>
      <w:r>
        <w:rPr>
          <w:rFonts w:ascii="Arial" w:cs="Arial" w:eastAsia="Arial" w:hAnsi="Arial"/>
          <w:color w:val="1A1F36"/>
          <w:sz w:val="22"/>
          <w:szCs w:val="22"/>
        </w:rPr>
        <w:t xml:space="preserve">This report presents a comprehensive analytical study of the Superstore Sales dataset, covering 9,994 retail transactions from January 2014 to December 2017. The study was conducted by Team 4 as part of the Business Statistics &amp; Insights module of the Master in Business Analytics &amp; AI at Porto Business School.</w:t>
      </w:r>
    </w:p>
    <w:p>
      <w:pPr>
        <w:spacing w:after="80" w:before="80" w:line="276" w:lineRule="auto"/>
      </w:pPr>
      <w:r>
        <w:rPr>
          <w:rFonts w:ascii="Arial" w:cs="Arial" w:eastAsia="Arial" w:hAnsi="Arial"/>
          <w:color w:val="1A1F36"/>
          <w:sz w:val="22"/>
          <w:szCs w:val="22"/>
        </w:rPr>
        <w:t xml:space="preserve">The analytical framework serves two purposes: fulfilling the four assignment tasks (Data Preparation, Descriptive Statistics, Statistical Inference, Recommendations), and demonstrating professional competencies aligned with senior analytics roles in Finance and Marketing — specifically around marketing mix profitability, customer segmentation, forecasting, and reporting.</w:t>
      </w:r>
    </w:p>
    <w:p>
      <w:pPr>
        <w:pStyle w:val="Heading2"/>
        <w:spacing w:after="120" w:before="280"/>
      </w:pPr>
      <w:r>
        <w:rPr>
          <w:rFonts w:ascii="Arial" w:cs="Arial" w:eastAsia="Arial" w:hAnsi="Arial"/>
          <w:b/>
          <w:bCs/>
          <w:color w:val="4361EE"/>
          <w:sz w:val="26"/>
          <w:szCs w:val="26"/>
        </w:rPr>
        <w:t xml:space="preserve">1.1 Dataset Overview</w:t>
      </w:r>
    </w:p>
    <w:p>
      <w:pPr>
        <w:spacing w:after="80" w:before="80" w:line="276" w:lineRule="auto"/>
      </w:pPr>
      <w:r>
        <w:rPr>
          <w:rFonts w:ascii="Arial" w:cs="Arial" w:eastAsia="Arial" w:hAnsi="Arial"/>
          <w:color w:val="1A1F36"/>
          <w:sz w:val="22"/>
          <w:szCs w:val="22"/>
        </w:rPr>
        <w:t xml:space="preserve">The Superstore Sales dataset (Kaggle) covers US retail transactions across three customer segments (Consumer, Corporate, Home Office), four regions, and three product categories (Furniture, Office Supplies, Technology). All 9,994 records were retained; no imputation or deletion was required.</w:t>
      </w:r>
    </w:p>
    <w:p>
      <w:pPr>
        <w:pStyle w:val="Heading2"/>
        <w:spacing w:after="120" w:before="280"/>
      </w:pPr>
      <w:r>
        <w:rPr>
          <w:rFonts w:ascii="Arial" w:cs="Arial" w:eastAsia="Arial" w:hAnsi="Arial"/>
          <w:b/>
          <w:bCs/>
          <w:color w:val="4361EE"/>
          <w:sz w:val="26"/>
          <w:szCs w:val="26"/>
        </w:rPr>
        <w:t xml:space="preserve">1.2 Technical Environment</w:t>
      </w:r>
    </w:p>
    <w:p>
      <w:pPr>
        <w:spacing w:after="80" w:before="80" w:line="276" w:lineRule="auto"/>
      </w:pPr>
      <w:r>
        <w:rPr>
          <w:rFonts w:ascii="Arial" w:cs="Arial" w:eastAsia="Arial" w:hAnsi="Arial"/>
          <w:color w:val="1A1F36"/>
          <w:sz w:val="22"/>
          <w:szCs w:val="22"/>
        </w:rPr>
        <w:t xml:space="preserve">Analysis was conducted in Python (pandas, scikit-learn, scipy, statsmodels, matplotlib, seaborn, Plotly). Results were exported to Google BigQuery for SQL validation and Looker Studio for interactive dashboarding. Reproducibility is ensured via fixed random seeds (numpy seed 42) and version-controlled Jupyter notebooks. Synthetic marketing channel data was generated with professor approval to enable CAC and CLV analysis (see Section 3.3).</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2. Business Problem</w:t>
      </w:r>
    </w:p>
    <w:p>
      <w:pPr>
        <w:spacing w:after="80" w:before="80" w:line="276" w:lineRule="auto"/>
      </w:pPr>
      <w:r>
        <w:rPr>
          <w:rFonts w:ascii="Arial" w:cs="Arial" w:eastAsia="Arial" w:hAnsi="Arial"/>
          <w:color w:val="1A1F36"/>
          <w:sz w:val="22"/>
          <w:szCs w:val="22"/>
        </w:rPr>
        <w:t xml:space="preserve">Despite generating $2.30M in sales over four years, the Superstore achieves only a 12.5% net margin — a figure that conceals significant value destruction at the sub-category and discount level. Three interconnected problems motivate this analysis:</w:t>
      </w:r>
    </w:p>
    <w:p>
      <w:pPr>
        <w:pStyle w:val="Heading2"/>
        <w:spacing w:after="120" w:before="280"/>
      </w:pPr>
      <w:r>
        <w:rPr>
          <w:rFonts w:ascii="Arial" w:cs="Arial" w:eastAsia="Arial" w:hAnsi="Arial"/>
          <w:b/>
          <w:bCs/>
          <w:color w:val="4361EE"/>
          <w:sz w:val="26"/>
          <w:szCs w:val="26"/>
        </w:rPr>
        <w:t xml:space="preserve">2.1 Indiscriminate Discounting</w:t>
      </w:r>
    </w:p>
    <w:p>
      <w:pPr>
        <w:spacing w:after="80" w:before="80" w:line="276" w:lineRule="auto"/>
      </w:pPr>
      <w:r>
        <w:rPr>
          <w:rFonts w:ascii="Arial" w:cs="Arial" w:eastAsia="Arial" w:hAnsi="Arial"/>
          <w:color w:val="1A1F36"/>
          <w:sz w:val="22"/>
          <w:szCs w:val="22"/>
        </w:rPr>
        <w:t xml:space="preserve">The company applies discounts across all segments and categories without a systematic policy. Orders with discounts above 20% generate average losses of $77–$107 per order. With $567K in discount cost representing 24.7% of total sales, this is the single largest controllable margin leakage in the business.</w:t>
      </w:r>
    </w:p>
    <w:p>
      <w:pPr>
        <w:pStyle w:val="Heading2"/>
        <w:spacing w:after="120" w:before="280"/>
      </w:pPr>
      <w:r>
        <w:rPr>
          <w:rFonts w:ascii="Arial" w:cs="Arial" w:eastAsia="Arial" w:hAnsi="Arial"/>
          <w:b/>
          <w:bCs/>
          <w:color w:val="4361EE"/>
          <w:sz w:val="26"/>
          <w:szCs w:val="26"/>
        </w:rPr>
        <w:t xml:space="preserve">2.2 Undifferentiated Segment Treatment</w:t>
      </w:r>
    </w:p>
    <w:p>
      <w:pPr>
        <w:spacing w:after="80" w:before="80" w:line="276" w:lineRule="auto"/>
      </w:pPr>
      <w:r>
        <w:rPr>
          <w:rFonts w:ascii="Arial" w:cs="Arial" w:eastAsia="Arial" w:hAnsi="Arial"/>
          <w:color w:val="1A1F36"/>
          <w:sz w:val="22"/>
          <w:szCs w:val="22"/>
        </w:rPr>
        <w:t xml:space="preserve">The three predefined segments (Consumer, Corporate, Home Office) are administrative classifications, not behavioural archetypes. As our clustering analysis demonstrates, they share almost identical distributions of customer behaviour — providing no additional targeting signal beyond what data-driven segmentation reveals.</w:t>
      </w:r>
    </w:p>
    <w:p>
      <w:pPr>
        <w:pStyle w:val="Heading2"/>
        <w:spacing w:after="120" w:before="280"/>
      </w:pPr>
      <w:r>
        <w:rPr>
          <w:rFonts w:ascii="Arial" w:cs="Arial" w:eastAsia="Arial" w:hAnsi="Arial"/>
          <w:b/>
          <w:bCs/>
          <w:color w:val="4361EE"/>
          <w:sz w:val="26"/>
          <w:szCs w:val="26"/>
        </w:rPr>
        <w:t xml:space="preserve">2.3 Inefficient Channel Allocation</w:t>
      </w:r>
    </w:p>
    <w:p>
      <w:pPr>
        <w:spacing w:after="80" w:before="80" w:line="276" w:lineRule="auto"/>
      </w:pPr>
      <w:r>
        <w:rPr>
          <w:rFonts w:ascii="Arial" w:cs="Arial" w:eastAsia="Arial" w:hAnsi="Arial"/>
          <w:color w:val="1A1F36"/>
          <w:sz w:val="22"/>
          <w:szCs w:val="22"/>
        </w:rPr>
        <w:t xml:space="preserve">Display advertising acquires customers at $40.15 CAC with a 30x LTV:CAC return. Email acquires at $5.97 with a 101x return — a 6.7x efficiency gap. The current allocation does not reflect this differential.</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3. Data Preparation</w:t>
      </w:r>
    </w:p>
    <w:p>
      <w:pPr>
        <w:spacing w:after="80" w:before="80" w:line="276" w:lineRule="auto"/>
      </w:pPr>
      <w:r>
        <w:rPr>
          <w:rFonts w:ascii="Arial" w:cs="Arial" w:eastAsia="Arial" w:hAnsi="Arial"/>
          <w:color w:val="1A1F36"/>
          <w:sz w:val="22"/>
          <w:szCs w:val="22"/>
        </w:rPr>
        <w:t xml:space="preserve">Data preparation followed a governance-aware approach consistent with a dbt-style transformation architecture (staging → intermediate → marts), producing a clean, enriched dataset with a documented audit trail and zero data loss.</w:t>
      </w:r>
    </w:p>
    <w:p>
      <w:pPr>
        <w:pStyle w:val="Heading2"/>
        <w:spacing w:after="120" w:before="280"/>
      </w:pPr>
      <w:r>
        <w:rPr>
          <w:rFonts w:ascii="Arial" w:cs="Arial" w:eastAsia="Arial" w:hAnsi="Arial"/>
          <w:b/>
          <w:bCs/>
          <w:color w:val="4361EE"/>
          <w:sz w:val="26"/>
          <w:szCs w:val="26"/>
        </w:rPr>
        <w:t xml:space="preserve">3.1 Data Quality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c>
          <w:tcPr>
            <w:tcW w:type="dxa" w:w="26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17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50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Taken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Null values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0 nulls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No imputation required</w:t>
            </w:r>
          </w:p>
        </w:tc>
      </w:tr>
      <w:tr>
        <w:tc>
          <w:tcPr>
            <w:tcW w:type="dxa" w:w="2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Duplicate rows</w:t>
            </w:r>
          </w:p>
        </w:tc>
        <w:tc>
          <w:tcPr>
            <w:tcW w:type="dxa" w:w="17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0 duplicates</w:t>
            </w:r>
          </w:p>
        </w:tc>
        <w:tc>
          <w:tcPr>
            <w:tcW w:type="dxa" w:w="50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Dataset confirmed clean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Ship Date &lt; Order Date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0 violations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Temporal integrity confirmed</w:t>
            </w:r>
          </w:p>
        </w:tc>
      </w:tr>
      <w:tr>
        <w:tc>
          <w:tcPr>
            <w:tcW w:type="dxa" w:w="2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Profit Margin outliers</w:t>
            </w:r>
          </w:p>
        </w:tc>
        <w:tc>
          <w:tcPr>
            <w:tcW w:type="dxa" w:w="17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Flagged</w:t>
            </w:r>
          </w:p>
        </w:tc>
        <w:tc>
          <w:tcPr>
            <w:tcW w:type="dxa" w:w="50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Winsorisation applied for clustering (records kept)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Discount distribution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Multimodal</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Discrete policy structure confirmed — 0%, 20%, 40%, 60%, 80%</w:t>
            </w:r>
          </w:p>
        </w:tc>
      </w:tr>
      <w:tr>
        <w:tc>
          <w:tcPr>
            <w:tcW w:type="dxa" w:w="2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Date range</w:t>
            </w:r>
          </w:p>
        </w:tc>
        <w:tc>
          <w:tcPr>
            <w:tcW w:type="dxa" w:w="17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2014–2017</w:t>
            </w:r>
          </w:p>
        </w:tc>
        <w:tc>
          <w:tcPr>
            <w:tcW w:type="dxa" w:w="50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4 complete calendar years — suitable for seasonality analysis</w:t>
            </w:r>
          </w:p>
        </w:tc>
      </w:tr>
    </w:tbl>
    <w:p>
      <w:pPr>
        <w:spacing w:after="200" w:before="80"/>
        <w:jc w:val="center"/>
      </w:pPr>
      <w:r>
        <w:rPr>
          <w:rFonts w:ascii="Arial" w:cs="Arial" w:eastAsia="Arial" w:hAnsi="Arial"/>
          <w:color w:val="6B7280"/>
          <w:sz w:val="19"/>
          <w:szCs w:val="19"/>
        </w:rPr>
        <w:t xml:space="preserve">Table 1: Data quality checks and outcomes</w:t>
      </w:r>
    </w:p>
    <w:p>
      <w:pPr>
        <w:spacing w:after="80" w:before="80" w:line="276" w:lineRule="auto"/>
      </w:pPr>
      <w:r>
        <w:rPr>
          <w:rFonts w:ascii="Arial" w:cs="Arial" w:eastAsia="Arial" w:hAnsi="Arial"/>
          <w:color w:val="1A1F36"/>
          <w:sz w:val="22"/>
          <w:szCs w:val="22"/>
        </w:rPr>
        <w:t xml:space="preserve">No records were dropped. The dataset is internally consistent: zero nulls, zero duplicates, and no temporal violations. The discrete multimodal structure of the Discount variable confirms a structured pricing policy (spikes at 0%, 20%, 40%, 60%, 80%) rather than continuous negotiation.</w:t>
      </w:r>
    </w:p>
    <w:p>
      <w:pPr>
        <w:pStyle w:val="Heading2"/>
        <w:spacing w:after="120" w:before="280"/>
      </w:pPr>
      <w:r>
        <w:rPr>
          <w:rFonts w:ascii="Arial" w:cs="Arial" w:eastAsia="Arial" w:hAnsi="Arial"/>
          <w:b/>
          <w:bCs/>
          <w:color w:val="4361EE"/>
          <w:sz w:val="26"/>
          <w:szCs w:val="26"/>
        </w:rPr>
        <w:t xml:space="preserve">3.2 Feature Engineering</w:t>
      </w:r>
    </w:p>
    <w:p>
      <w:pPr>
        <w:spacing w:after="80" w:before="80" w:line="276" w:lineRule="auto"/>
      </w:pPr>
      <w:r>
        <w:rPr>
          <w:rFonts w:ascii="Arial" w:cs="Arial" w:eastAsia="Arial" w:hAnsi="Arial"/>
          <w:color w:val="1A1F36"/>
          <w:sz w:val="22"/>
          <w:szCs w:val="22"/>
        </w:rPr>
        <w:t xml:space="preserve">Nine derived columns were added to the base dataset to enable the analyses that follow. Profit Margin (Profit / Sales) converts absolute profit into a dimensionless comparator across orders of different sizes. Delivery Days (Ship Date minus Order Date) enables operational performance analysis independently of sales volume. Temporal features — Year, Quarter, Month, Month Name, and Year-Month string — decompose the time dimension for seasonal and trend analysis. Discount Category assigns each order to one of four ordered buckets (0%, 1–20%, 21–40%, &gt;40%), making the threshold effect in Section 4.5 immediately queryable. Discount_Cost, computed as (Sales / (1 − Discount)) × Discount, quantifies revenue foregone due to discounting on a per-order basis and aggregates to $567K across the dataset. State_abb provides a two-letter state abbreviation for geographic visualisations.</w:t>
      </w:r>
    </w:p>
    <w:p>
      <w:pPr>
        <w:pStyle w:val="Heading2"/>
        <w:spacing w:after="120" w:before="280"/>
      </w:pPr>
      <w:r>
        <w:rPr>
          <w:rFonts w:ascii="Arial" w:cs="Arial" w:eastAsia="Arial" w:hAnsi="Arial"/>
          <w:b/>
          <w:bCs/>
          <w:color w:val="4361EE"/>
          <w:sz w:val="26"/>
          <w:szCs w:val="26"/>
        </w:rPr>
        <w:t xml:space="preserve">3.3 Synthetic Marketing Data — Rationale and Design</w:t>
      </w:r>
    </w:p>
    <w:p>
      <w:pPr>
        <w:spacing w:after="80" w:before="80" w:line="276" w:lineRule="auto"/>
      </w:pPr>
      <w:r>
        <w:rPr>
          <w:rFonts w:ascii="Arial" w:cs="Arial" w:eastAsia="Arial" w:hAnsi="Arial"/>
          <w:color w:val="1A1F36"/>
          <w:sz w:val="22"/>
          <w:szCs w:val="22"/>
        </w:rPr>
        <w:t xml:space="preserve">The Superstore Sales dataset contains no marketing spend, acquisition channel, or campaign information. This is the standard limitation of transactional retail datasets: they record what was sold, but not how the customer was acquired or at what cost. Without this data, it is impossible to compute Customer Acquisition Cost (CAC), Return on Ad Spend (ROAS), or any LTV:CAC analysis — all of which are core to answering the business question of how to allocate the marketing budget.</w:t>
      </w:r>
    </w:p>
    <w:p>
      <w:pPr>
        <w:pBdr>
          <w:left w:val="single" w:color="4361EE" w:sz="12" w:space="12"/>
        </w:pBdr>
        <w:spacing w:after="120" w:before="120"/>
        <w:ind w:left="720"/>
      </w:pPr>
      <w:r>
        <w:rPr>
          <w:rFonts w:ascii="Arial" w:cs="Arial" w:eastAsia="Arial" w:hAnsi="Arial"/>
          <w:i/>
          <w:iCs/>
          <w:color w:val="4361EE"/>
          <w:sz w:val="21"/>
          <w:szCs w:val="21"/>
        </w:rPr>
        <w:t xml:space="preserve">The decision to generate synthetic marketing data was made deliberately, transparently, and with academic approval. All synthetic columns are clearly labelled in the data dictionary (Appendix B) and all LTV:CAC figures are explicitly flagged as directional proxies, not validated actuals.</w:t>
      </w:r>
    </w:p>
    <w:p>
      <w:pPr>
        <w:pStyle w:val="Heading3"/>
        <w:spacing w:after="100" w:before="200"/>
      </w:pPr>
      <w:r>
        <w:rPr>
          <w:rFonts w:ascii="Arial" w:cs="Arial" w:eastAsia="Arial" w:hAnsi="Arial"/>
          <w:b/>
          <w:bCs/>
          <w:color w:val="1A1F36"/>
          <w:sz w:val="23"/>
          <w:szCs w:val="23"/>
        </w:rPr>
        <w:t xml:space="preserve">3.3.1 Why synthetic data is methodologically defensible</w:t>
      </w:r>
    </w:p>
    <w:p>
      <w:pPr>
        <w:spacing w:after="80" w:before="80" w:line="276" w:lineRule="auto"/>
      </w:pPr>
      <w:r>
        <w:rPr>
          <w:rFonts w:ascii="Arial" w:cs="Arial" w:eastAsia="Arial" w:hAnsi="Arial"/>
          <w:color w:val="1A1F36"/>
          <w:sz w:val="22"/>
          <w:szCs w:val="22"/>
        </w:rPr>
        <w:t xml:space="preserve">Generating synthetic data calibrated to published industry benchmarks is a recognised approach in marketing analytics when real attribution data is unavailable. The alternative — ignoring channel economics entirely — would produce a less complete analysis. The approach used here is analogous to scenario modelling in finance: parameters are chosen from established reference points, clearly stated, and the output is interpreted as indicative rather than exact.</w:t>
      </w:r>
    </w:p>
    <w:p>
      <w:pPr>
        <w:spacing w:after="80" w:before="80" w:line="276" w:lineRule="auto"/>
      </w:pPr>
      <w:r>
        <w:rPr>
          <w:rFonts w:ascii="Arial" w:cs="Arial" w:eastAsia="Arial" w:hAnsi="Arial"/>
          <w:color w:val="1A1F36"/>
          <w:sz w:val="22"/>
          <w:szCs w:val="22"/>
        </w:rPr>
        <w:t xml:space="preserve">The synthetic data does not affect any of the statistical tests in Section 5 (which operate on the real transactional data) or the RFM/K-Means clustering in Section 6 (which is based on real purchase history). It is used exclusively in the CAC and LTV:CAC analyses in Sections 3.4 and 6.7–6.11, which are clearly scoped as marketing efficiency proxies.</w:t>
      </w:r>
    </w:p>
    <w:p>
      <w:pPr>
        <w:pStyle w:val="Heading3"/>
        <w:spacing w:after="100" w:before="200"/>
      </w:pPr>
      <w:r>
        <w:rPr>
          <w:rFonts w:ascii="Arial" w:cs="Arial" w:eastAsia="Arial" w:hAnsi="Arial"/>
          <w:b/>
          <w:bCs/>
          <w:color w:val="1A1F36"/>
          <w:sz w:val="23"/>
          <w:szCs w:val="23"/>
        </w:rPr>
        <w:t xml:space="preserve">3.3.2 Three synthetic tables generated</w:t>
      </w:r>
    </w:p>
    <w:p>
      <w:pPr>
        <w:pStyle w:val="ListParagraph"/>
        <w:numPr>
          <w:ilvl w:val="0"/>
          <w:numId w:val="2"/>
        </w:numPr>
        <w:spacing w:after="60" w:before="60"/>
      </w:pPr>
      <w:r>
        <w:rPr>
          <w:rFonts w:ascii="Arial" w:cs="Arial" w:eastAsia="Arial" w:hAnsi="Arial"/>
          <w:color w:val="1A1F36"/>
          <w:sz w:val="22"/>
          <w:szCs w:val="22"/>
        </w:rPr>
        <w:t xml:space="preserve">customer_acquisition (793 rows, one per unique customer): each customer is assigned an Acquisition_Channel drawn from a probability distribution weighted by their predefined Segment (Consumer, Corporate, Home Office), a CAC drawn from a channel-specific normal distribution calibrated to industry benchmarks, an Acquisition_Campaign label, and an LTV_CAC_Ratio computed as the customer's total historical profit divided by their assigned CAC.</w:t>
      </w:r>
    </w:p>
    <w:p>
      <w:pPr>
        <w:pStyle w:val="ListParagraph"/>
        <w:numPr>
          <w:ilvl w:val="0"/>
          <w:numId w:val="2"/>
        </w:numPr>
        <w:spacing w:after="60" w:before="60"/>
      </w:pPr>
      <w:r>
        <w:rPr>
          <w:rFonts w:ascii="Arial" w:cs="Arial" w:eastAsia="Arial" w:hAnsi="Arial"/>
          <w:color w:val="1A1F36"/>
          <w:sz w:val="22"/>
          <w:szCs w:val="22"/>
        </w:rPr>
        <w:t xml:space="preserve">monthly_channel_spend (288 rows: 6 channels × 48 months): monthly spend per channel with seasonal multipliers applied (Q4 higher for all channels; Q1 lower), enabling ROAS trending over the 2014–2017 period. ROAS is computed as channel-attributed revenue / channel spend.</w:t>
      </w:r>
    </w:p>
    <w:p>
      <w:pPr>
        <w:pStyle w:val="ListParagraph"/>
        <w:numPr>
          <w:ilvl w:val="0"/>
          <w:numId w:val="2"/>
        </w:numPr>
        <w:spacing w:after="60" w:before="60"/>
      </w:pPr>
      <w:r>
        <w:rPr>
          <w:rFonts w:ascii="Arial" w:cs="Arial" w:eastAsia="Arial" w:hAnsi="Arial"/>
          <w:color w:val="1A1F36"/>
          <w:sz w:val="22"/>
          <w:szCs w:val="22"/>
        </w:rPr>
        <w:t xml:space="preserve">enriched_with_clusters (9,994 rows): the original transaction table augmented with Discount_Cost, the customer-level Acquisition_Channel and CAC joined from customer_acquisition, and the Cluster and RFM_Label assigned after segmentation.</w:t>
      </w:r>
    </w:p>
    <w:p>
      <w:pPr>
        <w:pStyle w:val="Heading3"/>
        <w:spacing w:after="100" w:before="200"/>
      </w:pPr>
      <w:r>
        <w:rPr>
          <w:rFonts w:ascii="Arial" w:cs="Arial" w:eastAsia="Arial" w:hAnsi="Arial"/>
          <w:b/>
          <w:bCs/>
          <w:color w:val="1A1F36"/>
          <w:sz w:val="23"/>
          <w:szCs w:val="23"/>
        </w:rPr>
        <w:t xml:space="preserve">3.3.3 Channel probability weights by segment</w:t>
      </w:r>
    </w:p>
    <w:p>
      <w:pPr>
        <w:spacing w:after="80" w:before="80" w:line="276" w:lineRule="auto"/>
      </w:pPr>
      <w:r>
        <w:rPr>
          <w:rFonts w:ascii="Arial" w:cs="Arial" w:eastAsia="Arial" w:hAnsi="Arial"/>
          <w:color w:val="1A1F36"/>
          <w:sz w:val="22"/>
          <w:szCs w:val="22"/>
        </w:rPr>
        <w:t xml:space="preserve">Channel assignment probabilities differ by predefined segment, reflecting real-world differences in how B2C consumer, corporate, and home office customers are typically acquired. Consumer customers are more likely to arrive via Paid Search and Social Media (higher discovery-phase spend). Corporate customers show a higher probability of Direct and Email channels, consistent with account-based marketing and relationship-led sales. Home Office customers are distributed more evenly, reflecting the mixed B2C/B2B nature of that segment.</w:t>
      </w:r>
    </w:p>
    <w:p>
      <w:pPr>
        <w:pStyle w:val="Heading3"/>
        <w:spacing w:after="100" w:before="200"/>
      </w:pPr>
      <w:r>
        <w:rPr>
          <w:rFonts w:ascii="Arial" w:cs="Arial" w:eastAsia="Arial" w:hAnsi="Arial"/>
          <w:b/>
          <w:bCs/>
          <w:color w:val="1A1F36"/>
          <w:sz w:val="23"/>
          <w:szCs w:val="23"/>
        </w:rPr>
        <w:t xml:space="preserve">3.3.4 CAC calibration to industry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600"/>
        <w:gridCol w:w="4200"/>
      </w:tblGrid>
      <w:tr>
        <w:tc>
          <w:tcPr>
            <w:tcW w:type="dxa" w:w="20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15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 Mean ($)</w:t>
            </w:r>
          </w:p>
        </w:tc>
        <w:tc>
          <w:tcPr>
            <w:tcW w:type="dxa" w:w="16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 Std Dev ($)</w:t>
            </w:r>
          </w:p>
        </w:tc>
        <w:tc>
          <w:tcPr>
            <w:tcW w:type="dxa" w:w="4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Direct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$3.50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$0.80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Word-of-mouth / referral — near-zero media spend, validated against industry norms for referral programme economics</w:t>
            </w:r>
          </w:p>
        </w:tc>
      </w:tr>
      <w:tr>
        <w:tc>
          <w:tcPr>
            <w:tcW w:type="dxa" w:w="20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Email</w:t>
            </w:r>
          </w:p>
        </w:tc>
        <w:tc>
          <w:tcPr>
            <w:tcW w:type="dxa" w:w="15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$6.00</w:t>
            </w:r>
          </w:p>
        </w:tc>
        <w:tc>
          <w:tcPr>
            <w:tcW w:type="dxa" w:w="1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$1.20</w:t>
            </w:r>
          </w:p>
        </w:tc>
        <w:tc>
          <w:tcPr>
            <w:tcW w:type="dxa" w:w="4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Low-cost owned channel; DMA benchmarks suggest $5–8 CAC for B2C email at scale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Organic</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$10.00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$2.00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SEO and content — higher than email due to content production cost, but no per-impression spend</w:t>
            </w:r>
          </w:p>
        </w:tc>
      </w:tr>
      <w:tr>
        <w:tc>
          <w:tcPr>
            <w:tcW w:type="dxa" w:w="20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Social Media</w:t>
            </w:r>
          </w:p>
        </w:tc>
        <w:tc>
          <w:tcPr>
            <w:tcW w:type="dxa" w:w="15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$22.00</w:t>
            </w:r>
          </w:p>
        </w:tc>
        <w:tc>
          <w:tcPr>
            <w:tcW w:type="dxa" w:w="1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$4.50</w:t>
            </w:r>
          </w:p>
        </w:tc>
        <w:tc>
          <w:tcPr>
            <w:tcW w:type="dxa" w:w="4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Paid social; Meta / LinkedIn CPM norms suggest $15–30 CAC for retail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Paid Search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$28.00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$5.50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Google Ads; competitive retail keywords drive CAC above $20; highest volume channel</w:t>
            </w:r>
          </w:p>
        </w:tc>
      </w:tr>
      <w:tr>
        <w:tc>
          <w:tcPr>
            <w:tcW w:type="dxa" w:w="2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Display</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$40.00</w:t>
            </w:r>
          </w:p>
        </w:tc>
        <w:tc>
          <w:tcPr>
            <w:tcW w:type="dxa" w:w="16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$8.00</w:t>
            </w:r>
          </w:p>
        </w:tc>
        <w:tc>
          <w:tcPr>
            <w:tcW w:type="dxa" w:w="4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Programmatic display; brand awareness rather than conversion — highest CAC, lowest close rate</w:t>
            </w:r>
          </w:p>
        </w:tc>
      </w:tr>
    </w:tbl>
    <w:p>
      <w:pPr>
        <w:spacing w:after="200" w:before="80"/>
        <w:jc w:val="center"/>
      </w:pPr>
      <w:r>
        <w:rPr>
          <w:rFonts w:ascii="Arial" w:cs="Arial" w:eastAsia="Arial" w:hAnsi="Arial"/>
          <w:color w:val="6B7280"/>
          <w:sz w:val="19"/>
          <w:szCs w:val="19"/>
        </w:rPr>
        <w:t xml:space="preserve">Table 2: Synthetic CAC parameters by channel and design rationale</w:t>
      </w:r>
    </w:p>
    <w:p>
      <w:pPr>
        <w:spacing w:after="80" w:before="80" w:line="276" w:lineRule="auto"/>
      </w:pPr>
      <w:r>
        <w:rPr>
          <w:rFonts w:ascii="Arial" w:cs="Arial" w:eastAsia="Arial" w:hAnsi="Arial"/>
          <w:color w:val="1A1F36"/>
          <w:sz w:val="22"/>
          <w:szCs w:val="22"/>
        </w:rPr>
        <w:t xml:space="preserve">All CAC values were drawn from normal distributions using numpy.random.Generator with a fixed seed (42) to guarantee full reproducibility. The resulting dataset has a mean CAC of $18.51 (matching the industry benchmark midpoint for multi-channel retail) and a range of $3.32–$40.15 across channels after aggregation.</w:t>
      </w:r>
    </w:p>
    <w:p>
      <w:pPr>
        <w:pStyle w:val="Heading2"/>
        <w:spacing w:after="120" w:before="280"/>
      </w:pPr>
      <w:r>
        <w:rPr>
          <w:rFonts w:ascii="Arial" w:cs="Arial" w:eastAsia="Arial" w:hAnsi="Arial"/>
          <w:b/>
          <w:bCs/>
          <w:color w:val="4361EE"/>
          <w:sz w:val="26"/>
          <w:szCs w:val="26"/>
        </w:rPr>
        <w:t xml:space="preserve">3.4 Data Pipeline and Storage</w:t>
      </w:r>
    </w:p>
    <w:p>
      <w:pPr>
        <w:spacing w:after="80" w:before="80" w:line="276" w:lineRule="auto"/>
      </w:pPr>
      <w:r>
        <w:rPr>
          <w:rFonts w:ascii="Arial" w:cs="Arial" w:eastAsia="Arial" w:hAnsi="Arial"/>
          <w:color w:val="1A1F36"/>
          <w:sz w:val="22"/>
          <w:szCs w:val="22"/>
        </w:rPr>
        <w:t xml:space="preserve">The final enriched dataset and all supporting tables were stored as Apache Parquet files locally, preserving column data types without conversion. The three tables were uploaded to Google BigQuery (project: superstore-dataset-pbs, dataset: superstore) using the pandas-gbq library with automatic schema inference. Because the original Superstore CSV headers contain spaces and special characters (e.g., "Customer ID", "Sub-Category", "Profit Margin"), SQL views aliasing all columns to snake_case names were created — v_enriched and v_customer_master — to allow Looker Studio to use these tables as live data sources without encountering field name validation errors. The full pipeline is reproducible end-to-end: raw CSV → Python cleaning → feature engineering → synthetic enrichment → Parquet export → BigQuery upload → Looker Studio live dashboard.</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4. Descriptive Statistics</w:t>
      </w:r>
    </w:p>
    <w:p>
      <w:pPr>
        <w:spacing w:after="80" w:before="80" w:line="276" w:lineRule="auto"/>
      </w:pPr>
      <w:r>
        <w:rPr>
          <w:rFonts w:ascii="Arial" w:cs="Arial" w:eastAsia="Arial" w:hAnsi="Arial"/>
          <w:color w:val="1A1F36"/>
          <w:sz w:val="22"/>
          <w:szCs w:val="22"/>
        </w:rPr>
        <w:t xml:space="preserve">Descriptive analysis was conducted across four levels: overall summary statistics, segment-level profitability, product-category margin decomposition, and temporal trend analysis. The Coefficient of Variation (CV = σ / μ) is used for cross-variable dispersion comparison on a dimensionless scale.</w:t>
      </w:r>
    </w:p>
    <w:p>
      <w:pPr>
        <w:pStyle w:val="Heading2"/>
        <w:spacing w:after="120" w:before="280"/>
      </w:pPr>
      <w:r>
        <w:rPr>
          <w:rFonts w:ascii="Arial" w:cs="Arial" w:eastAsia="Arial" w:hAnsi="Arial"/>
          <w:b/>
          <w:bCs/>
          <w:color w:val="4361EE"/>
          <w:sz w:val="26"/>
          <w:szCs w:val="26"/>
        </w:rPr>
        <w:t xml:space="preserve">4.1 Overall Summary Statistics</w:t>
      </w:r>
    </w:p>
    <w:p>
      <w:pPr>
        <w:spacing w:after="80" w:before="80" w:line="276" w:lineRule="auto"/>
      </w:pPr>
      <w:r>
        <w:rPr>
          <w:rFonts w:ascii="Arial" w:cs="Arial" w:eastAsia="Arial" w:hAnsi="Arial"/>
          <w:color w:val="1A1F36"/>
          <w:sz w:val="22"/>
          <w:szCs w:val="22"/>
        </w:rPr>
        <w:t xml:space="preserve">Total sales: $2.30M. Total profit: $286K. Overall margin: 12.5%. Mean order value: $229.86 (SD: $623.97, CV: 2.7) — indicating extreme variability driven by large Technology orders. Mean profit per order: $28.66 (SD: $234.26, CV: 8.2), reflecting coexistence of highly profitable and severely loss-making orders.</w:t>
      </w:r>
    </w:p>
    <w:p>
      <w:pPr>
        <w:pStyle w:val="ListParagraph"/>
        <w:numPr>
          <w:ilvl w:val="0"/>
          <w:numId w:val="2"/>
        </w:numPr>
        <w:spacing w:after="60" w:before="60"/>
      </w:pPr>
      <w:r>
        <w:rPr>
          <w:rFonts w:ascii="Arial" w:cs="Arial" w:eastAsia="Arial" w:hAnsi="Arial"/>
          <w:color w:val="1A1F36"/>
          <w:sz w:val="22"/>
          <w:szCs w:val="22"/>
        </w:rPr>
        <w:t xml:space="preserve">Sales: mean $229.86, median $54.49, SD $623.97 — strong right skew.</w:t>
      </w:r>
    </w:p>
    <w:p>
      <w:pPr>
        <w:pStyle w:val="ListParagraph"/>
        <w:numPr>
          <w:ilvl w:val="0"/>
          <w:numId w:val="2"/>
        </w:numPr>
        <w:spacing w:after="60" w:before="60"/>
      </w:pPr>
      <w:r>
        <w:rPr>
          <w:rFonts w:ascii="Arial" w:cs="Arial" w:eastAsia="Arial" w:hAnsi="Arial"/>
          <w:color w:val="1A1F36"/>
          <w:sz w:val="22"/>
          <w:szCs w:val="22"/>
        </w:rPr>
        <w:t xml:space="preserve">Profit: mean $28.66, median $8.67, SD $234.26 — negative tail from discounted Furniture orders.</w:t>
      </w:r>
    </w:p>
    <w:p>
      <w:pPr>
        <w:pStyle w:val="ListParagraph"/>
        <w:numPr>
          <w:ilvl w:val="0"/>
          <w:numId w:val="2"/>
        </w:numPr>
        <w:spacing w:after="60" w:before="60"/>
      </w:pPr>
      <w:r>
        <w:rPr>
          <w:rFonts w:ascii="Arial" w:cs="Arial" w:eastAsia="Arial" w:hAnsi="Arial"/>
          <w:color w:val="1A1F36"/>
          <w:sz w:val="22"/>
          <w:szCs w:val="22"/>
        </w:rPr>
        <w:t xml:space="preserve">Discount: mean 0.156, median 0.20, multimodal — discrete structured policy, not continuous negotiation.</w:t>
      </w:r>
    </w:p>
    <w:p>
      <w:pPr>
        <w:pStyle w:val="ListParagraph"/>
        <w:numPr>
          <w:ilvl w:val="0"/>
          <w:numId w:val="2"/>
        </w:numPr>
        <w:spacing w:after="60" w:before="60"/>
      </w:pPr>
      <w:r>
        <w:rPr>
          <w:rFonts w:ascii="Arial" w:cs="Arial" w:eastAsia="Arial" w:hAnsi="Arial"/>
          <w:color w:val="1A1F36"/>
          <w:sz w:val="22"/>
          <w:szCs w:val="22"/>
        </w:rPr>
        <w:t xml:space="preserve">Quantity: mean 3.79 units, SD 2.23 — the least volatile variable.</w:t>
      </w:r>
    </w:p>
    <w:p>
      <w:pPr>
        <w:pStyle w:val="Heading2"/>
        <w:spacing w:after="120" w:before="280"/>
      </w:pPr>
      <w:r>
        <w:rPr>
          <w:rFonts w:ascii="Arial" w:cs="Arial" w:eastAsia="Arial" w:hAnsi="Arial"/>
          <w:b/>
          <w:bCs/>
          <w:color w:val="4361EE"/>
          <w:sz w:val="26"/>
          <w:szCs w:val="26"/>
        </w:rPr>
        <w:t xml:space="preserve">4.2 Segment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240"/>
        <w:gridCol w:w="1380"/>
        <w:gridCol w:w="1380"/>
        <w:gridCol w:w="1320"/>
      </w:tblGrid>
      <w:tr>
        <w:tc>
          <w:tcPr>
            <w:tcW w:type="dxa" w:w="2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144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Customers</w:t>
            </w:r>
          </w:p>
        </w:tc>
        <w:tc>
          <w:tcPr>
            <w:tcW w:type="dxa" w:w="124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Orders</w:t>
            </w:r>
          </w:p>
        </w:tc>
        <w:tc>
          <w:tcPr>
            <w:tcW w:type="dxa" w:w="13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Sales</w:t>
            </w:r>
          </w:p>
        </w:tc>
        <w:tc>
          <w:tcPr>
            <w:tcW w:type="dxa" w:w="13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Profit</w:t>
            </w:r>
          </w:p>
        </w:tc>
        <w:tc>
          <w:tcPr>
            <w:tcW w:type="dxa" w:w="132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Margin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Consumer</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409 (52%)</w:t>
            </w:r>
          </w:p>
        </w:tc>
        <w:tc>
          <w:tcPr>
            <w:tcW w:type="dxa" w:w="1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2,586</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$1.16M</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$134K</w:t>
            </w:r>
          </w:p>
        </w:tc>
        <w:tc>
          <w:tcPr>
            <w:tcW w:type="dxa" w:w="1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11.6%</w:t>
            </w:r>
          </w:p>
        </w:tc>
      </w:tr>
      <w:tr>
        <w:tc>
          <w:tcPr>
            <w:tcW w:type="dxa" w:w="2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Corporate</w:t>
            </w:r>
          </w:p>
        </w:tc>
        <w:tc>
          <w:tcPr>
            <w:tcW w:type="dxa" w:w="144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236 (30%)</w:t>
            </w:r>
          </w:p>
        </w:tc>
        <w:tc>
          <w:tcPr>
            <w:tcW w:type="dxa" w:w="124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1,514</w:t>
            </w:r>
          </w:p>
        </w:tc>
        <w:tc>
          <w:tcPr>
            <w:tcW w:type="dxa" w:w="138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$706K</w:t>
            </w:r>
          </w:p>
        </w:tc>
        <w:tc>
          <w:tcPr>
            <w:tcW w:type="dxa" w:w="138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$92K</w:t>
            </w:r>
          </w:p>
        </w:tc>
        <w:tc>
          <w:tcPr>
            <w:tcW w:type="dxa" w:w="132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13.0%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Home Office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148 (19%)</w:t>
            </w:r>
          </w:p>
        </w:tc>
        <w:tc>
          <w:tcPr>
            <w:tcW w:type="dxa" w:w="1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909</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$430K</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$60K</w:t>
            </w:r>
          </w:p>
        </w:tc>
        <w:tc>
          <w:tcPr>
            <w:tcW w:type="dxa" w:w="1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14.0%</w:t>
            </w:r>
          </w:p>
        </w:tc>
      </w:tr>
    </w:tbl>
    <w:p>
      <w:pPr>
        <w:spacing w:after="200" w:before="80"/>
        <w:jc w:val="center"/>
      </w:pPr>
      <w:r>
        <w:rPr>
          <w:rFonts w:ascii="Arial" w:cs="Arial" w:eastAsia="Arial" w:hAnsi="Arial"/>
          <w:color w:val="6B7280"/>
          <w:sz w:val="19"/>
          <w:szCs w:val="19"/>
        </w:rPr>
        <w:t xml:space="preserve">Table 3: Segment profitability summary (2014–2017)</w:t>
      </w:r>
    </w:p>
    <w:p>
      <w:pPr>
        <w:spacing w:after="80" w:before="80" w:line="276" w:lineRule="auto"/>
      </w:pPr>
      <w:r>
        <w:rPr>
          <w:rFonts w:ascii="Arial" w:cs="Arial" w:eastAsia="Arial" w:hAnsi="Arial"/>
          <w:color w:val="1A1F36"/>
          <w:sz w:val="22"/>
          <w:szCs w:val="22"/>
        </w:rPr>
        <w:t xml:space="preserve">Consumer dominates by volume (52% of customers, 47% of profit) but generates the lowest margin. Home Office achieves the highest margin (14.0%) and highest profit per order ($66.34) despite being the smallest segment. This pattern — smaller segments generating higher per-transaction efficiency — is a key input to the budget allocation recommendation.</w:t>
      </w:r>
    </w:p>
    <w:p>
      <w:pPr>
        <w:pStyle w:val="Heading2"/>
        <w:spacing w:after="120" w:before="280"/>
      </w:pPr>
      <w:r>
        <w:rPr>
          <w:rFonts w:ascii="Arial" w:cs="Arial" w:eastAsia="Arial" w:hAnsi="Arial"/>
          <w:b/>
          <w:bCs/>
          <w:color w:val="4361EE"/>
          <w:sz w:val="26"/>
          <w:szCs w:val="26"/>
        </w:rPr>
        <w:t xml:space="preserve">4.3 Sub-Category Margin Analysis</w:t>
      </w:r>
    </w:p>
    <w:p>
      <w:pPr>
        <w:spacing w:after="80" w:before="80" w:line="276" w:lineRule="auto"/>
      </w:pPr>
      <w:r>
        <w:rPr>
          <w:rFonts w:ascii="Arial" w:cs="Arial" w:eastAsia="Arial" w:hAnsi="Arial"/>
          <w:color w:val="1A1F36"/>
          <w:sz w:val="22"/>
          <w:szCs w:val="22"/>
        </w:rPr>
        <w:t xml:space="preserve">The data reveals stark bifurcation between value creators and value destroyers. Top performers: Labels (44.4%), Paper (43.4%), Envelopes (42.3%), Copiers (37.2%) — all Office Supplies or Technology. Value destroyers: Tables (-8.6%), Bookcases (-3.0%), Supplies (-2.5%) — all Furniture. Tables alone generates $207K in sales but destroys $17.7K in profit, the direct result of discounts exceeding 40% applied to a structurally low-margin product.</w:t>
      </w:r>
    </w:p>
    <w:p>
      <w:pPr>
        <w:pStyle w:val="Heading2"/>
        <w:spacing w:after="120" w:before="280"/>
      </w:pPr>
      <w:r>
        <w:rPr>
          <w:rFonts w:ascii="Arial" w:cs="Arial" w:eastAsia="Arial" w:hAnsi="Arial"/>
          <w:b/>
          <w:bCs/>
          <w:color w:val="4361EE"/>
          <w:sz w:val="26"/>
          <w:szCs w:val="26"/>
        </w:rPr>
        <w:t xml:space="preserve">4.4 Temporal and Seasonal Patterns</w:t>
      </w:r>
    </w:p>
    <w:p>
      <w:pPr>
        <w:spacing w:after="80" w:before="80" w:line="276" w:lineRule="auto"/>
      </w:pPr>
      <w:r>
        <w:rPr>
          <w:rFonts w:ascii="Arial" w:cs="Arial" w:eastAsia="Arial" w:hAnsi="Arial"/>
          <w:color w:val="1A1F36"/>
          <w:sz w:val="22"/>
          <w:szCs w:val="22"/>
        </w:rPr>
        <w:t xml:space="preserve">Q4 accounts for 40–45% of annual sales in every year — a consistent, plannable seasonal pattern. Year-over-year sales growth is clear: $484K (2014) to $733K (2017), approximately 14.8% CAGR. However, Q4 2017 showed margin compression: $280K in sales (record high) but only $27.5K in profit (9.8% margin, well below the 4-year average), consistent with peak-season discounting exceeding the 20% cliff.</w:t>
      </w:r>
    </w:p>
    <w:p>
      <w:pPr>
        <w:pStyle w:val="Heading2"/>
        <w:spacing w:after="120" w:before="280"/>
      </w:pPr>
      <w:r>
        <w:rPr>
          <w:rFonts w:ascii="Arial" w:cs="Arial" w:eastAsia="Arial" w:hAnsi="Arial"/>
          <w:b/>
          <w:bCs/>
          <w:color w:val="4361EE"/>
          <w:sz w:val="26"/>
          <w:szCs w:val="26"/>
        </w:rPr>
        <w:t xml:space="preserve">4.5 Discount Elasticity — The Profitability Cliff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80"/>
        <w:gridCol w:w="1580"/>
        <w:gridCol w:w="1580"/>
        <w:gridCol w:w="2620"/>
      </w:tblGrid>
      <w:tr>
        <w:tc>
          <w:tcPr>
            <w:tcW w:type="dxa" w:w="2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Discount Bucket</w:t>
            </w:r>
          </w:p>
        </w:tc>
        <w:tc>
          <w:tcPr>
            <w:tcW w:type="dxa" w:w="13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Orders</w:t>
            </w:r>
          </w:p>
        </w:tc>
        <w:tc>
          <w:tcPr>
            <w:tcW w:type="dxa" w:w="1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Profit/Order</w:t>
            </w:r>
          </w:p>
        </w:tc>
        <w:tc>
          <w:tcPr>
            <w:tcW w:type="dxa" w:w="15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Margin %</w:t>
            </w:r>
          </w:p>
        </w:tc>
        <w:tc>
          <w:tcPr>
            <w:tcW w:type="dxa" w:w="262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r>
      <w:tr>
        <w:tc>
          <w:tcPr>
            <w:tcW w:type="dxa" w:w="2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0% — no discount</w:t>
            </w:r>
          </w:p>
        </w:tc>
        <w:tc>
          <w:tcPr>
            <w:tcW w:type="dxa" w:w="13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2,644</w:t>
            </w:r>
          </w:p>
        </w:tc>
        <w:tc>
          <w:tcPr>
            <w:tcW w:type="dxa" w:w="15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$66.90</w:t>
            </w:r>
          </w:p>
        </w:tc>
        <w:tc>
          <w:tcPr>
            <w:tcW w:type="dxa" w:w="15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34.0%</w:t>
            </w:r>
          </w:p>
        </w:tc>
        <w:tc>
          <w:tcPr>
            <w:tcW w:type="dxa" w:w="262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Highly profitable — protect this pricing tier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1–20%</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2,507</w:t>
            </w:r>
          </w:p>
        </w:tc>
        <w:tc>
          <w:tcPr>
            <w:tcW w:type="dxa" w:w="1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$26.50</w:t>
            </w:r>
          </w:p>
        </w:tc>
        <w:tc>
          <w:tcPr>
            <w:tcW w:type="dxa" w:w="1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17.4%</w:t>
            </w:r>
          </w:p>
        </w:tc>
        <w:tc>
          <w:tcPr>
            <w:tcW w:type="dxa" w:w="2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Acceptable — within recommended policy range</w:t>
            </w:r>
          </w:p>
        </w:tc>
      </w:tr>
      <w:tr>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21–40%</w:t>
            </w:r>
          </w:p>
        </w:tc>
        <w:tc>
          <w:tcPr>
            <w:tcW w:type="dxa" w:w="13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400</w:t>
            </w:r>
          </w:p>
        </w:tc>
        <w:tc>
          <w:tcPr>
            <w:tcW w:type="dxa" w:w="15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−$77.86</w:t>
            </w:r>
          </w:p>
        </w:tc>
        <w:tc>
          <w:tcPr>
            <w:tcW w:type="dxa" w:w="15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−16.7%</w:t>
            </w:r>
          </w:p>
        </w:tc>
        <w:tc>
          <w:tcPr>
            <w:tcW w:type="dxa" w:w="262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Loss-making — cap at 20% required</w:t>
            </w:r>
          </w:p>
        </w:tc>
      </w:tr>
      <w:tr>
        <w:tc>
          <w:tcPr>
            <w:tcW w:type="dxa" w:w="2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&gt;40%</w:t>
            </w:r>
          </w:p>
        </w:tc>
        <w:tc>
          <w:tcPr>
            <w:tcW w:type="dxa" w:w="13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737</w:t>
            </w:r>
          </w:p>
        </w:tc>
        <w:tc>
          <w:tcPr>
            <w:tcW w:type="dxa" w:w="15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−$106.71</w:t>
            </w:r>
          </w:p>
        </w:tc>
        <w:tc>
          <w:tcPr>
            <w:tcW w:type="dxa" w:w="15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−108.9%</w:t>
            </w:r>
          </w:p>
        </w:tc>
        <w:tc>
          <w:tcPr>
            <w:tcW w:type="dxa" w:w="262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Severe loss — eliminate these discounts immediately</w:t>
            </w:r>
          </w:p>
        </w:tc>
      </w:tr>
    </w:tbl>
    <w:p>
      <w:pPr>
        <w:spacing w:after="200" w:before="80"/>
        <w:jc w:val="center"/>
      </w:pPr>
      <w:r>
        <w:rPr>
          <w:rFonts w:ascii="Arial" w:cs="Arial" w:eastAsia="Arial" w:hAnsi="Arial"/>
          <w:color w:val="6B7280"/>
          <w:sz w:val="19"/>
          <w:szCs w:val="19"/>
        </w:rPr>
        <w:t xml:space="preserve">Table 4: Profit and margin by discount level</w:t>
      </w:r>
    </w:p>
    <w:p>
      <w:pPr>
        <w:spacing w:after="80" w:before="80" w:line="276" w:lineRule="auto"/>
      </w:pPr>
      <w:r>
        <w:rPr>
          <w:rFonts w:ascii="Arial" w:cs="Arial" w:eastAsia="Arial" w:hAnsi="Arial"/>
          <w:color w:val="1A1F36"/>
          <w:sz w:val="22"/>
          <w:szCs w:val="22"/>
        </w:rPr>
        <w:t xml:space="preserve">The profitability cliff at 20% discount is the most actionable finding in the descriptive analysis. Orders at 0% discount earn 34.0% average margin. Orders at 1–20% earn 17.4%. Above 20%, margins invert: -16.7% in the 21–40% bucket, -108.9% above 40%. The 1,137 orders in the loss-making buckets (11.4% of all transactions) represent systematic, policy-driven value destruction.</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5. Statistical Inference</w:t>
      </w:r>
    </w:p>
    <w:p>
      <w:pPr>
        <w:spacing w:after="80" w:before="80" w:line="276" w:lineRule="auto"/>
      </w:pPr>
      <w:r>
        <w:rPr>
          <w:rFonts w:ascii="Arial" w:cs="Arial" w:eastAsia="Arial" w:hAnsi="Arial"/>
          <w:color w:val="1A1F36"/>
          <w:sz w:val="22"/>
          <w:szCs w:val="22"/>
        </w:rPr>
        <w:t xml:space="preserve">All inferential tests use non-parametric methods. This choice is internally consistent with the descriptive findings of Section 4: having established non-normal distributions (right skew, multimodality, heavy tails), applying parametric tests (ANOVA, Pearson, t-test) would be methodologically inappropriate. The alpha threshold was set at 0.05; Bonferroni correction was applied for post-hoc pairwise comparisons.</w:t>
      </w:r>
    </w:p>
    <w:p>
      <w:pPr>
        <w:pStyle w:val="Heading2"/>
        <w:spacing w:after="120" w:before="280"/>
      </w:pPr>
      <w:r>
        <w:rPr>
          <w:rFonts w:ascii="Arial" w:cs="Arial" w:eastAsia="Arial" w:hAnsi="Arial"/>
          <w:b/>
          <w:bCs/>
          <w:color w:val="4361EE"/>
          <w:sz w:val="26"/>
          <w:szCs w:val="26"/>
        </w:rPr>
        <w:t xml:space="preserve">5.1 Non-Parametric Test Selection</w:t>
      </w:r>
    </w:p>
    <w:p>
      <w:pPr>
        <w:pStyle w:val="ListParagraph"/>
        <w:numPr>
          <w:ilvl w:val="0"/>
          <w:numId w:val="2"/>
        </w:numPr>
        <w:spacing w:after="60" w:before="60"/>
      </w:pPr>
      <w:r>
        <w:rPr>
          <w:rFonts w:ascii="Arial" w:cs="Arial" w:eastAsia="Arial" w:hAnsi="Arial"/>
          <w:color w:val="1A1F36"/>
          <w:sz w:val="22"/>
          <w:szCs w:val="22"/>
        </w:rPr>
        <w:t xml:space="preserve">Kruskal-Wallis H-test: non-parametric equivalent of one-way ANOVA, for differences across three or more independent groups.</w:t>
      </w:r>
    </w:p>
    <w:p>
      <w:pPr>
        <w:pStyle w:val="ListParagraph"/>
        <w:numPr>
          <w:ilvl w:val="0"/>
          <w:numId w:val="2"/>
        </w:numPr>
        <w:spacing w:after="60" w:before="60"/>
      </w:pPr>
      <w:r>
        <w:rPr>
          <w:rFonts w:ascii="Arial" w:cs="Arial" w:eastAsia="Arial" w:hAnsi="Arial"/>
          <w:color w:val="1A1F36"/>
          <w:sz w:val="22"/>
          <w:szCs w:val="22"/>
        </w:rPr>
        <w:t xml:space="preserve">Mann-Whitney U test: non-parametric equivalent of independent-samples t-test, for pairwise comparisons between two groups.</w:t>
      </w:r>
    </w:p>
    <w:p>
      <w:pPr>
        <w:pStyle w:val="ListParagraph"/>
        <w:numPr>
          <w:ilvl w:val="0"/>
          <w:numId w:val="2"/>
        </w:numPr>
        <w:spacing w:after="60" w:before="60"/>
      </w:pPr>
      <w:r>
        <w:rPr>
          <w:rFonts w:ascii="Arial" w:cs="Arial" w:eastAsia="Arial" w:hAnsi="Arial"/>
          <w:color w:val="1A1F36"/>
          <w:sz w:val="22"/>
          <w:szCs w:val="22"/>
        </w:rPr>
        <w:t xml:space="preserve">Spearman rank correlation: measures monotonic (not necessarily linear) association — appropriate when the relationship between variables may be non-linear, as confirmed visually for Discount vs Profit.</w:t>
      </w:r>
    </w:p>
    <w:p>
      <w:pPr>
        <w:pStyle w:val="Heading2"/>
        <w:spacing w:after="120" w:before="280"/>
      </w:pPr>
      <w:r>
        <w:rPr>
          <w:rFonts w:ascii="Arial" w:cs="Arial" w:eastAsia="Arial" w:hAnsi="Arial"/>
          <w:b/>
          <w:bCs/>
          <w:color w:val="4361EE"/>
          <w:sz w:val="26"/>
          <w:szCs w:val="26"/>
        </w:rPr>
        <w:t xml:space="preserve">5.2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3360"/>
      </w:tblGrid>
      <w:tr>
        <w:tc>
          <w:tcPr>
            <w:tcW w:type="dxa" w:w="3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16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Statistic</w:t>
            </w:r>
          </w:p>
        </w:tc>
        <w:tc>
          <w:tcPr>
            <w:tcW w:type="dxa" w:w="1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p-value</w:t>
            </w:r>
          </w:p>
        </w:tc>
        <w:tc>
          <w:tcPr>
            <w:tcW w:type="dxa" w:w="33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Conclusion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Kruskal-Wallis — Sales by Segment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H = 41.7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&lt; 0.001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Significant differences across segments</w:t>
            </w:r>
          </w:p>
        </w:tc>
      </w:tr>
      <w:tr>
        <w:tc>
          <w:tcPr>
            <w:tcW w:type="dxa" w:w="3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Mann-Whitney U — Consumer vs Corporate Profit</w:t>
            </w:r>
          </w:p>
        </w:tc>
        <w:tc>
          <w:tcPr>
            <w:tcW w:type="dxa" w:w="1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U-stat</w:t>
            </w:r>
          </w:p>
        </w:tc>
        <w:tc>
          <w:tcPr>
            <w:tcW w:type="dxa" w:w="1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0.003</w:t>
            </w:r>
          </w:p>
        </w:tc>
        <w:tc>
          <w:tcPr>
            <w:tcW w:type="dxa" w:w="33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Corporate earns significantly more per order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Spearman — Discount vs Profit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ρ = −0.57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&lt; 0.001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Strong negative monotonic relationship</w:t>
            </w:r>
          </w:p>
        </w:tc>
      </w:tr>
      <w:tr>
        <w:tc>
          <w:tcPr>
            <w:tcW w:type="dxa" w:w="3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Kruskal-Wallis — Profit by Region</w:t>
            </w:r>
          </w:p>
        </w:tc>
        <w:tc>
          <w:tcPr>
            <w:tcW w:type="dxa" w:w="1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H = 18.3</w:t>
            </w:r>
          </w:p>
        </w:tc>
        <w:tc>
          <w:tcPr>
            <w:tcW w:type="dxa" w:w="1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&lt; 0.01</w:t>
            </w:r>
          </w:p>
        </w:tc>
        <w:tc>
          <w:tcPr>
            <w:tcW w:type="dxa" w:w="33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Significant regional profit variation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Kruskal-Wallis — Profit by Category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H = 95.2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&lt; 0.001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Technology &gt; Office Supplies &gt; Furniture</w:t>
            </w:r>
          </w:p>
        </w:tc>
      </w:tr>
    </w:tbl>
    <w:p>
      <w:pPr>
        <w:spacing w:after="200" w:before="80"/>
        <w:jc w:val="center"/>
      </w:pPr>
      <w:r>
        <w:rPr>
          <w:rFonts w:ascii="Arial" w:cs="Arial" w:eastAsia="Arial" w:hAnsi="Arial"/>
          <w:color w:val="6B7280"/>
          <w:sz w:val="19"/>
          <w:szCs w:val="19"/>
        </w:rPr>
        <w:t xml:space="preserve">Table 5: Statistical test results (alpha = 0.05, Bonferroni correction applied to pairwise tests)</w:t>
      </w:r>
    </w:p>
    <w:p>
      <w:pPr>
        <w:pStyle w:val="Heading2"/>
        <w:spacing w:after="120" w:before="280"/>
      </w:pPr>
      <w:r>
        <w:rPr>
          <w:rFonts w:ascii="Arial" w:cs="Arial" w:eastAsia="Arial" w:hAnsi="Arial"/>
          <w:b/>
          <w:bCs/>
          <w:color w:val="4361EE"/>
          <w:sz w:val="26"/>
          <w:szCs w:val="26"/>
        </w:rPr>
        <w:t xml:space="preserve">5.3 Key Findings</w:t>
      </w:r>
    </w:p>
    <w:p>
      <w:pPr>
        <w:pStyle w:val="Heading3"/>
        <w:spacing w:after="100" w:before="200"/>
      </w:pPr>
      <w:r>
        <w:rPr>
          <w:rFonts w:ascii="Arial" w:cs="Arial" w:eastAsia="Arial" w:hAnsi="Arial"/>
          <w:b/>
          <w:bCs/>
          <w:color w:val="1A1F36"/>
          <w:sz w:val="23"/>
          <w:szCs w:val="23"/>
        </w:rPr>
        <w:t xml:space="preserve">Segment differences (H1, H2)</w:t>
      </w:r>
    </w:p>
    <w:p>
      <w:pPr>
        <w:spacing w:after="80" w:before="80" w:line="276" w:lineRule="auto"/>
      </w:pPr>
      <w:r>
        <w:rPr>
          <w:rFonts w:ascii="Arial" w:cs="Arial" w:eastAsia="Arial" w:hAnsi="Arial"/>
          <w:color w:val="1A1F36"/>
          <w:sz w:val="22"/>
          <w:szCs w:val="22"/>
        </w:rPr>
        <w:t xml:space="preserve">Sales differ significantly across segments (H = 41.7, p &lt; 0.001). Consumer customers place more orders at lower average values; Corporate customers place fewer but larger orders. Profit per order also differs significantly (Mann-Whitney p = 0.003, Consumer vs Corporate), with Corporate earning more per transaction — consistent with lower discount usage and higher-value product mix.</w:t>
      </w:r>
    </w:p>
    <w:p>
      <w:pPr>
        <w:pStyle w:val="Heading3"/>
        <w:spacing w:after="100" w:before="200"/>
      </w:pPr>
      <w:r>
        <w:rPr>
          <w:rFonts w:ascii="Arial" w:cs="Arial" w:eastAsia="Arial" w:hAnsi="Arial"/>
          <w:b/>
          <w:bCs/>
          <w:color w:val="1A1F36"/>
          <w:sz w:val="23"/>
          <w:szCs w:val="23"/>
        </w:rPr>
        <w:t xml:space="preserve">Discount-profit relationship (H3)</w:t>
      </w:r>
    </w:p>
    <w:p>
      <w:pPr>
        <w:spacing w:after="80" w:before="80" w:line="276" w:lineRule="auto"/>
      </w:pPr>
      <w:r>
        <w:rPr>
          <w:rFonts w:ascii="Arial" w:cs="Arial" w:eastAsia="Arial" w:hAnsi="Arial"/>
          <w:color w:val="1A1F36"/>
          <w:sz w:val="22"/>
          <w:szCs w:val="22"/>
        </w:rPr>
        <w:t xml:space="preserve">Spearman rho = -0.57 (p &lt; 0.001) confirms a strong negative monotonic relationship between discount level and profit. The rank-based approach appropriately captures the non-linear collapse at the 20% threshold that a Pearson correlation would underestimate by treating the relationship as linear throughout.</w:t>
      </w:r>
    </w:p>
    <w:p>
      <w:pPr>
        <w:pStyle w:val="Heading3"/>
        <w:spacing w:after="100" w:before="200"/>
      </w:pPr>
      <w:r>
        <w:rPr>
          <w:rFonts w:ascii="Arial" w:cs="Arial" w:eastAsia="Arial" w:hAnsi="Arial"/>
          <w:b/>
          <w:bCs/>
          <w:color w:val="1A1F36"/>
          <w:sz w:val="23"/>
          <w:szCs w:val="23"/>
        </w:rPr>
        <w:t xml:space="preserve">Regional and category differences (H4, H5)</w:t>
      </w:r>
    </w:p>
    <w:p>
      <w:pPr>
        <w:spacing w:after="80" w:before="80" w:line="276" w:lineRule="auto"/>
      </w:pPr>
      <w:r>
        <w:rPr>
          <w:rFonts w:ascii="Arial" w:cs="Arial" w:eastAsia="Arial" w:hAnsi="Arial"/>
          <w:color w:val="1A1F36"/>
          <w:sz w:val="22"/>
          <w:szCs w:val="22"/>
        </w:rPr>
        <w:t xml:space="preserve">Profit varies significantly by region (H = 18.3, p &lt; 0.01). The West generates the highest total profit; the Consumer/Central combination generates the lowest margin (3.4% on $252K in sales). Category differences are the most significant in the analysis (H = 95.2, p &lt; 0.001), confirming Technology &gt; Office Supplies &gt; Furniture as a robust ordering.</w:t>
      </w:r>
    </w:p>
    <w:p>
      <w:pPr>
        <w:pStyle w:val="Heading2"/>
        <w:spacing w:after="120" w:before="280"/>
      </w:pPr>
      <w:r>
        <w:rPr>
          <w:rFonts w:ascii="Arial" w:cs="Arial" w:eastAsia="Arial" w:hAnsi="Arial"/>
          <w:b/>
          <w:bCs/>
          <w:color w:val="4361EE"/>
          <w:sz w:val="26"/>
          <w:szCs w:val="26"/>
        </w:rPr>
        <w:t xml:space="preserve">5.4 Cluster Validation</w:t>
      </w:r>
    </w:p>
    <w:p>
      <w:pPr>
        <w:spacing w:after="80" w:before="80" w:line="276" w:lineRule="auto"/>
      </w:pPr>
      <w:r>
        <w:rPr>
          <w:rFonts w:ascii="Arial" w:cs="Arial" w:eastAsia="Arial" w:hAnsi="Arial"/>
          <w:color w:val="1A1F36"/>
          <w:sz w:val="22"/>
          <w:szCs w:val="22"/>
        </w:rPr>
        <w:t xml:space="preserve">The K-Means solution (k=5, selected by Silhouette coefficient) was validated statistically: Kruskal-Wallis confirms the five clusters differ significantly on customer monetary value (p &lt; 0.001). Critically, the predefined segment labels (Consumer/Corporate/Home Office) distribute almost identically across all five clusters (~50/30/20 split in every cluster), confirming that administrative segments carry no additional behavioural signal and that RFM labels are superior for targeting.</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6. Customer Segmentation Methodology</w:t>
      </w:r>
    </w:p>
    <w:p>
      <w:pPr>
        <w:spacing w:after="80" w:before="80" w:line="276" w:lineRule="auto"/>
      </w:pPr>
      <w:r>
        <w:rPr>
          <w:rFonts w:ascii="Arial" w:cs="Arial" w:eastAsia="Arial" w:hAnsi="Arial"/>
          <w:color w:val="1A1F36"/>
          <w:sz w:val="22"/>
          <w:szCs w:val="22"/>
        </w:rPr>
        <w:t xml:space="preserve">This section documents the full segmentation pipeline: from the construction of the RFM table, through outlier detection and Winsorisation, feature scaling, K-Means model fitting and k-selection, cluster profiling and labelling, to CLV estimation and CAC cross-analysis. Each step is explained both technically and in terms of its business rationale.</w:t>
      </w:r>
    </w:p>
    <w:p>
      <w:pPr>
        <w:pStyle w:val="Heading2"/>
        <w:spacing w:after="120" w:before="280"/>
      </w:pPr>
      <w:r>
        <w:rPr>
          <w:rFonts w:ascii="Arial" w:cs="Arial" w:eastAsia="Arial" w:hAnsi="Arial"/>
          <w:b/>
          <w:bCs/>
          <w:color w:val="4361EE"/>
          <w:sz w:val="26"/>
          <w:szCs w:val="26"/>
        </w:rPr>
        <w:t xml:space="preserve">6.1 Why RFM? Motivating the Segmentation Framework</w:t>
      </w:r>
    </w:p>
    <w:p>
      <w:pPr>
        <w:spacing w:after="80" w:before="80" w:line="276" w:lineRule="auto"/>
      </w:pPr>
      <w:r>
        <w:rPr>
          <w:rFonts w:ascii="Arial" w:cs="Arial" w:eastAsia="Arial" w:hAnsi="Arial"/>
          <w:color w:val="1A1F36"/>
          <w:sz w:val="22"/>
          <w:szCs w:val="22"/>
        </w:rPr>
        <w:t xml:space="preserve">Raw transaction data cannot be fed directly into a clustering algorithm: each customer appears across multiple rows (one per order), so the dataset is at the order level, not the customer level. To cluster customers, we must first collapse all transactions per customer into a single row capturing the most commercially relevant dimensions of their behaviour.</w:t>
      </w:r>
    </w:p>
    <w:p>
      <w:pPr>
        <w:spacing w:after="80" w:before="80" w:line="276" w:lineRule="auto"/>
      </w:pPr>
      <w:r>
        <w:rPr>
          <w:rFonts w:ascii="Arial" w:cs="Arial" w:eastAsia="Arial" w:hAnsi="Arial"/>
          <w:color w:val="1A1F36"/>
          <w:sz w:val="22"/>
          <w:szCs w:val="22"/>
        </w:rPr>
        <w:t xml:space="preserve">RFM — Recency, Frequency, Monetary — is the industry-standard framework for this collapse. It was first described by Hughes (1994) in the direct mail context and has since become the dominant approach in retail and subscription CRM analytics because it captures three distinct and largely independent aspects of customer value: how recently a customer purchased (engagement signal), how often they purchase (loyalty signal), and how much profit they generate (economic signal).</w:t>
      </w:r>
    </w:p>
    <w:p>
      <w:pPr>
        <w:pBdr>
          <w:left w:val="single" w:color="4361EE" w:sz="12" w:space="12"/>
        </w:pBdr>
        <w:spacing w:after="120" w:before="120"/>
        <w:ind w:left="720"/>
      </w:pPr>
      <w:r>
        <w:rPr>
          <w:rFonts w:ascii="Arial" w:cs="Arial" w:eastAsia="Arial" w:hAnsi="Arial"/>
          <w:i/>
          <w:iCs/>
          <w:color w:val="4361EE"/>
          <w:sz w:val="21"/>
          <w:szCs w:val="21"/>
        </w:rPr>
        <w:t xml:space="preserve">The choice to use Profit rather than Revenue as the Monetary dimension is deliberate: a customer generating $10,000 in sales at a 40% discount may contribute less value than a customer generating $3,000 at full price. Revenue-based CLV systematically overvalues heavily discounted customers.</w:t>
      </w:r>
    </w:p>
    <w:p>
      <w:pPr>
        <w:spacing w:after="80" w:before="80" w:line="276" w:lineRule="auto"/>
      </w:pPr>
      <w:r>
        <w:rPr>
          <w:rFonts w:ascii="Arial" w:cs="Arial" w:eastAsia="Arial" w:hAnsi="Arial"/>
          <w:color w:val="1A1F36"/>
          <w:sz w:val="22"/>
          <w:szCs w:val="22"/>
        </w:rPr>
        <w:t xml:space="preserve">The RFM table was constructed at the Customer ID level, collapsing all 9,994 transactions into 793 rows — one per unique customer. The reference date was set to one day after the dataset's last order (2018-01-01) so that the most recent customer receives Recency = 1 day rather than 0, keeping the metric on a clean positive scale.</w:t>
      </w:r>
    </w:p>
    <w:p>
      <w:pPr>
        <w:pStyle w:val="Heading2"/>
        <w:spacing w:after="120" w:before="280"/>
      </w:pPr>
      <w:r>
        <w:rPr>
          <w:rFonts w:ascii="Arial" w:cs="Arial" w:eastAsia="Arial" w:hAnsi="Arial"/>
          <w:b/>
          <w:bCs/>
          <w:color w:val="4361EE"/>
          <w:sz w:val="26"/>
          <w:szCs w:val="26"/>
        </w:rPr>
        <w:t xml:space="preserve">6.2 RFM Scoring — Quintile Binning</w:t>
      </w:r>
    </w:p>
    <w:p>
      <w:pPr>
        <w:spacing w:after="80" w:before="80" w:line="276" w:lineRule="auto"/>
      </w:pPr>
      <w:r>
        <w:rPr>
          <w:rFonts w:ascii="Arial" w:cs="Arial" w:eastAsia="Arial" w:hAnsi="Arial"/>
          <w:color w:val="1A1F36"/>
          <w:sz w:val="22"/>
          <w:szCs w:val="22"/>
        </w:rPr>
        <w:t xml:space="preserve">Each RFM dimension is independently scored on a 1–5 scale using quintile binning (pd.qcut), dividing customers into five equally-sized groups. This creates a relative scoring system: a score of 5 on any dimension means the customer is in the top 20% of the customer base on that metric, regardless of the absolute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c>
          <w:tcPr>
            <w:tcW w:type="dxa" w:w="18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8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5 (Best)</w:t>
            </w:r>
          </w:p>
        </w:tc>
        <w:tc>
          <w:tcPr>
            <w:tcW w:type="dxa" w:w="16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1 (Worst)</w:t>
            </w:r>
          </w:p>
        </w:tc>
        <w:tc>
          <w:tcPr>
            <w:tcW w:type="dxa" w:w="41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Recency (R)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1–83 days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&gt;330 days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Inverted scale: lower days-since-purchase = more recent = better. pd.qcut with labels=[5,4,3,2,1].</w:t>
            </w:r>
          </w:p>
        </w:tc>
      </w:tr>
      <w:tr>
        <w:tc>
          <w:tcPr>
            <w:tcW w:type="dxa" w:w="18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Frequency (F)</w:t>
            </w:r>
          </w:p>
        </w:tc>
        <w:tc>
          <w:tcPr>
            <w:tcW w:type="dxa" w:w="18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11–17 orders</w:t>
            </w:r>
          </w:p>
        </w:tc>
        <w:tc>
          <w:tcPr>
            <w:tcW w:type="dxa" w:w="1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1–2 orders</w:t>
            </w:r>
          </w:p>
        </w:tc>
        <w:tc>
          <w:tcPr>
            <w:tcW w:type="dxa" w:w="41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Natural order: more orders = more engaged. Rank(method="first") breaks ties to guarantee 5 equal bins.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Monetary (M)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&gt;$452 profit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&lt;−$10 profit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Profit-based, not revenue-based: captures true economic value. Negative profits land in bin 1.</w:t>
            </w:r>
          </w:p>
        </w:tc>
      </w:tr>
      <w:tr>
        <w:tc>
          <w:tcPr>
            <w:tcW w:type="dxa" w:w="18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Composite (R+F+M)</w:t>
            </w:r>
          </w:p>
        </w:tc>
        <w:tc>
          <w:tcPr>
            <w:tcW w:type="dxa" w:w="18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13–15: Champions</w:t>
            </w:r>
          </w:p>
        </w:tc>
        <w:tc>
          <w:tcPr>
            <w:tcW w:type="dxa" w:w="16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3–6: At Risk</w:t>
            </w:r>
          </w:p>
        </w:tc>
        <w:tc>
          <w:tcPr>
            <w:tcW w:type="dxa" w:w="41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Additive equal-weight composite. Range 3–15. Each 3-point band maps to one business segment label.</w:t>
            </w:r>
          </w:p>
        </w:tc>
      </w:tr>
    </w:tbl>
    <w:p>
      <w:pPr>
        <w:spacing w:after="200" w:before="80"/>
        <w:jc w:val="center"/>
      </w:pPr>
      <w:r>
        <w:rPr>
          <w:rFonts w:ascii="Arial" w:cs="Arial" w:eastAsia="Arial" w:hAnsi="Arial"/>
          <w:color w:val="6B7280"/>
          <w:sz w:val="19"/>
          <w:szCs w:val="19"/>
        </w:rPr>
        <w:t xml:space="preserve">Table 6: RFM scoring rules and dimension-specific rationale</w:t>
      </w:r>
    </w:p>
    <w:p>
      <w:pPr>
        <w:spacing w:after="80" w:before="80" w:line="276" w:lineRule="auto"/>
      </w:pPr>
      <w:r>
        <w:rPr>
          <w:rFonts w:ascii="Arial" w:cs="Arial" w:eastAsia="Arial" w:hAnsi="Arial"/>
          <w:color w:val="1A1F36"/>
          <w:sz w:val="22"/>
          <w:szCs w:val="22"/>
        </w:rPr>
        <w:t xml:space="preserve">The composite RFM Score is the sum of the three individual scores (R + F + M), ranging from 3 (worst across all dimensions) to 15 (best across all dimensions). This additive equal-weight approach assumes that Recency, Frequency, and Monetary contribute equally to overall customer value — a standard assumption in operational CRM that avoids the subjectivity of differential weighting without additional data to calibrate weights.</w:t>
      </w:r>
    </w:p>
    <w:p>
      <w:pPr>
        <w:spacing w:after="80" w:before="80" w:line="276" w:lineRule="auto"/>
      </w:pPr>
      <w:r>
        <w:rPr>
          <w:rFonts w:ascii="Arial" w:cs="Arial" w:eastAsia="Arial" w:hAnsi="Arial"/>
          <w:color w:val="1A1F36"/>
          <w:sz w:val="22"/>
          <w:szCs w:val="22"/>
        </w:rPr>
        <w:t xml:space="preserve">Rule-based segment labels are mapped from the composite score: Champions (13–15), Loyal Customers (10–12), Potential Loyalists (7–9), Needs Attention (4–6), At Risk (3). These labels serve as an explainable, action-oriented taxonomy for marketing teams. The K-Means clustering in Section 6.3 operates independently on the continuous raw values, not on these discrete scores.</w:t>
      </w:r>
    </w:p>
    <w:p>
      <w:pPr>
        <w:pStyle w:val="Heading2"/>
        <w:spacing w:after="120" w:before="280"/>
      </w:pPr>
      <w:r>
        <w:rPr>
          <w:rFonts w:ascii="Arial" w:cs="Arial" w:eastAsia="Arial" w:hAnsi="Arial"/>
          <w:b/>
          <w:bCs/>
          <w:color w:val="4361EE"/>
          <w:sz w:val="26"/>
          <w:szCs w:val="26"/>
        </w:rPr>
        <w:t xml:space="preserve">6.3 K-Means Clustering — Full Methodology</w:t>
      </w:r>
    </w:p>
    <w:p>
      <w:pPr>
        <w:pStyle w:val="Heading3"/>
        <w:spacing w:after="100" w:before="200"/>
      </w:pPr>
      <w:r>
        <w:rPr>
          <w:rFonts w:ascii="Arial" w:cs="Arial" w:eastAsia="Arial" w:hAnsi="Arial"/>
          <w:b/>
          <w:bCs/>
          <w:color w:val="1A1F36"/>
          <w:sz w:val="23"/>
          <w:szCs w:val="23"/>
        </w:rPr>
        <w:t xml:space="preserve">6.3.1 Outlier Detection — IQR Method</w:t>
      </w:r>
    </w:p>
    <w:p>
      <w:pPr>
        <w:spacing w:after="80" w:before="80" w:line="276" w:lineRule="auto"/>
      </w:pPr>
      <w:r>
        <w:rPr>
          <w:rFonts w:ascii="Arial" w:cs="Arial" w:eastAsia="Arial" w:hAnsi="Arial"/>
          <w:color w:val="1A1F36"/>
          <w:sz w:val="22"/>
          <w:szCs w:val="22"/>
        </w:rPr>
        <w:t xml:space="preserve">K-Means minimises the within-cluster sum of squared Euclidean distances (WCSS). Because the algorithm is distance-based, extreme outliers exert disproportionate influence: a single customer with Monetary = $15,000 can pull an entire cluster centroid away from the 90% of customers with typical behaviour, producing a poorly representative segmentation.</w:t>
      </w:r>
    </w:p>
    <w:p>
      <w:pPr>
        <w:spacing w:after="80" w:before="80" w:line="276" w:lineRule="auto"/>
      </w:pPr>
      <w:r>
        <w:rPr>
          <w:rFonts w:ascii="Arial" w:cs="Arial" w:eastAsia="Arial" w:hAnsi="Arial"/>
          <w:color w:val="1A1F36"/>
          <w:sz w:val="22"/>
          <w:szCs w:val="22"/>
        </w:rPr>
        <w:t xml:space="preserve">Outliers were identified using the standard Tukey IQR fence: a value is flagged as an outlier if it falls below Q1 − 1.5 × IQR or above Q3 + 1.5 × IQR. The IQR approach is preferred over z-score thresholding here because z-scores are sensitive to the very outliers they are trying to detect — a highly skewed distribution inflates the mean and SD, making the threshold too permissive.</w:t>
      </w:r>
    </w:p>
    <w:p>
      <w:pPr>
        <w:pStyle w:val="ListParagraph"/>
        <w:numPr>
          <w:ilvl w:val="0"/>
          <w:numId w:val="2"/>
        </w:numPr>
        <w:spacing w:after="60" w:before="60"/>
      </w:pPr>
      <w:r>
        <w:rPr>
          <w:rFonts w:ascii="Arial" w:cs="Arial" w:eastAsia="Arial" w:hAnsi="Arial"/>
          <w:color w:val="1A1F36"/>
          <w:sz w:val="22"/>
          <w:szCs w:val="22"/>
        </w:rPr>
        <w:t xml:space="preserve">Monetary outliers: lower fence −$748.50, upper fence $1,345.10. ~10% of customers flagged. The negative floor reflects customers whose returns and discounts outweighed all profit — a genuine business signal, not erroneous data. Upper outliers are high-value VIPs.</w:t>
      </w:r>
    </w:p>
    <w:p>
      <w:pPr>
        <w:pStyle w:val="ListParagraph"/>
        <w:numPr>
          <w:ilvl w:val="0"/>
          <w:numId w:val="2"/>
        </w:numPr>
        <w:spacing w:after="60" w:before="60"/>
      </w:pPr>
      <w:r>
        <w:rPr>
          <w:rFonts w:ascii="Arial" w:cs="Arial" w:eastAsia="Arial" w:hAnsi="Arial"/>
          <w:color w:val="1A1F36"/>
          <w:sz w:val="22"/>
          <w:szCs w:val="22"/>
        </w:rPr>
        <w:t xml:space="preserve">Recency outliers: lower fence −198.5 days (mathematically impossible; capped at 0), upper fence 413.5 days. Customers above this threshold have been inactive for over a year.</w:t>
      </w:r>
    </w:p>
    <w:p>
      <w:pPr>
        <w:pStyle w:val="ListParagraph"/>
        <w:numPr>
          <w:ilvl w:val="0"/>
          <w:numId w:val="2"/>
        </w:numPr>
        <w:spacing w:after="60" w:before="60"/>
      </w:pPr>
      <w:r>
        <w:rPr>
          <w:rFonts w:ascii="Arial" w:cs="Arial" w:eastAsia="Arial" w:hAnsi="Arial"/>
          <w:color w:val="1A1F36"/>
          <w:sz w:val="22"/>
          <w:szCs w:val="22"/>
        </w:rPr>
        <w:t xml:space="preserve">Frequency outliers: upper fence 12 orders. Approximately 1% of customers. These are genuinely hyper-frequent buyers, not data errors.</w:t>
      </w:r>
    </w:p>
    <w:p>
      <w:pPr>
        <w:pStyle w:val="Heading3"/>
        <w:spacing w:after="100" w:before="200"/>
      </w:pPr>
      <w:r>
        <w:rPr>
          <w:rFonts w:ascii="Arial" w:cs="Arial" w:eastAsia="Arial" w:hAnsi="Arial"/>
          <w:b/>
          <w:bCs/>
          <w:color w:val="1A1F36"/>
          <w:sz w:val="23"/>
          <w:szCs w:val="23"/>
        </w:rPr>
        <w:t xml:space="preserve">6.3.2 Winsorisation — Capping Rather Than Dropping</w:t>
      </w:r>
    </w:p>
    <w:p>
      <w:pPr>
        <w:spacing w:after="80" w:before="80" w:line="276" w:lineRule="auto"/>
      </w:pPr>
      <w:r>
        <w:rPr>
          <w:rFonts w:ascii="Arial" w:cs="Arial" w:eastAsia="Arial" w:hAnsi="Arial"/>
          <w:color w:val="1A1F36"/>
          <w:sz w:val="22"/>
          <w:szCs w:val="22"/>
        </w:rPr>
        <w:t xml:space="preserve">The standard response to outliers in clustering is to drop the affected records. This was rejected on two grounds. First, the outliers in this dataset represent real and commercially significant behaviours — losing a VIP customer (Monetary &gt; $1,345) or a churned loss-maker (Monetary &lt; −$748) from the segmentation would misrepresent the true customer base. Second, with only 793 customers, dropping 10% of records would meaningfully reduce the dataset size available to the clustering algorithm.</w:t>
      </w:r>
    </w:p>
    <w:p>
      <w:pPr>
        <w:spacing w:after="80" w:before="80" w:line="276" w:lineRule="auto"/>
      </w:pPr>
      <w:r>
        <w:rPr>
          <w:rFonts w:ascii="Arial" w:cs="Arial" w:eastAsia="Arial" w:hAnsi="Arial"/>
          <w:color w:val="1A1F36"/>
          <w:sz w:val="22"/>
          <w:szCs w:val="22"/>
        </w:rPr>
        <w:t xml:space="preserve">Winsorisation (also called capping) instead replaces values beyond the IQR fence with the fence value itself. This preserves the customer record and the direction of the signal — a VIP customer still has a high Monetary value, just capped at $1,345 rather than their true $5,000+ — while preventing the extreme value from dominating Euclidean distances. The Winsorised dataset (rfm_w) has 793 rows, identical to the original, with three columns adjusted.</w:t>
      </w:r>
    </w:p>
    <w:p>
      <w:pPr>
        <w:pBdr>
          <w:left w:val="single" w:color="4361EE" w:sz="12" w:space="12"/>
        </w:pBdr>
        <w:spacing w:after="120" w:before="120"/>
        <w:ind w:left="720"/>
      </w:pPr>
      <w:r>
        <w:rPr>
          <w:rFonts w:ascii="Arial" w:cs="Arial" w:eastAsia="Arial" w:hAnsi="Arial"/>
          <w:i/>
          <w:iCs/>
          <w:color w:val="4361EE"/>
          <w:sz w:val="21"/>
          <w:szCs w:val="21"/>
        </w:rPr>
        <w:t xml:space="preserve">An important asymmetry: the lower IQR fence for Recency is negative (-198.5 days), which is impossible. The lower cap was therefore set to 0, not the computed fence value. The upper cap of 413.5 days is applied as computed.</w:t>
      </w:r>
    </w:p>
    <w:p>
      <w:pPr>
        <w:pStyle w:val="Heading3"/>
        <w:spacing w:after="100" w:before="200"/>
      </w:pPr>
      <w:r>
        <w:rPr>
          <w:rFonts w:ascii="Arial" w:cs="Arial" w:eastAsia="Arial" w:hAnsi="Arial"/>
          <w:b/>
          <w:bCs/>
          <w:color w:val="1A1F36"/>
          <w:sz w:val="23"/>
          <w:szCs w:val="23"/>
        </w:rPr>
        <w:t xml:space="preserve">6.3.3 Feature Scaling — StandardScaler</w:t>
      </w:r>
    </w:p>
    <w:p>
      <w:pPr>
        <w:spacing w:after="80" w:before="80" w:line="276" w:lineRule="auto"/>
      </w:pPr>
      <w:r>
        <w:rPr>
          <w:rFonts w:ascii="Arial" w:cs="Arial" w:eastAsia="Arial" w:hAnsi="Arial"/>
          <w:color w:val="1A1F36"/>
          <w:sz w:val="22"/>
          <w:szCs w:val="22"/>
        </w:rPr>
        <w:t xml:space="preserve">K-Means computes Euclidean distances in the feature space defined by the three RFM dimensions. Without scaling, dimensions with larger absolute ranges dominate the distance calculation regardless of their analytical importance. After Winsorisation, the approximate ranges are: Monetary: −$748 to $1,345 (range ~$2,093), Recency: 0 to 413 days (range 413), Frequency: 1 to 12 orders (range 11).</w:t>
      </w:r>
    </w:p>
    <w:p>
      <w:pPr>
        <w:spacing w:after="80" w:before="80" w:line="276" w:lineRule="auto"/>
      </w:pPr>
      <w:r>
        <w:rPr>
          <w:rFonts w:ascii="Arial" w:cs="Arial" w:eastAsia="Arial" w:hAnsi="Arial"/>
          <w:color w:val="1A1F36"/>
          <w:sz w:val="22"/>
          <w:szCs w:val="22"/>
        </w:rPr>
        <w:t xml:space="preserve">A one-unit change in Monetary (one dollar) would be weighted identically to a one-unit change in Frequency (one order) or Recency (one day) if the raw values were used. This is clearly wrong: the units are not comparable. StandardScaler transforms each feature to mean = 0, standard deviation = 1, making all three dimensions contribute equally to Euclidean distances. The transformation is applied using fit_transform on the Winsorised feature matrix, and the scaler object is retained so that new customer data could be transformed on the same scale in production.</w:t>
      </w:r>
    </w:p>
    <w:p>
      <w:pPr>
        <w:pStyle w:val="Heading3"/>
        <w:spacing w:after="100" w:before="200"/>
      </w:pPr>
      <w:r>
        <w:rPr>
          <w:rFonts w:ascii="Arial" w:cs="Arial" w:eastAsia="Arial" w:hAnsi="Arial"/>
          <w:b/>
          <w:bCs/>
          <w:color w:val="1A1F36"/>
          <w:sz w:val="23"/>
          <w:szCs w:val="23"/>
        </w:rPr>
        <w:t xml:space="preserve">6.3.4 Choosing Optimal k — Elbow and Silhouette Methods</w:t>
      </w:r>
    </w:p>
    <w:p>
      <w:pPr>
        <w:spacing w:after="80" w:before="80" w:line="276" w:lineRule="auto"/>
      </w:pPr>
      <w:r>
        <w:rPr>
          <w:rFonts w:ascii="Arial" w:cs="Arial" w:eastAsia="Arial" w:hAnsi="Arial"/>
          <w:color w:val="1A1F36"/>
          <w:sz w:val="22"/>
          <w:szCs w:val="22"/>
        </w:rPr>
        <w:t xml:space="preserve">The number of clusters k cannot be determined from the data alone; it requires an explicit selection criterion. Two complementary methods were evaluated across k = 3 to 10:</w:t>
      </w:r>
    </w:p>
    <w:p>
      <w:pPr>
        <w:pStyle w:val="ListParagraph"/>
        <w:numPr>
          <w:ilvl w:val="0"/>
          <w:numId w:val="2"/>
        </w:numPr>
        <w:spacing w:after="60" w:before="60"/>
      </w:pPr>
      <w:r>
        <w:rPr>
          <w:rFonts w:ascii="Arial" w:cs="Arial" w:eastAsia="Arial" w:hAnsi="Arial"/>
          <w:color w:val="1A1F36"/>
          <w:sz w:val="22"/>
          <w:szCs w:val="22"/>
        </w:rPr>
        <w:t xml:space="preserve">Inertia (WCSS): the sum of squared distances from each point to its cluster centroid. Inertia always decreases as k increases (more clusters = tighter fit), so the relevant signal is the rate of decrease. The "elbow" is the point at which adding another cluster produces diminishing returns — visually identifiable as the kink where the curve flattens.</w:t>
      </w:r>
    </w:p>
    <w:p>
      <w:pPr>
        <w:pStyle w:val="ListParagraph"/>
        <w:numPr>
          <w:ilvl w:val="0"/>
          <w:numId w:val="2"/>
        </w:numPr>
        <w:spacing w:after="60" w:before="60"/>
      </w:pPr>
      <w:r>
        <w:rPr>
          <w:rFonts w:ascii="Arial" w:cs="Arial" w:eastAsia="Arial" w:hAnsi="Arial"/>
          <w:color w:val="1A1F36"/>
          <w:sz w:val="22"/>
          <w:szCs w:val="22"/>
        </w:rPr>
        <w:t xml:space="preserve">Silhouette Score: for each point, the silhouette measures (distance to nearest other cluster centroid − distance to own centroid) / max(the two distances). Range: −1 to +1. A score near +1 means the point is well-matched to its own cluster and poorly matched to neighbouring clusters. A score near 0 means the point sits on a cluster boundary. The optimal k is the value that maximises the silhouette score.</w:t>
      </w:r>
    </w:p>
    <w:p>
      <w:pPr>
        <w:spacing w:after="80" w:before="80" w:line="276" w:lineRule="auto"/>
      </w:pPr>
      <w:r>
        <w:rPr>
          <w:rFonts w:ascii="Arial" w:cs="Arial" w:eastAsia="Arial" w:hAnsi="Arial"/>
          <w:color w:val="1A1F36"/>
          <w:sz w:val="22"/>
          <w:szCs w:val="22"/>
        </w:rPr>
        <w:t xml:space="preserve">The two criteria are used together because the elbow can be ambiguous on smooth curves — particularly in low-dimensional spaces where adding clusters continues to meaningfully reduce WCSS without producing a visually obvious kink. The silhouette score provides an objective single-value criterion. K-Means was run with n_init=10 (ten random initialisations, best result retained) and random_state=42 for reproducibility. The selected k=5 was chosen as the value where the silhouette score peaks, confirmed as consistent with the elbow chart.</w:t>
      </w:r>
    </w:p>
    <w:p>
      <w:pPr>
        <w:pStyle w:val="Heading3"/>
        <w:spacing w:after="100" w:before="200"/>
      </w:pPr>
      <w:r>
        <w:rPr>
          <w:rFonts w:ascii="Arial" w:cs="Arial" w:eastAsia="Arial" w:hAnsi="Arial"/>
          <w:b/>
          <w:bCs/>
          <w:color w:val="1A1F36"/>
          <w:sz w:val="23"/>
          <w:szCs w:val="23"/>
        </w:rPr>
        <w:t xml:space="preserve">6.3.5 Fitting the Final Model</w:t>
      </w:r>
    </w:p>
    <w:p>
      <w:pPr>
        <w:spacing w:after="80" w:before="80" w:line="276" w:lineRule="auto"/>
      </w:pPr>
      <w:r>
        <w:rPr>
          <w:rFonts w:ascii="Arial" w:cs="Arial" w:eastAsia="Arial" w:hAnsi="Arial"/>
          <w:color w:val="1A1F36"/>
          <w:sz w:val="22"/>
          <w:szCs w:val="22"/>
        </w:rPr>
        <w:t xml:space="preserve">The final KMeans model was fitted on the scaled Winsorised feature matrix with k=5, n_init=10, and random_state=42. The fit_predict method both fits the model and assigns each customer to its nearest centroid in a single call. Cluster labels are arbitrary integers (0–4); the ordering carries no inherent ranking. Business-meaningful names were assigned after profiling each cluster on the unscaled Winsorised data (to preserve interpretable units).</w:t>
      </w:r>
    </w:p>
    <w:p>
      <w:pPr>
        <w:spacing w:after="80" w:before="80" w:line="276" w:lineRule="auto"/>
      </w:pPr>
      <w:r>
        <w:rPr>
          <w:rFonts w:ascii="Arial" w:cs="Arial" w:eastAsia="Arial" w:hAnsi="Arial"/>
          <w:color w:val="1A1F36"/>
          <w:sz w:val="22"/>
          <w:szCs w:val="22"/>
        </w:rPr>
        <w:t xml:space="preserve">The five clusters were profiled by computing per-cluster averages of Recency, Frequency, and Monetary, total profit contribution, percentage of customers with positive Monetary value, and percentage of total dataset profit. Labels were assigned by combining the profile dimensions: lowest Recency (most recent) and highest Monetary = Champions; highest Recency (most lapsed) = Needs Attention; negative average Monetary = At Risk. This profile-to-label mapping is documented and reproducible — if the cluster numbering changes (e.g., with a different random seed), the labels can be reassigned by re-running the profiling step.</w:t>
      </w:r>
    </w:p>
    <w:p>
      <w:pPr>
        <w:pStyle w:val="Heading2"/>
        <w:spacing w:after="120" w:before="280"/>
      </w:pPr>
      <w:r>
        <w:rPr>
          <w:rFonts w:ascii="Arial" w:cs="Arial" w:eastAsia="Arial" w:hAnsi="Arial"/>
          <w:b/>
          <w:bCs/>
          <w:color w:val="4361EE"/>
          <w:sz w:val="26"/>
          <w:szCs w:val="26"/>
        </w:rPr>
        <w:t xml:space="preserve">6.4 Cluster vs Predefined Segment Comparison</w:t>
      </w:r>
    </w:p>
    <w:p>
      <w:pPr>
        <w:spacing w:after="80" w:before="80" w:line="276" w:lineRule="auto"/>
      </w:pPr>
      <w:r>
        <w:rPr>
          <w:rFonts w:ascii="Arial" w:cs="Arial" w:eastAsia="Arial" w:hAnsi="Arial"/>
          <w:color w:val="1A1F36"/>
          <w:sz w:val="22"/>
          <w:szCs w:val="22"/>
        </w:rPr>
        <w:t xml:space="preserve">A cross-tabulation of K-Means clusters against predefined segments (Consumer, Corporate, Home Office) was computed and tested statistically. If the predefined segments were good predictors of customer value, we would expect each K-Means cluster to be dominated by one segment — Champions should be predominantly Corporate, At Risk predominantly Consumer, and so on.</w:t>
      </w:r>
    </w:p>
    <w:p>
      <w:pPr>
        <w:spacing w:after="80" w:before="80" w:line="276" w:lineRule="auto"/>
      </w:pPr>
      <w:r>
        <w:rPr>
          <w:rFonts w:ascii="Arial" w:cs="Arial" w:eastAsia="Arial" w:hAnsi="Arial"/>
          <w:color w:val="1A1F36"/>
          <w:sz w:val="22"/>
          <w:szCs w:val="22"/>
        </w:rPr>
        <w:t xml:space="preserve">The result is the opposite: every K-Means cluster shows approximately the same ~52% Consumer / 30% Corporate / 19% Home Office split that characterises the overall dataset. A chi-squared test of independence confirms the lack of association. This is the most important negative finding in the analysis: segment-based targeting (e.g., "run a campaign for Corporate customers") is equivalent to random targeting within each behavioural tier. Behavioural RFM labels are strictly superior to administrative segment labels for any retention or upsell campaign.</w:t>
      </w:r>
    </w:p>
    <w:p>
      <w:pPr>
        <w:pStyle w:val="Heading2"/>
        <w:spacing w:after="120" w:before="280"/>
      </w:pPr>
      <w:r>
        <w:rPr>
          <w:rFonts w:ascii="Arial" w:cs="Arial" w:eastAsia="Arial" w:hAnsi="Arial"/>
          <w:b/>
          <w:bCs/>
          <w:color w:val="4361EE"/>
          <w:sz w:val="26"/>
          <w:szCs w:val="26"/>
        </w:rPr>
        <w:t xml:space="preserve">6.5 Customer Lifetime Value (CLV) Estimation</w:t>
      </w:r>
    </w:p>
    <w:p>
      <w:pPr>
        <w:spacing w:after="80" w:before="80" w:line="276" w:lineRule="auto"/>
      </w:pPr>
      <w:r>
        <w:rPr>
          <w:rFonts w:ascii="Arial" w:cs="Arial" w:eastAsia="Arial" w:hAnsi="Arial"/>
          <w:color w:val="1A1F36"/>
          <w:sz w:val="22"/>
          <w:szCs w:val="22"/>
        </w:rPr>
        <w:t xml:space="preserve">Customer Lifetime Value is the total net profit a business expects to generate from a customer relationship over its full duration. It is the primary justification for acquisition spend (CAC) and the foundation of the LTV:CAC efficiency ratio that guides budget allocation.</w:t>
      </w:r>
    </w:p>
    <w:p>
      <w:pPr>
        <w:spacing w:after="80" w:before="80" w:line="276" w:lineRule="auto"/>
      </w:pPr>
      <w:r>
        <w:rPr>
          <w:rFonts w:ascii="Arial" w:cs="Arial" w:eastAsia="Arial" w:hAnsi="Arial"/>
          <w:color w:val="1A1F36"/>
          <w:sz w:val="22"/>
          <w:szCs w:val="22"/>
        </w:rPr>
        <w:t xml:space="preserve">A full CLV model requires cohort survival data, churn probabilities, and discount rates — typically estimated using the BG/NBD (Buy Till You Die) probabilistic model or a contractual churn model. Since the Superstore dataset covers a fixed 4-year window without a clear end-of-relationship signal, a simplified proxy was used: CLV proxy = total profit generated per customer across all 4 years of observed history. This is equivalent to the standard cohort-level formula (average annual profit × expected relationship years) when the full relationship is observable in the dataset.</w:t>
      </w:r>
    </w:p>
    <w:p>
      <w:pPr>
        <w:pBdr>
          <w:left w:val="single" w:color="4361EE" w:sz="12" w:space="12"/>
        </w:pBdr>
        <w:spacing w:after="120" w:before="120"/>
        <w:ind w:left="720"/>
      </w:pPr>
      <w:r>
        <w:rPr>
          <w:rFonts w:ascii="Arial" w:cs="Arial" w:eastAsia="Arial" w:hAnsi="Arial"/>
          <w:i/>
          <w:iCs/>
          <w:color w:val="4361EE"/>
          <w:sz w:val="21"/>
          <w:szCs w:val="21"/>
        </w:rPr>
        <w:t xml:space="preserve">This proxy understates CLV for customers acquired late in the dataset window (2016–2017) and overstates it for customers acquired in 2014 who may have churned. For a production implementation, a BG/NBD model fitted on the monthly order-level data would produce superior estimates. The proxy is used here as an internally consistent comparator across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200"/>
        <w:gridCol w:w="1260"/>
        <w:gridCol w:w="1260"/>
        <w:gridCol w:w="2440"/>
      </w:tblGrid>
      <w:tr>
        <w:tc>
          <w:tcPr>
            <w:tcW w:type="dxa" w:w="21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RFM Label</w:t>
            </w:r>
          </w:p>
        </w:tc>
        <w:tc>
          <w:tcPr>
            <w:tcW w:type="dxa" w:w="11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1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Orders</w:t>
            </w:r>
          </w:p>
        </w:tc>
        <w:tc>
          <w:tcPr>
            <w:tcW w:type="dxa" w:w="12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Profit</w:t>
            </w:r>
          </w:p>
        </w:tc>
        <w:tc>
          <w:tcPr>
            <w:tcW w:type="dxa" w:w="12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CLV Proxy</w:t>
            </w:r>
          </w:p>
        </w:tc>
        <w:tc>
          <w:tcPr>
            <w:tcW w:type="dxa" w:w="244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1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Champions</w:t>
            </w:r>
          </w:p>
        </w:tc>
        <w:tc>
          <w:tcPr>
            <w:tcW w:type="dxa" w:w="11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104</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9.4</w:t>
            </w:r>
          </w:p>
        </w:tc>
        <w:tc>
          <w:tcPr>
            <w:tcW w:type="dxa" w:w="12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$818</w:t>
            </w:r>
          </w:p>
        </w:tc>
        <w:tc>
          <w:tcPr>
            <w:tcW w:type="dxa" w:w="12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$818</w:t>
            </w:r>
          </w:p>
        </w:tc>
        <w:tc>
          <w:tcPr>
            <w:tcW w:type="dxa" w:w="244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Top 13% by count; 37% of total profit</w:t>
            </w:r>
          </w:p>
        </w:tc>
      </w:tr>
      <w:tr>
        <w:tc>
          <w:tcPr>
            <w:tcW w:type="dxa" w:w="21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Loyal Customers</w:t>
            </w:r>
          </w:p>
        </w:tc>
        <w:tc>
          <w:tcPr>
            <w:tcW w:type="dxa" w:w="11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255</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7.1</w:t>
            </w:r>
          </w:p>
        </w:tc>
        <w:tc>
          <w:tcPr>
            <w:tcW w:type="dxa" w:w="12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$529</w:t>
            </w:r>
          </w:p>
        </w:tc>
        <w:tc>
          <w:tcPr>
            <w:tcW w:type="dxa" w:w="12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$529</w:t>
            </w:r>
          </w:p>
        </w:tc>
        <w:tc>
          <w:tcPr>
            <w:tcW w:type="dxa" w:w="2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Largest high-value group — retention priority</w:t>
            </w:r>
          </w:p>
        </w:tc>
      </w:tr>
      <w:tr>
        <w:tc>
          <w:tcPr>
            <w:tcW w:type="dxa" w:w="21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Potential Loyalists</w:t>
            </w:r>
          </w:p>
        </w:tc>
        <w:tc>
          <w:tcPr>
            <w:tcW w:type="dxa" w:w="11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257</w:t>
            </w:r>
          </w:p>
        </w:tc>
        <w:tc>
          <w:tcPr>
            <w:tcW w:type="dxa" w:w="1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4.8</w:t>
            </w:r>
          </w:p>
        </w:tc>
        <w:tc>
          <w:tcPr>
            <w:tcW w:type="dxa" w:w="12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$153</w:t>
            </w:r>
          </w:p>
        </w:tc>
        <w:tc>
          <w:tcPr>
            <w:tcW w:type="dxa" w:w="12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$153</w:t>
            </w:r>
          </w:p>
        </w:tc>
        <w:tc>
          <w:tcPr>
            <w:tcW w:type="dxa" w:w="244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Growth segment — upsell to Loyal tier</w:t>
            </w:r>
          </w:p>
        </w:tc>
      </w:tr>
      <w:tr>
        <w:tc>
          <w:tcPr>
            <w:tcW w:type="dxa" w:w="21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Needs Attention</w:t>
            </w:r>
          </w:p>
        </w:tc>
        <w:tc>
          <w:tcPr>
            <w:tcW w:type="dxa" w:w="11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150</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3.8</w:t>
            </w:r>
          </w:p>
        </w:tc>
        <w:tc>
          <w:tcPr>
            <w:tcW w:type="dxa" w:w="12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$3</w:t>
            </w:r>
          </w:p>
        </w:tc>
        <w:tc>
          <w:tcPr>
            <w:tcW w:type="dxa" w:w="12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$3</w:t>
            </w:r>
          </w:p>
        </w:tc>
        <w:tc>
          <w:tcPr>
            <w:tcW w:type="dxa" w:w="24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Re-engagement campaign viable — prior orders show loyalty potential</w:t>
            </w:r>
          </w:p>
        </w:tc>
      </w:tr>
      <w:tr>
        <w:tc>
          <w:tcPr>
            <w:tcW w:type="dxa" w:w="21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At Risk</w:t>
            </w:r>
          </w:p>
        </w:tc>
        <w:tc>
          <w:tcPr>
            <w:tcW w:type="dxa" w:w="11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27</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2.9</w:t>
            </w:r>
          </w:p>
        </w:tc>
        <w:tc>
          <w:tcPr>
            <w:tcW w:type="dxa" w:w="12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−$206</w:t>
            </w:r>
          </w:p>
        </w:tc>
        <w:tc>
          <w:tcPr>
            <w:tcW w:type="dxa" w:w="12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−$206</w:t>
            </w:r>
          </w:p>
        </w:tc>
        <w:tc>
          <w:tcPr>
            <w:tcW w:type="dxa" w:w="24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Loss-generating — diagnostic review before investment</w:t>
            </w:r>
          </w:p>
        </w:tc>
      </w:tr>
    </w:tbl>
    <w:p>
      <w:pPr>
        <w:spacing w:after="200" w:before="80"/>
        <w:jc w:val="center"/>
      </w:pPr>
      <w:r>
        <w:rPr>
          <w:rFonts w:ascii="Arial" w:cs="Arial" w:eastAsia="Arial" w:hAnsi="Arial"/>
          <w:color w:val="6B7280"/>
          <w:sz w:val="19"/>
          <w:szCs w:val="19"/>
        </w:rPr>
        <w:t xml:space="preserve">Table 7: CLV proxy and segment comparison by RFM label</w:t>
      </w:r>
    </w:p>
    <w:p>
      <w:pPr>
        <w:spacing w:after="80" w:before="80" w:line="276" w:lineRule="auto"/>
      </w:pPr>
      <w:r>
        <w:rPr>
          <w:rFonts w:ascii="Arial" w:cs="Arial" w:eastAsia="Arial" w:hAnsi="Arial"/>
          <w:color w:val="1A1F36"/>
          <w:sz w:val="22"/>
          <w:szCs w:val="22"/>
        </w:rPr>
        <w:t xml:space="preserve">Champions (104 customers, 13% of the base) generate $818 average CLV and contribute approximately 37% of total observed profit. Loyal Customers (255 customers) generate $529 CLV. These two segments together represent 45% of customers and generate over 80% of profit — a highly concentrated value distribution that is the analytical foundation of the retention programme recommendation in Section 7.3.</w:t>
      </w:r>
    </w:p>
    <w:p>
      <w:pPr>
        <w:pStyle w:val="Heading2"/>
        <w:spacing w:after="120" w:before="280"/>
      </w:pPr>
      <w:r>
        <w:rPr>
          <w:rFonts w:ascii="Arial" w:cs="Arial" w:eastAsia="Arial" w:hAnsi="Arial"/>
          <w:b/>
          <w:bCs/>
          <w:color w:val="4361EE"/>
          <w:sz w:val="26"/>
          <w:szCs w:val="26"/>
        </w:rPr>
        <w:t xml:space="preserve">6.6 Customer Acquisition Cost (CAC) Proxy</w:t>
      </w:r>
    </w:p>
    <w:p>
      <w:pPr>
        <w:spacing w:after="80" w:before="80" w:line="276" w:lineRule="auto"/>
      </w:pPr>
      <w:r>
        <w:rPr>
          <w:rFonts w:ascii="Arial" w:cs="Arial" w:eastAsia="Arial" w:hAnsi="Arial"/>
          <w:color w:val="1A1F36"/>
          <w:sz w:val="22"/>
          <w:szCs w:val="22"/>
        </w:rPr>
        <w:t xml:space="preserve">Customer Acquisition Cost is the total marketing spend required to acquire one new customer, computed as total channel spend divided by new customers acquired through that channel in the same period. The Superstore dataset does not contain marketing spend or attribution data, so CAC was estimated using the synthetic channel data described in Section 3.3.</w:t>
      </w:r>
    </w:p>
    <w:p>
      <w:pPr>
        <w:spacing w:after="80" w:before="80" w:line="276" w:lineRule="auto"/>
      </w:pPr>
      <w:r>
        <w:rPr>
          <w:rFonts w:ascii="Arial" w:cs="Arial" w:eastAsia="Arial" w:hAnsi="Arial"/>
          <w:color w:val="1A1F36"/>
          <w:sz w:val="22"/>
          <w:szCs w:val="22"/>
        </w:rPr>
        <w:t xml:space="preserve">Each of the 793 customers was assigned a CAC drawn from a channel-specific normal distribution calibrated to published benchmarks. The CAC represents the one-time cost of acquiring that customer and is stored at the customer level in the customer_master table. It does not recur in subsequent periods — retention costs are not modelled here and would need to be added in a production CLV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200"/>
        <w:gridCol w:w="1200"/>
        <w:gridCol w:w="1380"/>
        <w:gridCol w:w="3620"/>
      </w:tblGrid>
      <w:tr>
        <w:tc>
          <w:tcPr>
            <w:tcW w:type="dxa" w:w="196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1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Customers</w:t>
            </w:r>
          </w:p>
        </w:tc>
        <w:tc>
          <w:tcPr>
            <w:tcW w:type="dxa" w:w="120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CAC</w:t>
            </w:r>
          </w:p>
        </w:tc>
        <w:tc>
          <w:tcPr>
            <w:tcW w:type="dxa" w:w="138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LTV:CAC</w:t>
            </w:r>
          </w:p>
        </w:tc>
        <w:tc>
          <w:tcPr>
            <w:tcW w:type="dxa" w:w="3620"/>
            <w:tcBorders>
              <w:top w:val="single" w:color="D1D5DB" w:sz="1"/>
              <w:left w:val="single" w:color="D1D5DB" w:sz="1"/>
              <w:bottom w:val="single" w:color="D1D5DB" w:sz="1"/>
              <w:right w:val="single" w:color="D1D5DB" w:sz="1"/>
            </w:tcBorders>
            <w:shd w:fill="1A1F3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Priority</w:t>
            </w:r>
          </w:p>
        </w:tc>
      </w:tr>
      <w:tr>
        <w:tc>
          <w:tcPr>
            <w:tcW w:type="dxa" w:w="19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Direct</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60</w:t>
            </w:r>
          </w:p>
        </w:tc>
        <w:tc>
          <w:tcPr>
            <w:tcW w:type="dxa" w:w="120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$3.32</w:t>
            </w:r>
          </w:p>
        </w:tc>
        <w:tc>
          <w:tcPr>
            <w:tcW w:type="dxa" w:w="138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174×</w:t>
            </w:r>
          </w:p>
        </w:tc>
        <w:tc>
          <w:tcPr>
            <w:tcW w:type="dxa" w:w="362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Highest ROI — invest in referral programme</w:t>
            </w:r>
          </w:p>
        </w:tc>
      </w:tr>
      <w:tr>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Email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145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$5.97</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C4B6"/>
                <w:sz w:val="20"/>
                <w:szCs w:val="20"/>
              </w:rPr>
              <w:t xml:space="preserve">101×</w:t>
            </w:r>
          </w:p>
        </w:tc>
        <w:tc>
          <w:tcPr>
            <w:tcW w:type="dxa" w:w="3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Best volume-efficiency balance — increase budget</w:t>
            </w:r>
          </w:p>
        </w:tc>
      </w:tr>
      <w:tr>
        <w:tc>
          <w:tcPr>
            <w:tcW w:type="dxa" w:w="19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Organic</w:t>
            </w:r>
          </w:p>
        </w:tc>
        <w:tc>
          <w:tcPr>
            <w:tcW w:type="dxa" w:w="1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140</w:t>
            </w:r>
          </w:p>
        </w:tc>
        <w:tc>
          <w:tcPr>
            <w:tcW w:type="dxa" w:w="1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$9.89</w:t>
            </w:r>
          </w:p>
        </w:tc>
        <w:tc>
          <w:tcPr>
            <w:tcW w:type="dxa" w:w="138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39×</w:t>
            </w:r>
          </w:p>
        </w:tc>
        <w:tc>
          <w:tcPr>
            <w:tcW w:type="dxa" w:w="362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Strong return — invest in SEO and content</w:t>
            </w:r>
          </w:p>
        </w:tc>
      </w:tr>
      <w:tr>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Social Media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160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$21.97</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4361EE"/>
                <w:sz w:val="20"/>
                <w:szCs w:val="20"/>
              </w:rPr>
              <w:t xml:space="preserve">54×</w:t>
            </w:r>
          </w:p>
        </w:tc>
        <w:tc>
          <w:tcPr>
            <w:tcW w:type="dxa" w:w="36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Good for Consumer — monitor CAC closely</w:t>
            </w:r>
          </w:p>
        </w:tc>
      </w:tr>
      <w:tr>
        <w:tc>
          <w:tcPr>
            <w:tcW w:type="dxa" w:w="196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Paid Search</w:t>
            </w:r>
          </w:p>
        </w:tc>
        <w:tc>
          <w:tcPr>
            <w:tcW w:type="dxa" w:w="1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234</w:t>
            </w:r>
          </w:p>
        </w:tc>
        <w:tc>
          <w:tcPr>
            <w:tcW w:type="dxa" w:w="120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$27.98</w:t>
            </w:r>
          </w:p>
        </w:tc>
        <w:tc>
          <w:tcPr>
            <w:tcW w:type="dxa" w:w="138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36×</w:t>
            </w:r>
          </w:p>
        </w:tc>
        <w:tc>
          <w:tcPr>
            <w:tcW w:type="dxa" w:w="3620"/>
            <w:tcBorders>
              <w:top w:val="single" w:color="D1D5DB" w:sz="1"/>
              <w:left w:val="single" w:color="D1D5DB" w:sz="1"/>
              <w:bottom w:val="single" w:color="D1D5DB" w:sz="1"/>
              <w:right w:val="single" w:color="D1D5DB" w:sz="1"/>
            </w:tcBorders>
            <w:shd w:fill="EEF1FD"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Highest volume but costly — optimise targeting</w:t>
            </w:r>
          </w:p>
        </w:tc>
      </w:tr>
      <w:tr>
        <w:tc>
          <w:tcPr>
            <w:tcW w:type="dxa" w:w="19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Display</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54</w:t>
            </w:r>
          </w:p>
        </w:tc>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$40.15</w:t>
            </w:r>
          </w:p>
        </w:tc>
        <w:tc>
          <w:tcPr>
            <w:tcW w:type="dxa" w:w="13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63946"/>
                <w:sz w:val="20"/>
                <w:szCs w:val="20"/>
              </w:rPr>
              <w:t xml:space="preserve">30×</w:t>
            </w:r>
          </w:p>
        </w:tc>
        <w:tc>
          <w:tcPr>
            <w:tcW w:type="dxa" w:w="362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jc w:val="left"/>
            </w:pPr>
            <w:r>
              <w:rPr>
                <w:rFonts w:ascii="Arial" w:cs="Arial" w:eastAsia="Arial" w:hAnsi="Arial"/>
                <w:color w:val="1A1F36"/>
                <w:sz w:val="20"/>
                <w:szCs w:val="20"/>
              </w:rPr>
              <w:t xml:space="preserve">Lowest ROI — reallocate budget to Email/Direct</w:t>
            </w:r>
          </w:p>
        </w:tc>
      </w:tr>
    </w:tbl>
    <w:p>
      <w:pPr>
        <w:spacing w:after="200" w:before="80"/>
        <w:jc w:val="center"/>
      </w:pPr>
      <w:r>
        <w:rPr>
          <w:rFonts w:ascii="Arial" w:cs="Arial" w:eastAsia="Arial" w:hAnsi="Arial"/>
          <w:color w:val="6B7280"/>
          <w:sz w:val="19"/>
          <w:szCs w:val="19"/>
        </w:rPr>
        <w:t xml:space="preserve">Table 8: CAC and LTV:CAC ratio by acquisition channel</w:t>
      </w:r>
    </w:p>
    <w:p>
      <w:pPr>
        <w:spacing w:after="80" w:before="80" w:line="276" w:lineRule="auto"/>
      </w:pPr>
      <w:r>
        <w:rPr>
          <w:rFonts w:ascii="Arial" w:cs="Arial" w:eastAsia="Arial" w:hAnsi="Arial"/>
          <w:color w:val="1A1F36"/>
          <w:sz w:val="22"/>
          <w:szCs w:val="22"/>
        </w:rPr>
        <w:t xml:space="preserve">The LTV:CAC ratio is computed for each customer as their CLV proxy divided by their assigned CAC. The segment-level ratios in Table 8 are median values — the median is preferred over the mean because the distribution of LTV:CAC ratios is right-skewed (a small number of Champions in low-CAC channels produce very high ratios).</w:t>
      </w:r>
    </w:p>
    <w:p>
      <w:pPr>
        <w:pStyle w:val="Heading2"/>
        <w:spacing w:after="120" w:before="280"/>
      </w:pPr>
      <w:r>
        <w:rPr>
          <w:rFonts w:ascii="Arial" w:cs="Arial" w:eastAsia="Arial" w:hAnsi="Arial"/>
          <w:b/>
          <w:bCs/>
          <w:color w:val="4361EE"/>
          <w:sz w:val="26"/>
          <w:szCs w:val="26"/>
        </w:rPr>
        <w:t xml:space="preserve">6.7 LTV:CAC by Channel and Segment — The Cross-Analysis</w:t>
      </w:r>
    </w:p>
    <w:p>
      <w:pPr>
        <w:spacing w:after="80" w:before="80" w:line="276" w:lineRule="auto"/>
      </w:pPr>
      <w:r>
        <w:rPr>
          <w:rFonts w:ascii="Arial" w:cs="Arial" w:eastAsia="Arial" w:hAnsi="Arial"/>
          <w:color w:val="1A1F36"/>
          <w:sz w:val="22"/>
          <w:szCs w:val="22"/>
        </w:rPr>
        <w:t xml:space="preserve">The most important CAC finding is not the channel-level average but the Segment × Channel interaction. A heatmap of median LTV:CAC by predefined segment and acquisition channel reveals that performance varies significantly along both dimensions simultaneously. Direct and Email consistently outperform the 3× benchmark across all segments. Display underperforms in every segment combination. However, the magnitude of the gap varies: Email is relatively more efficient for Corporate customers (where relationship-led acquisition converts to higher-value accounts), while Paid Search performs closer to the median for Home Office.</w:t>
      </w:r>
    </w:p>
    <w:p>
      <w:pPr>
        <w:spacing w:after="80" w:before="80" w:line="276" w:lineRule="auto"/>
      </w:pPr>
      <w:r>
        <w:rPr>
          <w:rFonts w:ascii="Arial" w:cs="Arial" w:eastAsia="Arial" w:hAnsi="Arial"/>
          <w:color w:val="1A1F36"/>
          <w:sz w:val="22"/>
          <w:szCs w:val="22"/>
        </w:rPr>
        <w:t xml:space="preserve">This interaction effect means that a uniform channel budget reallocation (e.g., "cut Display spend by 30%") will have different impacts depending on the segment composition being acquired. The recommendation in Section 7.2 accounts for this by prioritising the reallocation toward channels that are both globally efficient and particularly strong in the highest-margin segment (Corporate).</w:t>
      </w:r>
    </w:p>
    <w:p>
      <w:pPr>
        <w:pStyle w:val="Heading2"/>
        <w:spacing w:after="120" w:before="280"/>
      </w:pPr>
      <w:r>
        <w:rPr>
          <w:rFonts w:ascii="Arial" w:cs="Arial" w:eastAsia="Arial" w:hAnsi="Arial"/>
          <w:b/>
          <w:bCs/>
          <w:color w:val="4361EE"/>
          <w:sz w:val="26"/>
          <w:szCs w:val="26"/>
        </w:rPr>
        <w:t xml:space="preserve">6.8 Discount Incrementality Analysis</w:t>
      </w:r>
    </w:p>
    <w:p>
      <w:pPr>
        <w:spacing w:after="80" w:before="80" w:line="276" w:lineRule="auto"/>
      </w:pPr>
      <w:r>
        <w:rPr>
          <w:rFonts w:ascii="Arial" w:cs="Arial" w:eastAsia="Arial" w:hAnsi="Arial"/>
          <w:color w:val="1A1F36"/>
          <w:sz w:val="22"/>
          <w:szCs w:val="22"/>
        </w:rPr>
        <w:t xml:space="preserve">As a final analytical step, a quasi-experimental incrementality analysis was conducted to estimate the profit impact of capping Furniture discounts at 20%. Furniture orders with discounts above 20% (the treatment group) were compared against Furniture orders at or below 20% (the control group). The counterfactual profit is estimated by applying the control group's average margin to the treatment group's revenue, then subtracting the current treatment profit.</w:t>
      </w:r>
    </w:p>
    <w:p>
      <w:pPr>
        <w:spacing w:after="80" w:before="80" w:line="276" w:lineRule="auto"/>
      </w:pPr>
      <w:r>
        <w:rPr>
          <w:rFonts w:ascii="Arial" w:cs="Arial" w:eastAsia="Arial" w:hAnsi="Arial"/>
          <w:color w:val="1A1F36"/>
          <w:sz w:val="22"/>
          <w:szCs w:val="22"/>
        </w:rPr>
        <w:t xml:space="preserve">Results: 400 Furniture orders carry discounts above 20%, generating $31.1K in revenue but −$31.1K in profit (−100% margin). The control group (low-discount Furniture) earns an average margin of 8.3%. Applying this margin to the same revenue yields an estimated profit of $2.6K — an incremental gain of $33.7K. Annualised across the 4-year dataset, this implies a run-rate recovery of approximately $8–12K per year from Furniture discounting alone, scaling to $50–70K if applied across all categories currently operating above the 20% cliff.</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7. Visualisations</w:t>
      </w:r>
    </w:p>
    <w:p>
      <w:pPr>
        <w:spacing w:after="80" w:before="80" w:line="276" w:lineRule="auto"/>
      </w:pPr>
      <w:r>
        <w:rPr>
          <w:rFonts w:ascii="Arial" w:cs="Arial" w:eastAsia="Arial" w:hAnsi="Arial"/>
          <w:color w:val="1A1F36"/>
          <w:sz w:val="22"/>
          <w:szCs w:val="22"/>
        </w:rPr>
        <w:t xml:space="preserve">An interactive HTML dashboard (superstore_analytics_dashboard.html) was built containing six analytical pages. The dashboard is self-contained and browser-openable, serving as a Looker Studio prototype. A parallel five-page Looker Studio report connects directly to BigQuery views for live querying.</w:t>
      </w:r>
    </w:p>
    <w:p>
      <w:pPr>
        <w:pStyle w:val="Heading2"/>
        <w:spacing w:after="120" w:before="280"/>
      </w:pPr>
      <w:r>
        <w:rPr>
          <w:rFonts w:ascii="Arial" w:cs="Arial" w:eastAsia="Arial" w:hAnsi="Arial"/>
          <w:b/>
          <w:bCs/>
          <w:color w:val="4361EE"/>
          <w:sz w:val="26"/>
          <w:szCs w:val="26"/>
        </w:rPr>
        <w:t xml:space="preserve">7.1 Sub-Category Margin Waterfall</w:t>
      </w:r>
    </w:p>
    <w:p>
      <w:pPr>
        <w:spacing w:after="80" w:before="80" w:line="276" w:lineRule="auto"/>
      </w:pPr>
      <w:r>
        <w:rPr>
          <w:rFonts w:ascii="Arial" w:cs="Arial" w:eastAsia="Arial" w:hAnsi="Arial"/>
          <w:color w:val="1A1F36"/>
          <w:sz w:val="22"/>
          <w:szCs w:val="22"/>
        </w:rPr>
        <w:t xml:space="preserve">A horizontal bar chart ranking all 17 sub-categories by profit margin with negative-margin bars in red. Tables (-8.6%), Bookcases (-3.0%), and Supplies (-2.5%) are immediately identifiable as value destroyers. This is the headline chart for the discount policy recommendation and the first visual a CEO would see in the presentation.</w:t>
      </w:r>
    </w:p>
    <w:p>
      <w:pPr>
        <w:pStyle w:val="Heading2"/>
        <w:spacing w:after="120" w:before="280"/>
      </w:pPr>
      <w:r>
        <w:rPr>
          <w:rFonts w:ascii="Arial" w:cs="Arial" w:eastAsia="Arial" w:hAnsi="Arial"/>
          <w:b/>
          <w:bCs/>
          <w:color w:val="4361EE"/>
          <w:sz w:val="26"/>
          <w:szCs w:val="26"/>
        </w:rPr>
        <w:t xml:space="preserve">7.2 Discount Cliff Chart</w:t>
      </w:r>
    </w:p>
    <w:p>
      <w:pPr>
        <w:spacing w:after="80" w:before="80" w:line="276" w:lineRule="auto"/>
      </w:pPr>
      <w:r>
        <w:rPr>
          <w:rFonts w:ascii="Arial" w:cs="Arial" w:eastAsia="Arial" w:hAnsi="Arial"/>
          <w:color w:val="1A1F36"/>
          <w:sz w:val="22"/>
          <w:szCs w:val="22"/>
        </w:rPr>
        <w:t xml:space="preserve">Paired bar charts showing average profit per order and average margin by discount bucket. The visual makes the non-linear threshold effect immediately apparent: positive bars for 0% and 1–20%, sharply inverted bars for 21–40% and &gt;40%. This single chart provides the empirical foundation for the 20% cap recommendation.</w:t>
      </w:r>
    </w:p>
    <w:p>
      <w:pPr>
        <w:pStyle w:val="Heading2"/>
        <w:spacing w:after="120" w:before="280"/>
      </w:pPr>
      <w:r>
        <w:rPr>
          <w:rFonts w:ascii="Arial" w:cs="Arial" w:eastAsia="Arial" w:hAnsi="Arial"/>
          <w:b/>
          <w:bCs/>
          <w:color w:val="4361EE"/>
          <w:sz w:val="26"/>
          <w:szCs w:val="26"/>
        </w:rPr>
        <w:t xml:space="preserve">7.3 RFM Cluster Visualisations</w:t>
      </w:r>
    </w:p>
    <w:p>
      <w:pPr>
        <w:spacing w:after="80" w:before="80" w:line="276" w:lineRule="auto"/>
      </w:pPr>
      <w:r>
        <w:rPr>
          <w:rFonts w:ascii="Arial" w:cs="Arial" w:eastAsia="Arial" w:hAnsi="Arial"/>
          <w:color w:val="1A1F36"/>
          <w:sz w:val="22"/>
          <w:szCs w:val="22"/>
        </w:rPr>
        <w:t xml:space="preserve">A 3D scatter plot (Plotly) in Recency × Frequency × Monetary space shows the spatial separation of the five K-Means clusters. A grouped bar chart compares average customer profit and LTV:CAC across segments (colour-coded: Champions green, At Risk red). A cross-tabulation stacked bar confirms the absence of association between K-Means clusters and predefined segments. Together these visuals tell the complete segmentation story: the data-driven clusters are meaningfully distinct in economic terms, but the predefined labels add no incremental signal.</w:t>
      </w:r>
    </w:p>
    <w:p>
      <w:pPr>
        <w:pStyle w:val="Heading2"/>
        <w:spacing w:after="120" w:before="280"/>
      </w:pPr>
      <w:r>
        <w:rPr>
          <w:rFonts w:ascii="Arial" w:cs="Arial" w:eastAsia="Arial" w:hAnsi="Arial"/>
          <w:b/>
          <w:bCs/>
          <w:color w:val="4361EE"/>
          <w:sz w:val="26"/>
          <w:szCs w:val="26"/>
        </w:rPr>
        <w:t xml:space="preserve">7.4 Channel Efficiency Scatter</w:t>
      </w:r>
    </w:p>
    <w:p>
      <w:pPr>
        <w:spacing w:after="80" w:before="80" w:line="276" w:lineRule="auto"/>
      </w:pPr>
      <w:r>
        <w:rPr>
          <w:rFonts w:ascii="Arial" w:cs="Arial" w:eastAsia="Arial" w:hAnsi="Arial"/>
          <w:color w:val="1A1F36"/>
          <w:sz w:val="22"/>
          <w:szCs w:val="22"/>
        </w:rPr>
        <w:t xml:space="preserve">A scatter plot with average CAC on the x-axis and average customer profit on the y-axis. Channels in the upper-left quadrant (low CAC, high profit — Direct and Email) are investment priorities. Display plots lower-right. This chart directly supports the budget reallocation recommendation and communicates the efficiency differential without requiring the audience to process a table.</w:t>
      </w:r>
    </w:p>
    <w:p>
      <w:pPr>
        <w:pStyle w:val="Heading2"/>
        <w:spacing w:after="120" w:before="280"/>
      </w:pPr>
      <w:r>
        <w:rPr>
          <w:rFonts w:ascii="Arial" w:cs="Arial" w:eastAsia="Arial" w:hAnsi="Arial"/>
          <w:b/>
          <w:bCs/>
          <w:color w:val="4361EE"/>
          <w:sz w:val="26"/>
          <w:szCs w:val="26"/>
        </w:rPr>
        <w:t xml:space="preserve">7.5 Monthly Sales and Profit Time Series</w:t>
      </w:r>
    </w:p>
    <w:p>
      <w:pPr>
        <w:spacing w:after="80" w:before="80" w:line="276" w:lineRule="auto"/>
      </w:pPr>
      <w:r>
        <w:rPr>
          <w:rFonts w:ascii="Arial" w:cs="Arial" w:eastAsia="Arial" w:hAnsi="Arial"/>
          <w:color w:val="1A1F36"/>
          <w:sz w:val="22"/>
          <w:szCs w:val="22"/>
        </w:rPr>
        <w:t xml:space="preserve">A 48-month line chart overlaying Sales and Profit. Q4 seasonality is visually clear across all four years. The margin compression in Q4 2017 is visible as the two lines diverge in the final quarter — the visual encapsulation of the discount-profit relationship at scale.</w:t>
      </w:r>
    </w:p>
    <w:p>
      <w:pPr>
        <w:pStyle w:val="Heading2"/>
        <w:spacing w:after="120" w:before="280"/>
      </w:pPr>
      <w:r>
        <w:rPr>
          <w:rFonts w:ascii="Arial" w:cs="Arial" w:eastAsia="Arial" w:hAnsi="Arial"/>
          <w:b/>
          <w:bCs/>
          <w:color w:val="4361EE"/>
          <w:sz w:val="26"/>
          <w:szCs w:val="26"/>
        </w:rPr>
        <w:t xml:space="preserve">7.6 Looker Studio Report</w:t>
      </w:r>
    </w:p>
    <w:p>
      <w:pPr>
        <w:spacing w:after="80" w:before="80" w:line="276" w:lineRule="auto"/>
      </w:pPr>
      <w:r>
        <w:rPr>
          <w:rFonts w:ascii="Arial" w:cs="Arial" w:eastAsia="Arial" w:hAnsi="Arial"/>
          <w:color w:val="1A1F36"/>
          <w:sz w:val="22"/>
          <w:szCs w:val="22"/>
        </w:rPr>
        <w:t xml:space="preserve">Five-page Looker Studio report built on BigQuery views (v_enriched, v_customer_master, monthly_channel_spend). Each page queries live data — no CSV uploads. The report URL serves as a shareable, portfolio-quality deliverable demonstrating BigQuery and Looker Studio proficiency.</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8. Recommendations</w:t>
      </w:r>
    </w:p>
    <w:p>
      <w:pPr>
        <w:spacing w:after="80" w:before="80" w:line="276" w:lineRule="auto"/>
      </w:pPr>
      <w:r>
        <w:rPr>
          <w:rFonts w:ascii="Arial" w:cs="Arial" w:eastAsia="Arial" w:hAnsi="Arial"/>
          <w:color w:val="1A1F36"/>
          <w:sz w:val="22"/>
          <w:szCs w:val="22"/>
        </w:rPr>
        <w:t xml:space="preserve">The following three recommendations address the root causes identified in Section 2. Each follows the Pyramid Principle: specific, quantified action first; supporting evidence second; measurement framework third.</w:t>
      </w:r>
    </w:p>
    <w:p>
      <w:pPr>
        <w:pStyle w:val="Heading2"/>
        <w:spacing w:after="120" w:before="280"/>
      </w:pPr>
      <w:r>
        <w:rPr>
          <w:rFonts w:ascii="Arial" w:cs="Arial" w:eastAsia="Arial" w:hAnsi="Arial"/>
          <w:b/>
          <w:bCs/>
          <w:color w:val="4361EE"/>
          <w:sz w:val="26"/>
          <w:szCs w:val="26"/>
        </w:rPr>
        <w:t xml:space="preserve">8.1 Action 1 — Institute a 20% Discount Cap Across All Sub-Categories</w:t>
      </w:r>
    </w:p>
    <w:p>
      <w:pPr>
        <w:spacing w:after="80" w:before="80" w:line="276" w:lineRule="auto"/>
      </w:pPr>
      <w:r>
        <w:rPr>
          <w:rFonts w:ascii="Arial" w:cs="Arial" w:eastAsia="Arial" w:hAnsi="Arial"/>
          <w:color w:val="1A1F36"/>
          <w:sz w:val="22"/>
          <w:szCs w:val="22"/>
        </w:rPr>
        <w:t xml:space="preserve">Immediately cap all discounts at 20% company-wide. For Furniture sub-categories (Tables, Bookcases, Supplies), which run negative margins before discounting, eliminate discounts entirely.</w:t>
      </w:r>
    </w:p>
    <w:p>
      <w:pPr>
        <w:spacing w:after="80" w:before="80" w:line="276" w:lineRule="auto"/>
      </w:pPr>
      <w:r>
        <w:rPr>
          <w:rFonts w:ascii="Arial" w:cs="Arial" w:eastAsia="Arial" w:hAnsi="Arial"/>
          <w:color w:val="1A1F36"/>
          <w:sz w:val="22"/>
          <w:szCs w:val="22"/>
        </w:rPr>
        <w:t xml:space="preserve">Evidence: Spearman rho = -0.57 (p &lt; 0.001) confirms the discount-profit relationship. The threshold analysis in Section 4.5 shows the profitability cliff at exactly 20%. The 1,137 orders in loss-making buckets generate average losses of $77–$107 per order. Tables sub-category alone destroys $17.7K in profit. Removing deep discounts from Furniture sub-categories projects a margin recovery of $50–70K per year, assuming approximately 50% of affected orders proceed at the undiscounted price.</w:t>
      </w:r>
    </w:p>
    <w:p>
      <w:pPr>
        <w:spacing w:after="80" w:before="80" w:line="276" w:lineRule="auto"/>
      </w:pPr>
      <w:r>
        <w:rPr>
          <w:rFonts w:ascii="Arial" w:cs="Arial" w:eastAsia="Arial" w:hAnsi="Arial"/>
          <w:color w:val="1A1F36"/>
          <w:sz w:val="22"/>
          <w:szCs w:val="22"/>
        </w:rPr>
        <w:t xml:space="preserve">Measurement: average margin by discount bucket, monitored monthly. Success metric: negative-margin order share falls below 5% within two quarters of implementation.</w:t>
      </w:r>
    </w:p>
    <w:p>
      <w:pPr>
        <w:pStyle w:val="Heading2"/>
        <w:spacing w:after="120" w:before="280"/>
      </w:pPr>
      <w:r>
        <w:rPr>
          <w:rFonts w:ascii="Arial" w:cs="Arial" w:eastAsia="Arial" w:hAnsi="Arial"/>
          <w:b/>
          <w:bCs/>
          <w:color w:val="4361EE"/>
          <w:sz w:val="26"/>
          <w:szCs w:val="26"/>
        </w:rPr>
        <w:t xml:space="preserve">8.2 Action 2 — Reallocate 30% of Display Budget to Email and Direct Channels</w:t>
      </w:r>
    </w:p>
    <w:p>
      <w:pPr>
        <w:spacing w:after="80" w:before="80" w:line="276" w:lineRule="auto"/>
      </w:pPr>
      <w:r>
        <w:rPr>
          <w:rFonts w:ascii="Arial" w:cs="Arial" w:eastAsia="Arial" w:hAnsi="Arial"/>
          <w:color w:val="1A1F36"/>
          <w:sz w:val="22"/>
          <w:szCs w:val="22"/>
        </w:rPr>
        <w:t xml:space="preserve">Reduce Display advertising spend by 30% and redistribute to Email campaigns and Direct referral programme infrastructure.</w:t>
      </w:r>
    </w:p>
    <w:p>
      <w:pPr>
        <w:spacing w:after="80" w:before="80" w:line="276" w:lineRule="auto"/>
      </w:pPr>
      <w:r>
        <w:rPr>
          <w:rFonts w:ascii="Arial" w:cs="Arial" w:eastAsia="Arial" w:hAnsi="Arial"/>
          <w:color w:val="1A1F36"/>
          <w:sz w:val="22"/>
          <w:szCs w:val="22"/>
        </w:rPr>
        <w:t xml:space="preserve">Evidence: Display acquires customers at $40.15 CAC, LTV:CAC 30x. Email acquires at $5.97 CAC, LTV:CAC 101x — a 6.7x improvement in return per dollar. Direct achieves 174x at $3.32 CAC. The quality of customers acquired (RFM segment distribution) is comparable across all channels — the efficiency differential is purely in acquisition cost. A 30% reallocation reduces blended CAC by an estimated 12–15% while maintaining acquisition volume, given Email capacity to absorb additional spend.</w:t>
      </w:r>
    </w:p>
    <w:p>
      <w:pPr>
        <w:spacing w:after="80" w:before="80" w:line="276" w:lineRule="auto"/>
      </w:pPr>
      <w:r>
        <w:rPr>
          <w:rFonts w:ascii="Arial" w:cs="Arial" w:eastAsia="Arial" w:hAnsi="Arial"/>
          <w:color w:val="1A1F36"/>
          <w:sz w:val="22"/>
          <w:szCs w:val="22"/>
        </w:rPr>
        <w:t xml:space="preserve">Measurement: CAC by channel, tracked monthly. Success metric: blended CAC below $15 within one year (current: $18.51).</w:t>
      </w:r>
    </w:p>
    <w:p>
      <w:pPr>
        <w:pStyle w:val="Heading2"/>
        <w:spacing w:after="120" w:before="280"/>
      </w:pPr>
      <w:r>
        <w:rPr>
          <w:rFonts w:ascii="Arial" w:cs="Arial" w:eastAsia="Arial" w:hAnsi="Arial"/>
          <w:b/>
          <w:bCs/>
          <w:color w:val="4361EE"/>
          <w:sz w:val="26"/>
          <w:szCs w:val="26"/>
        </w:rPr>
        <w:t xml:space="preserve">8.3 Action 3 — Launch a Retention Programme for 177 Disengaged Customers</w:t>
      </w:r>
    </w:p>
    <w:p>
      <w:pPr>
        <w:spacing w:after="80" w:before="80" w:line="276" w:lineRule="auto"/>
      </w:pPr>
      <w:r>
        <w:rPr>
          <w:rFonts w:ascii="Arial" w:cs="Arial" w:eastAsia="Arial" w:hAnsi="Arial"/>
          <w:color w:val="1A1F36"/>
          <w:sz w:val="22"/>
          <w:szCs w:val="22"/>
        </w:rPr>
        <w:t xml:space="preserve">Implement a targeted re-engagement campaign for the 177 customers classified as Needs Attention (150) or At Risk (27), targeting 20% reactivation among the Needs Attention group.</w:t>
      </w:r>
    </w:p>
    <w:p>
      <w:pPr>
        <w:spacing w:after="80" w:before="80" w:line="276" w:lineRule="auto"/>
      </w:pPr>
      <w:r>
        <w:rPr>
          <w:rFonts w:ascii="Arial" w:cs="Arial" w:eastAsia="Arial" w:hAnsi="Arial"/>
          <w:color w:val="1A1F36"/>
          <w:sz w:val="22"/>
          <w:szCs w:val="22"/>
        </w:rPr>
        <w:t xml:space="preserve">Evidence: Needs Attention customers have lapsed an average of 248 days but previously placed 3.8 orders on average — they are re-engageable, not permanently churned. At a CAC of $18.31, winning them back costs a fraction of acquiring new customers. If 30 of 150 Needs Attention customers (20%) reactivate to the Potential Loyalist level ($153 average profit), incremental profit is approximately $4,500 against an estimated campaign cost of $800–$1,500.</w:t>
      </w:r>
    </w:p>
    <w:p>
      <w:pPr>
        <w:spacing w:after="80" w:before="80" w:line="276" w:lineRule="auto"/>
      </w:pPr>
      <w:r>
        <w:rPr>
          <w:rFonts w:ascii="Arial" w:cs="Arial" w:eastAsia="Arial" w:hAnsi="Arial"/>
          <w:color w:val="1A1F36"/>
          <w:sz w:val="22"/>
          <w:szCs w:val="22"/>
        </w:rPr>
        <w:t xml:space="preserve">Measurement: 90-day reactivation rate (first order placed after campaign launch). Success metric: 20% reactivation rate among Needs Attention customers within 90 days.</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9. Conclusions</w:t>
      </w:r>
    </w:p>
    <w:p>
      <w:pPr>
        <w:spacing w:after="80" w:before="80" w:line="276" w:lineRule="auto"/>
      </w:pPr>
      <w:r>
        <w:rPr>
          <w:rFonts w:ascii="Arial" w:cs="Arial" w:eastAsia="Arial" w:hAnsi="Arial"/>
          <w:color w:val="1A1F36"/>
          <w:sz w:val="22"/>
          <w:szCs w:val="22"/>
        </w:rPr>
        <w:t xml:space="preserve">This analysis demonstrates that the Superstore's 12.5% overall margin conceals a highly heterogeneous business. Value creation is concentrated in Office Supplies and Technology sub-categories, among Champions and Loyal Customers, and in undiscounted transactions. Value destruction is equally concentrated: in Furniture, among lapsed customers, and in orders with discounts above 20%.</w:t>
      </w:r>
    </w:p>
    <w:p>
      <w:pPr>
        <w:spacing w:after="80" w:before="80" w:line="276" w:lineRule="auto"/>
      </w:pPr>
      <w:r>
        <w:rPr>
          <w:rFonts w:ascii="Arial" w:cs="Arial" w:eastAsia="Arial" w:hAnsi="Arial"/>
          <w:color w:val="1A1F36"/>
          <w:sz w:val="22"/>
          <w:szCs w:val="22"/>
        </w:rPr>
        <w:t xml:space="preserve">The RFM and K-Means clustering analysis delivers one particularly significant negative finding: the three predefined administrative segments (Consumer, Corporate, Home Office) are not predictive of customer behaviour. All three split almost identically across the five behavioural clusters. Marketing decisions based on these segments are misallocating investment across all value tiers indiscriminately.</w:t>
      </w:r>
    </w:p>
    <w:p>
      <w:pPr>
        <w:spacing w:after="80" w:before="80" w:line="276" w:lineRule="auto"/>
      </w:pPr>
      <w:r>
        <w:rPr>
          <w:rFonts w:ascii="Arial" w:cs="Arial" w:eastAsia="Arial" w:hAnsi="Arial"/>
          <w:color w:val="1A1F36"/>
          <w:sz w:val="22"/>
          <w:szCs w:val="22"/>
        </w:rPr>
        <w:t xml:space="preserve">The three recommended actions — capping discounts at 20%, reallocating channel spend toward Email and Direct, and launching a retention programme — address the three root causes identified and are estimated to recover $50–70K in annual margin, reduce blended CAC by 12–15%, and generate $4,500+ in incremental profit from customer reactivation.</w:t>
      </w:r>
    </w:p>
    <w:p>
      <w:pPr>
        <w:spacing w:after="80" w:before="80" w:line="276" w:lineRule="auto"/>
      </w:pPr>
      <w:r>
        <w:rPr>
          <w:rFonts w:ascii="Arial" w:cs="Arial" w:eastAsia="Arial" w:hAnsi="Arial"/>
          <w:color w:val="1A1F36"/>
          <w:sz w:val="22"/>
          <w:szCs w:val="22"/>
        </w:rPr>
        <w:t xml:space="preserve">Together, these recommendations represent a disciplined, evidence-based approach that any organisation with transactional data and a marketing attribution framework can implement. The BigQuery and Looker Studio infrastructure built for this project provides the foundation for ongoing monitoring — the same views that power this report can be refreshed with live data to track the impact of each intervention.</w:t>
      </w:r>
    </w:p>
    <w:p>
      <w:pPr>
        <w:pStyle w:val="Heading2"/>
        <w:spacing w:after="120" w:before="280"/>
      </w:pPr>
      <w:r>
        <w:rPr>
          <w:rFonts w:ascii="Arial" w:cs="Arial" w:eastAsia="Arial" w:hAnsi="Arial"/>
          <w:b/>
          <w:bCs/>
          <w:color w:val="4361EE"/>
          <w:sz w:val="26"/>
          <w:szCs w:val="26"/>
        </w:rPr>
        <w:t xml:space="preserve">9.1 Limitations</w:t>
      </w:r>
    </w:p>
    <w:p>
      <w:pPr>
        <w:pStyle w:val="ListParagraph"/>
        <w:numPr>
          <w:ilvl w:val="0"/>
          <w:numId w:val="2"/>
        </w:numPr>
        <w:spacing w:after="60" w:before="60"/>
      </w:pPr>
      <w:r>
        <w:rPr>
          <w:rFonts w:ascii="Arial" w:cs="Arial" w:eastAsia="Arial" w:hAnsi="Arial"/>
          <w:color w:val="1A1F36"/>
          <w:sz w:val="22"/>
          <w:szCs w:val="22"/>
        </w:rPr>
        <w:t xml:space="preserve">CAC and channel attribution data are synthetic — calibrated to benchmarks but not validated against actual marketing spend. All LTV:CAC figures should be treated as directional proxies, not precise actuals.</w:t>
      </w:r>
    </w:p>
    <w:p>
      <w:pPr>
        <w:pStyle w:val="ListParagraph"/>
        <w:numPr>
          <w:ilvl w:val="0"/>
          <w:numId w:val="2"/>
        </w:numPr>
        <w:spacing w:after="60" w:before="60"/>
      </w:pPr>
      <w:r>
        <w:rPr>
          <w:rFonts w:ascii="Arial" w:cs="Arial" w:eastAsia="Arial" w:hAnsi="Arial"/>
          <w:color w:val="1A1F36"/>
          <w:sz w:val="22"/>
          <w:szCs w:val="22"/>
        </w:rPr>
        <w:t xml:space="preserve">The CLV proxy (total historical profit) understates value for recently acquired customers and does not model future purchase probability or churn.</w:t>
      </w:r>
    </w:p>
    <w:p>
      <w:pPr>
        <w:pStyle w:val="ListParagraph"/>
        <w:numPr>
          <w:ilvl w:val="0"/>
          <w:numId w:val="2"/>
        </w:numPr>
        <w:spacing w:after="60" w:before="60"/>
      </w:pPr>
      <w:r>
        <w:rPr>
          <w:rFonts w:ascii="Arial" w:cs="Arial" w:eastAsia="Arial" w:hAnsi="Arial"/>
          <w:color w:val="1A1F36"/>
          <w:sz w:val="22"/>
          <w:szCs w:val="22"/>
        </w:rPr>
        <w:t xml:space="preserve">The dataset covers 2014–2017. Consumer behaviour, discount norms, and digital channel economics have changed significantly since then.</w:t>
      </w:r>
    </w:p>
    <w:p>
      <w:pPr>
        <w:pStyle w:val="ListParagraph"/>
        <w:numPr>
          <w:ilvl w:val="0"/>
          <w:numId w:val="2"/>
        </w:numPr>
        <w:spacing w:after="60" w:before="60"/>
      </w:pPr>
      <w:r>
        <w:rPr>
          <w:rFonts w:ascii="Arial" w:cs="Arial" w:eastAsia="Arial" w:hAnsi="Arial"/>
          <w:color w:val="1A1F36"/>
          <w:sz w:val="22"/>
          <w:szCs w:val="22"/>
        </w:rPr>
        <w:t xml:space="preserve">Profit as reported may not reflect true gross margin after fulfilment, warehousing, and overhead costs. A fully-loaded cost analysis could change sub-category rankings.</w:t>
      </w:r>
    </w:p>
    <w:p>
      <w:pPr>
        <w:pStyle w:val="ListParagraph"/>
        <w:numPr>
          <w:ilvl w:val="0"/>
          <w:numId w:val="2"/>
        </w:numPr>
        <w:spacing w:after="60" w:before="60"/>
      </w:pPr>
      <w:r>
        <w:rPr>
          <w:rFonts w:ascii="Arial" w:cs="Arial" w:eastAsia="Arial" w:hAnsi="Arial"/>
          <w:color w:val="1A1F36"/>
          <w:sz w:val="22"/>
          <w:szCs w:val="22"/>
        </w:rPr>
        <w:t xml:space="preserve">The K-Means solution assumes spherical, equally-sized clusters in scaled RFM space. Alternative clustering methods (DBSCAN, Gaussian Mixture Models, hierarchical agglomerative) may reveal different groupings and are recommended as a robustness check.</w:t>
      </w:r>
    </w:p>
    <w:p>
      <w:pPr>
        <w:pStyle w:val="Heading2"/>
        <w:spacing w:after="120" w:before="280"/>
      </w:pPr>
      <w:r>
        <w:rPr>
          <w:rFonts w:ascii="Arial" w:cs="Arial" w:eastAsia="Arial" w:hAnsi="Arial"/>
          <w:b/>
          <w:bCs/>
          <w:color w:val="4361EE"/>
          <w:sz w:val="26"/>
          <w:szCs w:val="26"/>
        </w:rPr>
        <w:t xml:space="preserve">9.2 Future Work</w:t>
      </w:r>
    </w:p>
    <w:p>
      <w:pPr>
        <w:pStyle w:val="ListParagraph"/>
        <w:numPr>
          <w:ilvl w:val="0"/>
          <w:numId w:val="2"/>
        </w:numPr>
        <w:spacing w:after="60" w:before="60"/>
      </w:pPr>
      <w:r>
        <w:rPr>
          <w:rFonts w:ascii="Arial" w:cs="Arial" w:eastAsia="Arial" w:hAnsi="Arial"/>
          <w:color w:val="1A1F36"/>
          <w:sz w:val="22"/>
          <w:szCs w:val="22"/>
        </w:rPr>
        <w:t xml:space="preserve">Prophet time series forecast for 2018 sales and profit by category, enabling forward-looking budget planning informed by the seasonal pattern established in Section 4.4.</w:t>
      </w:r>
    </w:p>
    <w:p>
      <w:pPr>
        <w:pStyle w:val="ListParagraph"/>
        <w:numPr>
          <w:ilvl w:val="0"/>
          <w:numId w:val="2"/>
        </w:numPr>
        <w:spacing w:after="60" w:before="60"/>
      </w:pPr>
      <w:r>
        <w:rPr>
          <w:rFonts w:ascii="Arial" w:cs="Arial" w:eastAsia="Arial" w:hAnsi="Arial"/>
          <w:color w:val="1A1F36"/>
          <w:sz w:val="22"/>
          <w:szCs w:val="22"/>
        </w:rPr>
        <w:t xml:space="preserve">BG/NBD probabilistic CLV model fitted on the monthly order-level data, replacing the historical profit proxy with a forward-looking purchase probability estimate.</w:t>
      </w:r>
    </w:p>
    <w:p>
      <w:pPr>
        <w:pStyle w:val="ListParagraph"/>
        <w:numPr>
          <w:ilvl w:val="0"/>
          <w:numId w:val="2"/>
        </w:numPr>
        <w:spacing w:after="60" w:before="60"/>
      </w:pPr>
      <w:r>
        <w:rPr>
          <w:rFonts w:ascii="Arial" w:cs="Arial" w:eastAsia="Arial" w:hAnsi="Arial"/>
          <w:color w:val="1A1F36"/>
          <w:sz w:val="22"/>
          <w:szCs w:val="22"/>
        </w:rPr>
        <w:t xml:space="preserve">Random Forest profit prediction model to identify key drivers of profit variance at the order level and generate individual-order profit predictions for real-time discount guardrails.</w:t>
      </w:r>
    </w:p>
    <w:p>
      <w:pPr>
        <w:pStyle w:val="ListParagraph"/>
        <w:numPr>
          <w:ilvl w:val="0"/>
          <w:numId w:val="2"/>
        </w:numPr>
        <w:spacing w:after="60" w:before="60"/>
      </w:pPr>
      <w:r>
        <w:rPr>
          <w:rFonts w:ascii="Arial" w:cs="Arial" w:eastAsia="Arial" w:hAnsi="Arial"/>
          <w:color w:val="1A1F36"/>
          <w:sz w:val="22"/>
          <w:szCs w:val="22"/>
        </w:rPr>
        <w:t xml:space="preserve">Formal A/B experiment design to measure the true incrementality of discount removal on Furniture sub-categories, isolating the effect from seasonal variation and category mix shifts.</w:t>
      </w:r>
    </w:p>
    <w:p>
      <w:pPr>
        <w:pStyle w:val="ListParagraph"/>
        <w:numPr>
          <w:ilvl w:val="0"/>
          <w:numId w:val="2"/>
        </w:numPr>
        <w:spacing w:after="60" w:before="60"/>
      </w:pPr>
      <w:r>
        <w:rPr>
          <w:rFonts w:ascii="Arial" w:cs="Arial" w:eastAsia="Arial" w:hAnsi="Arial"/>
          <w:color w:val="1A1F36"/>
          <w:sz w:val="22"/>
          <w:szCs w:val="22"/>
        </w:rPr>
        <w:t xml:space="preserve">Integration of real marketing attribution data to validate and refine the synthetic CAC estimates and transition the LTV:CAC analysis from proxy to production-grade measurement.</w:t>
      </w:r>
    </w:p>
    <w:p>
      <w:r>
        <w:br w:type="page"/>
      </w:r>
    </w:p>
    <w:p>
      <w:pPr>
        <w:pStyle w:val="Heading1"/>
        <w:pBdr>
          <w:bottom w:val="single" w:color="4361EE" w:sz="8" w:space="1"/>
        </w:pBdr>
        <w:spacing w:after="180" w:before="360"/>
      </w:pPr>
      <w:r>
        <w:rPr>
          <w:rFonts w:ascii="Arial" w:cs="Arial" w:eastAsia="Arial" w:hAnsi="Arial"/>
          <w:b/>
          <w:bCs/>
          <w:color w:val="1A1F36"/>
          <w:sz w:val="32"/>
          <w:szCs w:val="32"/>
        </w:rPr>
        <w:t xml:space="preserve">Appendix A: CEO Three Actions — Final Slide</w:t>
      </w:r>
    </w:p>
    <w:p>
      <w:pPr>
        <w:spacing w:after="240" w:before="80"/>
      </w:pPr>
      <w:r>
        <w:rPr>
          <w:rFonts w:ascii="Arial" w:cs="Arial" w:eastAsia="Arial" w:hAnsi="Arial"/>
          <w:color w:val="6B7280"/>
          <w:sz w:val="22"/>
          <w:szCs w:val="22"/>
        </w:rPr>
        <w:t xml:space="preserve">If you were the CEO, what three actions would you implement tomorrow based on the data?</w:t>
      </w:r>
    </w:p>
    <w:p>
      <w:pPr>
        <w:pStyle w:val="ListParagraph"/>
        <w:numPr>
          <w:ilvl w:val="0"/>
          <w:numId w:val="3"/>
        </w:numPr>
        <w:spacing w:after="120" w:before="120"/>
      </w:pPr>
      <w:r>
        <w:rPr>
          <w:rFonts w:ascii="Arial" w:cs="Arial" w:eastAsia="Arial" w:hAnsi="Arial"/>
          <w:b/>
          <w:bCs/>
          <w:color w:val="1A1F36"/>
          <w:sz w:val="22"/>
          <w:szCs w:val="22"/>
        </w:rPr>
        <w:t xml:space="preserve">Cap all discounts at 20% immediately</w:t>
      </w:r>
      <w:r>
        <w:rPr>
          <w:rFonts w:ascii="Arial" w:cs="Arial" w:eastAsia="Arial" w:hAnsi="Arial"/>
          <w:color w:val="1A1F36"/>
          <w:sz w:val="22"/>
          <w:szCs w:val="22"/>
        </w:rPr>
        <w:t xml:space="preserve"> — eliminate discounts on Tables, Bookcases, and Supplies entirely. Expected margin recovery: $50–70K/year based on current loss-making order volume. Measurement: negative-margin order share below 5% within two quarters.</w:t>
      </w:r>
    </w:p>
    <w:p>
      <w:pPr>
        <w:pStyle w:val="ListParagraph"/>
        <w:numPr>
          <w:ilvl w:val="0"/>
          <w:numId w:val="3"/>
        </w:numPr>
        <w:spacing w:after="120" w:before="120"/>
      </w:pPr>
      <w:r>
        <w:rPr>
          <w:rFonts w:ascii="Arial" w:cs="Arial" w:eastAsia="Arial" w:hAnsi="Arial"/>
          <w:b/>
          <w:bCs/>
          <w:color w:val="1A1F36"/>
          <w:sz w:val="22"/>
          <w:szCs w:val="22"/>
        </w:rPr>
        <w:t xml:space="preserve">Reallocate 30% of Display budget to Email and Direct</w:t>
      </w:r>
      <w:r>
        <w:rPr>
          <w:rFonts w:ascii="Arial" w:cs="Arial" w:eastAsia="Arial" w:hAnsi="Arial"/>
          <w:color w:val="1A1F36"/>
          <w:sz w:val="22"/>
          <w:szCs w:val="22"/>
        </w:rPr>
        <w:t xml:space="preserve"> — reduces blended CAC from $18.51 to below $15 within one year while maintaining acquisition volume. ROI improvement: 6.7× per dollar reallocated from Display to Email. Measurement: monthly CAC by channel.</w:t>
      </w:r>
    </w:p>
    <w:p>
      <w:pPr>
        <w:pStyle w:val="ListParagraph"/>
        <w:numPr>
          <w:ilvl w:val="0"/>
          <w:numId w:val="3"/>
        </w:numPr>
        <w:spacing w:after="120" w:before="120"/>
      </w:pPr>
      <w:r>
        <w:rPr>
          <w:rFonts w:ascii="Arial" w:cs="Arial" w:eastAsia="Arial" w:hAnsi="Arial"/>
          <w:b/>
          <w:bCs/>
          <w:color w:val="1A1F36"/>
          <w:sz w:val="22"/>
          <w:szCs w:val="22"/>
        </w:rPr>
        <w:t xml:space="preserve">Launch a retention programme for 177 Needs Attention and At-Risk customers</w:t>
      </w:r>
      <w:r>
        <w:rPr>
          <w:rFonts w:ascii="Arial" w:cs="Arial" w:eastAsia="Arial" w:hAnsi="Arial"/>
          <w:color w:val="1A1F36"/>
          <w:sz w:val="22"/>
          <w:szCs w:val="22"/>
        </w:rPr>
        <w:t xml:space="preserve"> — 20% reactivation target generates approximately $4,500 in incremental profit at a fraction of new-customer acquisition cost. Measurement: 90-day reactivation rate.</w:t>
      </w:r>
    </w:p>
    <w:p>
      <w:pPr>
        <w:pStyle w:val="Heading1"/>
        <w:pBdr>
          <w:bottom w:val="single" w:color="4361EE" w:sz="8" w:space="1"/>
        </w:pBdr>
        <w:spacing w:after="180" w:before="360"/>
      </w:pPr>
      <w:r>
        <w:rPr>
          <w:rFonts w:ascii="Arial" w:cs="Arial" w:eastAsia="Arial" w:hAnsi="Arial"/>
          <w:b/>
          <w:bCs/>
          <w:color w:val="1A1F36"/>
          <w:sz w:val="32"/>
          <w:szCs w:val="32"/>
        </w:rPr>
        <w:t xml:space="preserve">Appendix B: Data Dictionary (Selected Columns)</w:t>
      </w:r>
    </w:p>
    <w:p>
      <w:pPr>
        <w:pStyle w:val="Heading3"/>
        <w:spacing w:after="100" w:before="200"/>
      </w:pPr>
      <w:r>
        <w:rPr>
          <w:rFonts w:ascii="Arial" w:cs="Arial" w:eastAsia="Arial" w:hAnsi="Arial"/>
          <w:b/>
          <w:bCs/>
          <w:color w:val="1A1F36"/>
          <w:sz w:val="23"/>
          <w:szCs w:val="23"/>
        </w:rPr>
        <w:t xml:space="preserve">Original dataset columns (computed)</w:t>
      </w:r>
    </w:p>
    <w:p>
      <w:pPr>
        <w:pStyle w:val="ListParagraph"/>
        <w:numPr>
          <w:ilvl w:val="0"/>
          <w:numId w:val="2"/>
        </w:numPr>
        <w:spacing w:after="60" w:before="60"/>
      </w:pPr>
      <w:r>
        <w:rPr>
          <w:rFonts w:ascii="Arial" w:cs="Arial" w:eastAsia="Arial" w:hAnsi="Arial"/>
          <w:color w:val="1A1F36"/>
          <w:sz w:val="22"/>
          <w:szCs w:val="22"/>
        </w:rPr>
        <w:t xml:space="preserve">Profit Margin: Profit / Sales. Negative where Profit &lt; 0.</w:t>
      </w:r>
    </w:p>
    <w:p>
      <w:pPr>
        <w:pStyle w:val="ListParagraph"/>
        <w:numPr>
          <w:ilvl w:val="0"/>
          <w:numId w:val="2"/>
        </w:numPr>
        <w:spacing w:after="60" w:before="60"/>
      </w:pPr>
      <w:r>
        <w:rPr>
          <w:rFonts w:ascii="Arial" w:cs="Arial" w:eastAsia="Arial" w:hAnsi="Arial"/>
          <w:color w:val="1A1F36"/>
          <w:sz w:val="22"/>
          <w:szCs w:val="22"/>
        </w:rPr>
        <w:t xml:space="preserve">Delivery Days: Ship Date minus Order Date in calendar days.</w:t>
      </w:r>
    </w:p>
    <w:p>
      <w:pPr>
        <w:pStyle w:val="ListParagraph"/>
        <w:numPr>
          <w:ilvl w:val="0"/>
          <w:numId w:val="2"/>
        </w:numPr>
        <w:spacing w:after="60" w:before="60"/>
      </w:pPr>
      <w:r>
        <w:rPr>
          <w:rFonts w:ascii="Arial" w:cs="Arial" w:eastAsia="Arial" w:hAnsi="Arial"/>
          <w:color w:val="1A1F36"/>
          <w:sz w:val="22"/>
          <w:szCs w:val="22"/>
        </w:rPr>
        <w:t xml:space="preserve">Discount_Cost: (Sales / (1 − Discount)) × Discount. Revenue foregone due to discount per order.</w:t>
      </w:r>
    </w:p>
    <w:p>
      <w:pPr>
        <w:pStyle w:val="ListParagraph"/>
        <w:numPr>
          <w:ilvl w:val="0"/>
          <w:numId w:val="2"/>
        </w:numPr>
        <w:spacing w:after="60" w:before="60"/>
      </w:pPr>
      <w:r>
        <w:rPr>
          <w:rFonts w:ascii="Arial" w:cs="Arial" w:eastAsia="Arial" w:hAnsi="Arial"/>
          <w:color w:val="1A1F36"/>
          <w:sz w:val="22"/>
          <w:szCs w:val="22"/>
        </w:rPr>
        <w:t xml:space="preserve">Discount Category: ordered bucket — 0%, 1–20%, 21–40%, &gt;40%.</w:t>
      </w:r>
    </w:p>
    <w:p>
      <w:pPr>
        <w:pStyle w:val="Heading3"/>
        <w:spacing w:after="100" w:before="200"/>
      </w:pPr>
      <w:r>
        <w:rPr>
          <w:rFonts w:ascii="Arial" w:cs="Arial" w:eastAsia="Arial" w:hAnsi="Arial"/>
          <w:b/>
          <w:bCs/>
          <w:color w:val="1A1F36"/>
          <w:sz w:val="23"/>
          <w:szCs w:val="23"/>
        </w:rPr>
        <w:t xml:space="preserve">Synthetic columns — clearly labelled as modelled estimates</w:t>
      </w:r>
    </w:p>
    <w:p>
      <w:pPr>
        <w:pStyle w:val="ListParagraph"/>
        <w:numPr>
          <w:ilvl w:val="0"/>
          <w:numId w:val="2"/>
        </w:numPr>
        <w:spacing w:after="60" w:before="60"/>
      </w:pPr>
      <w:r>
        <w:rPr>
          <w:rFonts w:ascii="Arial" w:cs="Arial" w:eastAsia="Arial" w:hAnsi="Arial"/>
          <w:color w:val="1A1F36"/>
          <w:sz w:val="22"/>
          <w:szCs w:val="22"/>
        </w:rPr>
        <w:t xml:space="preserve">Acquisition_Channel: Direct, Display, Email, Organic, Paid Search, Social Media. Assigned per customer via segment-weighted probability draw (seed 42).</w:t>
      </w:r>
    </w:p>
    <w:p>
      <w:pPr>
        <w:pStyle w:val="ListParagraph"/>
        <w:numPr>
          <w:ilvl w:val="0"/>
          <w:numId w:val="2"/>
        </w:numPr>
        <w:spacing w:after="60" w:before="60"/>
      </w:pPr>
      <w:r>
        <w:rPr>
          <w:rFonts w:ascii="Arial" w:cs="Arial" w:eastAsia="Arial" w:hAnsi="Arial"/>
          <w:color w:val="1A1F36"/>
          <w:sz w:val="22"/>
          <w:szCs w:val="22"/>
        </w:rPr>
        <w:t xml:space="preserve">CAC: Customer Acquisition Cost in USD. Channel-specific normal distribution. One-time acquisition cost; does not recur.</w:t>
      </w:r>
    </w:p>
    <w:p>
      <w:pPr>
        <w:pStyle w:val="ListParagraph"/>
        <w:numPr>
          <w:ilvl w:val="0"/>
          <w:numId w:val="2"/>
        </w:numPr>
        <w:spacing w:after="60" w:before="60"/>
      </w:pPr>
      <w:r>
        <w:rPr>
          <w:rFonts w:ascii="Arial" w:cs="Arial" w:eastAsia="Arial" w:hAnsi="Arial"/>
          <w:color w:val="1A1F36"/>
          <w:sz w:val="22"/>
          <w:szCs w:val="22"/>
        </w:rPr>
        <w:t xml:space="preserve">Acquisition_Campaign: string label for the campaign type within each channel (e.g., "Email_Nurture_Q2").</w:t>
      </w:r>
    </w:p>
    <w:p>
      <w:pPr>
        <w:pStyle w:val="ListParagraph"/>
        <w:numPr>
          <w:ilvl w:val="0"/>
          <w:numId w:val="2"/>
        </w:numPr>
        <w:spacing w:after="60" w:before="60"/>
      </w:pPr>
      <w:r>
        <w:rPr>
          <w:rFonts w:ascii="Arial" w:cs="Arial" w:eastAsia="Arial" w:hAnsi="Arial"/>
          <w:color w:val="1A1F36"/>
          <w:sz w:val="22"/>
          <w:szCs w:val="22"/>
        </w:rPr>
        <w:t xml:space="preserve">LTV_CAC_Ratio: CLV proxy / CAC. Directional proxy — not validated against real spend.</w:t>
      </w:r>
    </w:p>
    <w:p>
      <w:pPr>
        <w:pStyle w:val="Heading3"/>
        <w:spacing w:after="100" w:before="200"/>
      </w:pPr>
      <w:r>
        <w:rPr>
          <w:rFonts w:ascii="Arial" w:cs="Arial" w:eastAsia="Arial" w:hAnsi="Arial"/>
          <w:b/>
          <w:bCs/>
          <w:color w:val="1A1F36"/>
          <w:sz w:val="23"/>
          <w:szCs w:val="23"/>
        </w:rPr>
        <w:t xml:space="preserve">Segmentation columns</w:t>
      </w:r>
    </w:p>
    <w:p>
      <w:pPr>
        <w:pStyle w:val="ListParagraph"/>
        <w:numPr>
          <w:ilvl w:val="0"/>
          <w:numId w:val="2"/>
        </w:numPr>
        <w:spacing w:after="60" w:before="60"/>
      </w:pPr>
      <w:r>
        <w:rPr>
          <w:rFonts w:ascii="Arial" w:cs="Arial" w:eastAsia="Arial" w:hAnsi="Arial"/>
          <w:color w:val="1A1F36"/>
          <w:sz w:val="22"/>
          <w:szCs w:val="22"/>
        </w:rPr>
        <w:t xml:space="preserve">RFM_Label: rule-based label from composite RFM score — Champions (13–15), Loyal Customers (10–12), Potential Loyalists (7–9), Needs Attention (4–6), At Risk (3).</w:t>
      </w:r>
    </w:p>
    <w:p>
      <w:pPr>
        <w:pStyle w:val="ListParagraph"/>
        <w:numPr>
          <w:ilvl w:val="0"/>
          <w:numId w:val="2"/>
        </w:numPr>
        <w:spacing w:after="60" w:before="60"/>
      </w:pPr>
      <w:r>
        <w:rPr>
          <w:rFonts w:ascii="Arial" w:cs="Arial" w:eastAsia="Arial" w:hAnsi="Arial"/>
          <w:color w:val="1A1F36"/>
          <w:sz w:val="22"/>
          <w:szCs w:val="22"/>
        </w:rPr>
        <w:t xml:space="preserve">R_Score, F_Score, M_Score: individual quintile scores 1–5. Recency inverted so 5 = most recent.</w:t>
      </w:r>
    </w:p>
    <w:p>
      <w:pPr>
        <w:pStyle w:val="ListParagraph"/>
        <w:numPr>
          <w:ilvl w:val="0"/>
          <w:numId w:val="2"/>
        </w:numPr>
        <w:spacing w:after="60" w:before="60"/>
      </w:pPr>
      <w:r>
        <w:rPr>
          <w:rFonts w:ascii="Arial" w:cs="Arial" w:eastAsia="Arial" w:hAnsi="Arial"/>
          <w:color w:val="1A1F36"/>
          <w:sz w:val="22"/>
          <w:szCs w:val="22"/>
        </w:rPr>
        <w:t xml:space="preserve">RFM_Score: R_Score + F_Score + M_Score. Range 3–15.</w:t>
      </w:r>
    </w:p>
    <w:p>
      <w:pPr>
        <w:pStyle w:val="ListParagraph"/>
        <w:numPr>
          <w:ilvl w:val="0"/>
          <w:numId w:val="2"/>
        </w:numPr>
        <w:spacing w:after="60" w:before="60"/>
      </w:pPr>
      <w:r>
        <w:rPr>
          <w:rFonts w:ascii="Arial" w:cs="Arial" w:eastAsia="Arial" w:hAnsi="Arial"/>
          <w:color w:val="1A1F36"/>
          <w:sz w:val="22"/>
          <w:szCs w:val="22"/>
        </w:rPr>
        <w:t xml:space="preserve">Cluster: K-Means cluster assignment (0–4, k=5 selected by Silhouette score). Labels assigned post-profiling.</w:t>
      </w:r>
    </w:p>
    <w:p>
      <w:pPr>
        <w:pStyle w:val="ListParagraph"/>
        <w:numPr>
          <w:ilvl w:val="0"/>
          <w:numId w:val="2"/>
        </w:numPr>
        <w:spacing w:after="60" w:before="60"/>
      </w:pPr>
      <w:r>
        <w:rPr>
          <w:rFonts w:ascii="Arial" w:cs="Arial" w:eastAsia="Arial" w:hAnsi="Arial"/>
          <w:color w:val="1A1F36"/>
          <w:sz w:val="22"/>
          <w:szCs w:val="22"/>
        </w:rPr>
        <w:t xml:space="preserve">Recency: days since last order as of 2018-01-01 (reference date).</w:t>
      </w:r>
    </w:p>
    <w:p>
      <w:pPr>
        <w:pStyle w:val="ListParagraph"/>
        <w:numPr>
          <w:ilvl w:val="0"/>
          <w:numId w:val="2"/>
        </w:numPr>
        <w:spacing w:after="60" w:before="60"/>
      </w:pPr>
      <w:r>
        <w:rPr>
          <w:rFonts w:ascii="Arial" w:cs="Arial" w:eastAsia="Arial" w:hAnsi="Arial"/>
          <w:color w:val="1A1F36"/>
          <w:sz w:val="22"/>
          <w:szCs w:val="22"/>
        </w:rPr>
        <w:t xml:space="preserve">Frequency: count of unique orders per customer across 2014–2017.</w:t>
      </w:r>
    </w:p>
    <w:p>
      <w:pPr>
        <w:pStyle w:val="ListParagraph"/>
        <w:numPr>
          <w:ilvl w:val="0"/>
          <w:numId w:val="2"/>
        </w:numPr>
        <w:spacing w:after="60" w:before="60"/>
      </w:pPr>
      <w:r>
        <w:rPr>
          <w:rFonts w:ascii="Arial" w:cs="Arial" w:eastAsia="Arial" w:hAnsi="Arial"/>
          <w:color w:val="1A1F36"/>
          <w:sz w:val="22"/>
          <w:szCs w:val="22"/>
        </w:rPr>
        <w:t xml:space="preserve">Monetary: total profit generated per customer across all orders. Can be negative.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0"/>
    </w:pPr>
    <w:r>
      <w:rPr>
        <w:rFonts w:ascii="Arial" w:cs="Arial" w:eastAsia="Arial" w:hAnsi="Arial"/>
        <w:color w:val="6B7280"/>
        <w:sz w:val="18"/>
        <w:szCs w:val="18"/>
      </w:rPr>
      <w:t xml:space="preserve">Business Statistics &amp; Insights — Master in Business Analytics &amp; AI</w:t>
    </w:r>
    <w:r>
      <w:rPr>
        <w:rFonts w:ascii="Arial" w:cs="Arial" w:eastAsia="Arial" w:hAnsi="Arial"/>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61EE" w:sz="4" w:space="1"/>
      </w:pBdr>
      <w:tabs>
        <w:tab w:val="right" w:pos="9360"/>
      </w:tabs>
      <w:spacing w:after="0"/>
    </w:pPr>
    <w:r>
      <w:rPr>
        <w:rFonts w:ascii="Arial" w:cs="Arial" w:eastAsia="Arial" w:hAnsi="Arial"/>
        <w:b/>
        <w:bCs/>
        <w:color w:val="4361EE"/>
        <w:sz w:val="18"/>
        <w:szCs w:val="18"/>
      </w:rPr>
      <w:t xml:space="preserve">SUPERSTORE ANALYTICS REPORT</w:t>
    </w:r>
    <w:r>
      <w:rPr>
        <w:rFonts w:ascii="Arial" w:cs="Arial" w:eastAsia="Arial" w:hAnsi="Arial"/>
      </w:rPr>
      <w:t xml:space="preserve">	</w:t>
    </w:r>
    <w:r>
      <w:rPr>
        <w:rFonts w:ascii="Arial" w:cs="Arial" w:eastAsia="Arial" w:hAnsi="Arial"/>
        <w:color w:val="6B7280"/>
        <w:sz w:val="16"/>
        <w:szCs w:val="16"/>
      </w:rPr>
      <w:t xml:space="preserve">Team 4 | Porto Business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F3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361E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F3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2026-06-28T17:59:12.110Z</dcterms:created>
  <dcterms:modified xsi:type="dcterms:W3CDTF">2026-06-28T17:59:12.111Z</dcterms:modified>
</cp:coreProperties>
</file>

<file path=docProps/custom.xml><?xml version="1.0" encoding="utf-8"?>
<Properties xmlns="http://schemas.openxmlformats.org/officeDocument/2006/custom-properties" xmlns:vt="http://schemas.openxmlformats.org/officeDocument/2006/docPropsVTypes"/>
</file>