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5ED11" w14:textId="77777777" w:rsidR="00C06FF7" w:rsidRPr="00C06FF7" w:rsidRDefault="00C06FF7" w:rsidP="00C06FF7">
      <w:pPr>
        <w:pStyle w:val="Heading1"/>
        <w:spacing w:after="240" w:afterAutospacing="0"/>
        <w:rPr>
          <w:rFonts w:ascii="Arial" w:hAnsi="Arial" w:cs="Segoe UI"/>
          <w:sz w:val="42"/>
          <w:szCs w:val="42"/>
        </w:rPr>
      </w:pPr>
      <w:r w:rsidRPr="00C06FF7">
        <w:rPr>
          <w:rFonts w:ascii="Arial" w:hAnsi="Arial" w:cs="Segoe UI"/>
          <w:sz w:val="42"/>
          <w:szCs w:val="42"/>
        </w:rPr>
        <w:t>Tableau Superstore Sales</w:t>
      </w:r>
    </w:p>
    <w:p w14:paraId="7644519B" w14:textId="77777777" w:rsidR="00C06FF7" w:rsidRPr="00C06FF7" w:rsidRDefault="00C06FF7" w:rsidP="00C06FF7">
      <w:pPr>
        <w:pStyle w:val="Heading2"/>
        <w:spacing w:before="360" w:beforeAutospacing="0" w:after="240" w:afterAutospacing="0"/>
        <w:rPr>
          <w:rFonts w:ascii="Arial" w:hAnsi="Arial" w:cs="Segoe UI"/>
          <w:sz w:val="32"/>
          <w:szCs w:val="32"/>
        </w:rPr>
      </w:pPr>
      <w:r w:rsidRPr="00C06FF7">
        <w:rPr>
          <w:rFonts w:ascii="Arial" w:hAnsi="Arial" w:cs="Segoe UI"/>
          <w:sz w:val="32"/>
          <w:szCs w:val="32"/>
        </w:rPr>
        <w:t>Analysis</w:t>
      </w:r>
    </w:p>
    <w:p w14:paraId="35FB9C7F" w14:textId="77777777" w:rsidR="00C06FF7" w:rsidRPr="00C06FF7" w:rsidRDefault="00C06FF7" w:rsidP="00C06FF7">
      <w:pPr>
        <w:pStyle w:val="Heading3"/>
        <w:spacing w:before="360" w:beforeAutospacing="0" w:after="240" w:afterAutospacing="0"/>
        <w:rPr>
          <w:rFonts w:ascii="Arial" w:hAnsi="Arial" w:cs="Segoe UI"/>
          <w:sz w:val="26"/>
          <w:szCs w:val="26"/>
        </w:rPr>
      </w:pPr>
      <w:r w:rsidRPr="00C06FF7">
        <w:rPr>
          <w:rFonts w:ascii="Arial" w:hAnsi="Arial" w:cs="Segoe UI"/>
          <w:sz w:val="26"/>
          <w:szCs w:val="26"/>
        </w:rPr>
        <w:t>Sales and Profits</w:t>
      </w:r>
    </w:p>
    <w:p w14:paraId="10AF9147" w14:textId="77777777" w:rsidR="00C06FF7" w:rsidRPr="00C06FF7" w:rsidRDefault="00C06FF7" w:rsidP="00C06FF7">
      <w:pPr>
        <w:pStyle w:val="NormalWeb"/>
        <w:spacing w:before="0" w:beforeAutospacing="0" w:after="240" w:afterAutospacing="0"/>
        <w:rPr>
          <w:rFonts w:ascii="Arial" w:hAnsi="Arial" w:cs="Segoe UI"/>
          <w:sz w:val="21"/>
          <w:szCs w:val="21"/>
        </w:rPr>
      </w:pPr>
      <w:r w:rsidRPr="00C06FF7">
        <w:rPr>
          <w:rFonts w:ascii="Arial" w:hAnsi="Arial" w:cs="Segoe UI"/>
          <w:sz w:val="21"/>
          <w:szCs w:val="21"/>
        </w:rPr>
        <w:t>Sales volume trends to increase on a quarterly fashion, with Q4 being the strongest on each year. On a different perspective, profits behave independently from sales volume patterns.</w:t>
      </w:r>
    </w:p>
    <w:p w14:paraId="3A64FBCD" w14:textId="77777777" w:rsidR="00C06FF7" w:rsidRPr="00C06FF7" w:rsidRDefault="00C06FF7" w:rsidP="00C06FF7">
      <w:pPr>
        <w:pStyle w:val="NormalWeb"/>
        <w:spacing w:before="0" w:beforeAutospacing="0" w:after="240" w:afterAutospacing="0"/>
        <w:rPr>
          <w:rFonts w:ascii="Arial" w:hAnsi="Arial" w:cs="Segoe UI"/>
          <w:sz w:val="21"/>
          <w:szCs w:val="21"/>
        </w:rPr>
      </w:pPr>
      <w:r w:rsidRPr="00C06FF7">
        <w:rPr>
          <w:rFonts w:ascii="Arial" w:hAnsi="Arial" w:cs="Segoe UI"/>
          <w:sz w:val="21"/>
          <w:szCs w:val="21"/>
        </w:rPr>
        <w:t>Of the twelve months that are available to compare year over year, nine saw increase in profits. The three months that saw losses were largely flat in comparison with growth volume, with the exception of 2017 Q4, which saw a drop of 28.03%.</w:t>
      </w:r>
    </w:p>
    <w:p w14:paraId="4F1CCB5A" w14:textId="77777777" w:rsidR="00C06FF7" w:rsidRPr="00C06FF7" w:rsidRDefault="00C06FF7" w:rsidP="00C06FF7">
      <w:pPr>
        <w:pStyle w:val="Heading3"/>
        <w:spacing w:before="360" w:beforeAutospacing="0" w:after="240" w:afterAutospacing="0"/>
        <w:rPr>
          <w:rFonts w:ascii="Arial" w:hAnsi="Arial" w:cs="Segoe UI"/>
          <w:sz w:val="26"/>
          <w:szCs w:val="26"/>
        </w:rPr>
      </w:pPr>
      <w:r w:rsidRPr="00C06FF7">
        <w:rPr>
          <w:rFonts w:ascii="Arial" w:hAnsi="Arial" w:cs="Segoe UI"/>
          <w:sz w:val="26"/>
          <w:szCs w:val="26"/>
        </w:rPr>
        <w:t>Geographical Sales Volume and Profitability</w:t>
      </w:r>
    </w:p>
    <w:p w14:paraId="1EB21A68" w14:textId="77777777" w:rsidR="00C06FF7" w:rsidRPr="00C06FF7" w:rsidRDefault="00C06FF7" w:rsidP="00C06FF7">
      <w:pPr>
        <w:pStyle w:val="NormalWeb"/>
        <w:spacing w:before="0" w:beforeAutospacing="0" w:after="240" w:afterAutospacing="0"/>
        <w:rPr>
          <w:rFonts w:ascii="Arial" w:hAnsi="Arial" w:cs="Segoe UI"/>
          <w:sz w:val="21"/>
          <w:szCs w:val="21"/>
        </w:rPr>
      </w:pPr>
      <w:r w:rsidRPr="00C06FF7">
        <w:rPr>
          <w:rFonts w:ascii="Arial" w:hAnsi="Arial" w:cs="Segoe UI"/>
          <w:sz w:val="21"/>
          <w:szCs w:val="21"/>
        </w:rPr>
        <w:t>Sales are strongest in the states of California, New York, and Washington. These same states have shown a trend of strongest profitability through the past four years, as well.</w:t>
      </w:r>
    </w:p>
    <w:p w14:paraId="31ABD209" w14:textId="77777777" w:rsidR="00C06FF7" w:rsidRPr="00C06FF7" w:rsidRDefault="00C06FF7" w:rsidP="00C06FF7">
      <w:pPr>
        <w:pStyle w:val="NormalWeb"/>
        <w:spacing w:before="0" w:beforeAutospacing="0" w:after="240" w:afterAutospacing="0"/>
        <w:rPr>
          <w:rFonts w:ascii="Arial" w:hAnsi="Arial" w:cs="Segoe UI"/>
          <w:sz w:val="21"/>
          <w:szCs w:val="21"/>
        </w:rPr>
      </w:pPr>
      <w:r w:rsidRPr="00C06FF7">
        <w:rPr>
          <w:rFonts w:ascii="Arial" w:hAnsi="Arial" w:cs="Segoe UI"/>
          <w:sz w:val="21"/>
          <w:szCs w:val="21"/>
        </w:rPr>
        <w:t>The least profitable states are North Carolina, Texas, Illinois, Colorado, Tennessee, and Pennsylvania. These losses are mainly driven by sales in the Office Supplies and Furniture categories. These same categories have drawn significant losses since 2014. However, profits seem significant in Technology.</w:t>
      </w:r>
    </w:p>
    <w:p w14:paraId="27A57D56" w14:textId="77777777" w:rsidR="00C06FF7" w:rsidRPr="00C06FF7" w:rsidRDefault="00C06FF7" w:rsidP="00C06FF7">
      <w:pPr>
        <w:pStyle w:val="NormalWeb"/>
        <w:spacing w:before="0" w:beforeAutospacing="0" w:after="240" w:afterAutospacing="0"/>
        <w:rPr>
          <w:rFonts w:ascii="Arial" w:hAnsi="Arial" w:cs="Segoe UI"/>
          <w:sz w:val="21"/>
          <w:szCs w:val="21"/>
        </w:rPr>
      </w:pPr>
      <w:r w:rsidRPr="00C06FF7">
        <w:rPr>
          <w:rFonts w:ascii="Arial" w:hAnsi="Arial" w:cs="Segoe UI"/>
          <w:sz w:val="21"/>
          <w:szCs w:val="21"/>
        </w:rPr>
        <w:t>Although Furniture category is at a loss in most states, they were notably profitable in New York and the West Region (California and Washington). The most profitable group of items in this category were chairs. The least profitable sub-category (except in the West) were tables.</w:t>
      </w:r>
    </w:p>
    <w:p w14:paraId="12C60C75" w14:textId="77777777" w:rsidR="00C06FF7" w:rsidRPr="00C06FF7" w:rsidRDefault="00C06FF7" w:rsidP="00C06FF7">
      <w:pPr>
        <w:pStyle w:val="NormalWeb"/>
        <w:spacing w:before="0" w:beforeAutospacing="0" w:after="240" w:afterAutospacing="0"/>
        <w:rPr>
          <w:rFonts w:ascii="Arial" w:hAnsi="Arial" w:cs="Segoe UI"/>
          <w:sz w:val="21"/>
          <w:szCs w:val="21"/>
        </w:rPr>
      </w:pPr>
      <w:r w:rsidRPr="00C06FF7">
        <w:rPr>
          <w:rFonts w:ascii="Arial" w:hAnsi="Arial" w:cs="Segoe UI"/>
          <w:sz w:val="21"/>
          <w:szCs w:val="21"/>
        </w:rPr>
        <w:t>Office Supplies are the least profitable in Texas and Illinois, although most profitable in California, New York, and Washington. These items were profitable in the Central Region until the last quarter of 2017 driven by the sale of Binders and Appliances.</w:t>
      </w:r>
    </w:p>
    <w:p w14:paraId="52D8B188" w14:textId="77777777" w:rsidR="00C06FF7" w:rsidRPr="00C06FF7" w:rsidRDefault="00C06FF7" w:rsidP="00C06FF7">
      <w:pPr>
        <w:pStyle w:val="NormalWeb"/>
        <w:spacing w:before="0" w:beforeAutospacing="0" w:after="240" w:afterAutospacing="0"/>
        <w:rPr>
          <w:rFonts w:ascii="Arial" w:hAnsi="Arial" w:cs="Segoe UI"/>
          <w:sz w:val="21"/>
          <w:szCs w:val="21"/>
        </w:rPr>
      </w:pPr>
      <w:r w:rsidRPr="00C06FF7">
        <w:rPr>
          <w:rFonts w:ascii="Arial" w:hAnsi="Arial" w:cs="Segoe UI"/>
          <w:sz w:val="21"/>
          <w:szCs w:val="21"/>
        </w:rPr>
        <w:t xml:space="preserve">Technology profits are generally successful through the country; this is not the case in Colorado and North Carolina. Losses in these two states were </w:t>
      </w:r>
      <w:proofErr w:type="spellStart"/>
      <w:proofErr w:type="gramStart"/>
      <w:r w:rsidRPr="00C06FF7">
        <w:rPr>
          <w:rFonts w:ascii="Arial" w:hAnsi="Arial" w:cs="Segoe UI"/>
          <w:sz w:val="21"/>
          <w:szCs w:val="21"/>
        </w:rPr>
        <w:t>lead</w:t>
      </w:r>
      <w:proofErr w:type="spellEnd"/>
      <w:proofErr w:type="gramEnd"/>
      <w:r w:rsidRPr="00C06FF7">
        <w:rPr>
          <w:rFonts w:ascii="Arial" w:hAnsi="Arial" w:cs="Segoe UI"/>
          <w:sz w:val="21"/>
          <w:szCs w:val="21"/>
        </w:rPr>
        <w:t xml:space="preserve"> by Machines. However, the other sub-categories were profitable in both states.</w:t>
      </w:r>
    </w:p>
    <w:p w14:paraId="5E1F7DC1" w14:textId="77777777" w:rsidR="00C06FF7" w:rsidRPr="00C06FF7" w:rsidRDefault="00C06FF7" w:rsidP="00C06FF7">
      <w:pPr>
        <w:pStyle w:val="Heading3"/>
        <w:spacing w:before="360" w:beforeAutospacing="0" w:after="240" w:afterAutospacing="0"/>
        <w:rPr>
          <w:rFonts w:ascii="Arial" w:hAnsi="Arial" w:cs="Segoe UI"/>
          <w:sz w:val="26"/>
          <w:szCs w:val="26"/>
        </w:rPr>
      </w:pPr>
      <w:r w:rsidRPr="00C06FF7">
        <w:rPr>
          <w:rFonts w:ascii="Arial" w:hAnsi="Arial" w:cs="Segoe UI"/>
          <w:sz w:val="26"/>
          <w:szCs w:val="26"/>
        </w:rPr>
        <w:t>Least Profitable Products</w:t>
      </w:r>
    </w:p>
    <w:p w14:paraId="79283CA9" w14:textId="77777777" w:rsidR="00C06FF7" w:rsidRPr="00C06FF7" w:rsidRDefault="00C06FF7" w:rsidP="00C06FF7">
      <w:pPr>
        <w:pStyle w:val="NormalWeb"/>
        <w:spacing w:before="0" w:beforeAutospacing="0" w:after="240" w:afterAutospacing="0"/>
        <w:rPr>
          <w:rFonts w:ascii="Arial" w:hAnsi="Arial" w:cs="Segoe UI"/>
          <w:sz w:val="21"/>
          <w:szCs w:val="21"/>
        </w:rPr>
      </w:pPr>
      <w:r w:rsidRPr="00C06FF7">
        <w:rPr>
          <w:rFonts w:ascii="Arial" w:hAnsi="Arial" w:cs="Segoe UI"/>
          <w:sz w:val="21"/>
          <w:szCs w:val="21"/>
        </w:rPr>
        <w:t>The least profitable products seem to be Bookcases, Machines, Supplies, and Tables. These sub-categories of products mostly registered losses during 2017, with sharp increase in losses during the fourth quarter.</w:t>
      </w:r>
    </w:p>
    <w:p w14:paraId="17AC20A6" w14:textId="77777777" w:rsidR="00C06FF7" w:rsidRPr="00C06FF7" w:rsidRDefault="00C06FF7" w:rsidP="00C06FF7">
      <w:pPr>
        <w:pStyle w:val="NormalWeb"/>
        <w:spacing w:before="0" w:beforeAutospacing="0" w:after="240" w:afterAutospacing="0"/>
        <w:rPr>
          <w:rFonts w:ascii="Arial" w:hAnsi="Arial" w:cs="Segoe UI"/>
          <w:sz w:val="21"/>
          <w:szCs w:val="21"/>
        </w:rPr>
      </w:pPr>
      <w:r w:rsidRPr="00C06FF7">
        <w:rPr>
          <w:rFonts w:ascii="Arial" w:hAnsi="Arial" w:cs="Segoe UI"/>
          <w:sz w:val="21"/>
          <w:szCs w:val="21"/>
        </w:rPr>
        <w:t xml:space="preserve">The ten least profitable products during 2017 were </w:t>
      </w:r>
      <w:proofErr w:type="spellStart"/>
      <w:r w:rsidRPr="00C06FF7">
        <w:rPr>
          <w:rFonts w:ascii="Arial" w:hAnsi="Arial" w:cs="Segoe UI"/>
          <w:sz w:val="21"/>
          <w:szCs w:val="21"/>
        </w:rPr>
        <w:t>Cubify</w:t>
      </w:r>
      <w:proofErr w:type="spellEnd"/>
      <w:r w:rsidRPr="00C06FF7">
        <w:rPr>
          <w:rFonts w:ascii="Arial" w:hAnsi="Arial" w:cs="Segoe UI"/>
          <w:sz w:val="21"/>
          <w:szCs w:val="21"/>
        </w:rPr>
        <w:t xml:space="preserve"> </w:t>
      </w:r>
      <w:proofErr w:type="spellStart"/>
      <w:r w:rsidRPr="00C06FF7">
        <w:rPr>
          <w:rFonts w:ascii="Arial" w:hAnsi="Arial" w:cs="Segoe UI"/>
          <w:sz w:val="21"/>
          <w:szCs w:val="21"/>
        </w:rPr>
        <w:t>CubeX</w:t>
      </w:r>
      <w:proofErr w:type="spellEnd"/>
      <w:r w:rsidRPr="00C06FF7">
        <w:rPr>
          <w:rFonts w:ascii="Arial" w:hAnsi="Arial" w:cs="Segoe UI"/>
          <w:sz w:val="21"/>
          <w:szCs w:val="21"/>
        </w:rPr>
        <w:t xml:space="preserve"> 3D Printer Triple Head Print, </w:t>
      </w:r>
      <w:proofErr w:type="spellStart"/>
      <w:r w:rsidRPr="00C06FF7">
        <w:rPr>
          <w:rFonts w:ascii="Arial" w:hAnsi="Arial" w:cs="Segoe UI"/>
          <w:sz w:val="21"/>
          <w:szCs w:val="21"/>
        </w:rPr>
        <w:t>Ibico</w:t>
      </w:r>
      <w:proofErr w:type="spellEnd"/>
      <w:r w:rsidRPr="00C06FF7">
        <w:rPr>
          <w:rFonts w:ascii="Arial" w:hAnsi="Arial" w:cs="Segoe UI"/>
          <w:sz w:val="21"/>
          <w:szCs w:val="21"/>
        </w:rPr>
        <w:t xml:space="preserve"> EPK-21 Electric Binding System, Lexmark MX611dhe Monochrome Laser Printer, Fellowes PB500 Electric Punch Plastic Comb Binding Machine with Manual Bind, Martin Yale Chadless Opener Electric Letter Opener, Bush Advantage Collection Racetrack Conference Table, GBC </w:t>
      </w:r>
      <w:proofErr w:type="spellStart"/>
      <w:r w:rsidRPr="00C06FF7">
        <w:rPr>
          <w:rFonts w:ascii="Arial" w:hAnsi="Arial" w:cs="Segoe UI"/>
          <w:sz w:val="21"/>
          <w:szCs w:val="21"/>
        </w:rPr>
        <w:t>Ibimaster</w:t>
      </w:r>
      <w:proofErr w:type="spellEnd"/>
      <w:r w:rsidRPr="00C06FF7">
        <w:rPr>
          <w:rFonts w:ascii="Arial" w:hAnsi="Arial" w:cs="Segoe UI"/>
          <w:sz w:val="21"/>
          <w:szCs w:val="21"/>
        </w:rPr>
        <w:t xml:space="preserve"> 500 Manual </w:t>
      </w:r>
      <w:proofErr w:type="spellStart"/>
      <w:r w:rsidRPr="00C06FF7">
        <w:rPr>
          <w:rFonts w:ascii="Arial" w:hAnsi="Arial" w:cs="Segoe UI"/>
          <w:sz w:val="21"/>
          <w:szCs w:val="21"/>
        </w:rPr>
        <w:t>ProClick</w:t>
      </w:r>
      <w:proofErr w:type="spellEnd"/>
      <w:r w:rsidRPr="00C06FF7">
        <w:rPr>
          <w:rFonts w:ascii="Arial" w:hAnsi="Arial" w:cs="Segoe UI"/>
          <w:sz w:val="21"/>
          <w:szCs w:val="21"/>
        </w:rPr>
        <w:t xml:space="preserve"> Binding System, </w:t>
      </w:r>
      <w:proofErr w:type="spellStart"/>
      <w:r w:rsidRPr="00C06FF7">
        <w:rPr>
          <w:rFonts w:ascii="Arial" w:hAnsi="Arial" w:cs="Segoe UI"/>
          <w:sz w:val="21"/>
          <w:szCs w:val="21"/>
        </w:rPr>
        <w:t>Chromcraft</w:t>
      </w:r>
      <w:proofErr w:type="spellEnd"/>
      <w:r w:rsidRPr="00C06FF7">
        <w:rPr>
          <w:rFonts w:ascii="Arial" w:hAnsi="Arial" w:cs="Segoe UI"/>
          <w:sz w:val="21"/>
          <w:szCs w:val="21"/>
        </w:rPr>
        <w:t xml:space="preserve"> Bull-Nose Wood Oval Conference Tables &amp; Bases, </w:t>
      </w:r>
      <w:proofErr w:type="spellStart"/>
      <w:r w:rsidRPr="00C06FF7">
        <w:rPr>
          <w:rFonts w:ascii="Arial" w:hAnsi="Arial" w:cs="Segoe UI"/>
          <w:sz w:val="21"/>
          <w:szCs w:val="21"/>
        </w:rPr>
        <w:t>BoxOffice</w:t>
      </w:r>
      <w:proofErr w:type="spellEnd"/>
      <w:r w:rsidRPr="00C06FF7">
        <w:rPr>
          <w:rFonts w:ascii="Arial" w:hAnsi="Arial" w:cs="Segoe UI"/>
          <w:sz w:val="21"/>
          <w:szCs w:val="21"/>
        </w:rPr>
        <w:t xml:space="preserve"> By Design Rectangular and Half-Moon Meeting Room Tables, and Epson TM-T88V Direct Thermal Printer - Monochrome - Desktop.</w:t>
      </w:r>
    </w:p>
    <w:p w14:paraId="416D4085" w14:textId="1D199623" w:rsidR="00C06FF7" w:rsidRPr="00C06FF7" w:rsidRDefault="00C06FF7" w:rsidP="00C06FF7">
      <w:pPr>
        <w:pStyle w:val="NormalWeb"/>
        <w:spacing w:before="0" w:beforeAutospacing="0" w:after="240" w:afterAutospacing="0"/>
        <w:rPr>
          <w:rFonts w:ascii="Arial" w:hAnsi="Arial" w:cs="Segoe UI"/>
          <w:sz w:val="21"/>
          <w:szCs w:val="21"/>
        </w:rPr>
      </w:pPr>
      <w:r w:rsidRPr="00C06FF7">
        <w:rPr>
          <w:rFonts w:ascii="Arial" w:hAnsi="Arial" w:cs="Segoe UI"/>
          <w:sz w:val="21"/>
          <w:szCs w:val="21"/>
        </w:rPr>
        <w:lastRenderedPageBreak/>
        <w:t>The loss of these products amounted to $17,618. This number is particularly high even when four of these products were among the top 10 sold products. Another characteristic of these items is that the more they're sold, the greater the loss per each product. With the information available, one can infer that these should be discontinued from inventory, except for California and New York.</w:t>
      </w:r>
    </w:p>
    <w:p w14:paraId="1750FB58" w14:textId="45ABF7B2" w:rsidR="00C06FF7" w:rsidRPr="00C06FF7" w:rsidRDefault="00C06FF7" w:rsidP="00C06FF7">
      <w:pPr>
        <w:pStyle w:val="Heading3"/>
        <w:spacing w:before="360" w:beforeAutospacing="0" w:after="240" w:afterAutospacing="0"/>
        <w:rPr>
          <w:rFonts w:ascii="Arial" w:hAnsi="Arial" w:cs="Segoe UI"/>
          <w:sz w:val="26"/>
          <w:szCs w:val="26"/>
        </w:rPr>
      </w:pPr>
      <w:r w:rsidRPr="00C06FF7">
        <w:rPr>
          <w:rFonts w:ascii="Arial" w:hAnsi="Arial" w:cs="Segoe UI"/>
          <w:sz w:val="26"/>
          <w:szCs w:val="26"/>
        </w:rPr>
        <w:t>Items Returned</w:t>
      </w:r>
    </w:p>
    <w:p w14:paraId="18C72E52" w14:textId="11BB7A09" w:rsidR="00C06FF7" w:rsidRPr="00C06FF7" w:rsidRDefault="00C06FF7" w:rsidP="00C06FF7">
      <w:pPr>
        <w:pStyle w:val="NormalWeb"/>
        <w:spacing w:before="0" w:beforeAutospacing="0" w:after="240" w:afterAutospacing="0"/>
        <w:rPr>
          <w:rFonts w:ascii="Arial" w:hAnsi="Arial" w:cs="Segoe UI"/>
          <w:sz w:val="21"/>
          <w:szCs w:val="21"/>
        </w:rPr>
      </w:pPr>
      <w:r w:rsidRPr="00C06FF7">
        <w:rPr>
          <w:rFonts w:ascii="Arial" w:hAnsi="Arial" w:cs="Segoe UI"/>
          <w:sz w:val="21"/>
          <w:szCs w:val="21"/>
        </w:rPr>
        <w:t>The state with the highest level of returns (by number) is California. However, this is the most profitable among the states where Tableau Superstore does business.</w:t>
      </w:r>
    </w:p>
    <w:p w14:paraId="2C48C0FA" w14:textId="2840991D" w:rsidR="00C06FF7" w:rsidRPr="00C06FF7" w:rsidRDefault="00C06FF7" w:rsidP="00C06FF7">
      <w:pPr>
        <w:pStyle w:val="NormalWeb"/>
        <w:spacing w:before="0" w:beforeAutospacing="0" w:after="240" w:afterAutospacing="0"/>
        <w:rPr>
          <w:rFonts w:ascii="Arial" w:hAnsi="Arial" w:cs="Segoe UI"/>
          <w:sz w:val="21"/>
          <w:szCs w:val="21"/>
        </w:rPr>
      </w:pPr>
      <w:r w:rsidRPr="00C06FF7">
        <w:rPr>
          <w:rFonts w:ascii="Arial" w:hAnsi="Arial" w:cs="Segoe UI"/>
          <w:sz w:val="21"/>
          <w:szCs w:val="21"/>
        </w:rPr>
        <w:t>The states with the highest level of return rates are Oregon, Louisiana, California, Massachusetts, and Colorado. The relationship between returns and profitability is ambiguous as these items are also among the most profitable across these states.</w:t>
      </w:r>
    </w:p>
    <w:p w14:paraId="7E2011B4" w14:textId="6971232C" w:rsidR="00C06FF7" w:rsidRPr="00C06FF7" w:rsidRDefault="00C06FF7" w:rsidP="00C06FF7">
      <w:pPr>
        <w:pStyle w:val="Heading3"/>
        <w:spacing w:before="360" w:beforeAutospacing="0" w:after="240" w:afterAutospacing="0"/>
        <w:rPr>
          <w:rFonts w:ascii="Arial" w:hAnsi="Arial" w:cs="Segoe UI"/>
          <w:sz w:val="26"/>
          <w:szCs w:val="26"/>
        </w:rPr>
      </w:pPr>
      <w:r w:rsidRPr="00C06FF7">
        <w:rPr>
          <w:rFonts w:ascii="Arial" w:hAnsi="Arial" w:cs="Segoe UI"/>
          <w:sz w:val="26"/>
          <w:szCs w:val="26"/>
        </w:rPr>
        <w:t>Repository and Public Tableau URL's</w:t>
      </w:r>
    </w:p>
    <w:p w14:paraId="2F543342" w14:textId="5AEB6BC1" w:rsidR="00C06FF7" w:rsidRPr="00C06FF7" w:rsidRDefault="00C06FF7" w:rsidP="00C06FF7">
      <w:pPr>
        <w:pStyle w:val="NormalWeb"/>
        <w:spacing w:before="0" w:beforeAutospacing="0" w:after="0" w:afterAutospacing="0"/>
        <w:rPr>
          <w:rFonts w:ascii="Arial" w:hAnsi="Arial" w:cs="Segoe UI"/>
          <w:sz w:val="21"/>
          <w:szCs w:val="21"/>
        </w:rPr>
      </w:pPr>
      <w:r w:rsidRPr="00C06FF7">
        <w:rPr>
          <w:rFonts w:ascii="Arial" w:hAnsi="Arial" w:cs="Segoe UI"/>
          <w:sz w:val="21"/>
          <w:szCs w:val="21"/>
        </w:rPr>
        <w:t>GitHub Title: Tableau </w:t>
      </w:r>
      <w:hyperlink r:id="rId5" w:history="1">
        <w:r w:rsidRPr="00C06FF7">
          <w:rPr>
            <w:rStyle w:val="Hyperlink"/>
            <w:rFonts w:ascii="Arial" w:hAnsi="Arial" w:cs="Segoe UI"/>
            <w:color w:val="auto"/>
            <w:sz w:val="21"/>
            <w:szCs w:val="21"/>
          </w:rPr>
          <w:t>https://github.com/ivanzapatarivera/Tableau</w:t>
        </w:r>
      </w:hyperlink>
      <w:r>
        <w:rPr>
          <w:rFonts w:ascii="Arial" w:hAnsi="Arial" w:cs="Segoe UI"/>
          <w:sz w:val="21"/>
          <w:szCs w:val="21"/>
        </w:rPr>
        <w:t xml:space="preserve"> </w:t>
      </w:r>
    </w:p>
    <w:p w14:paraId="123877CC" w14:textId="1AD54782" w:rsidR="00C06FF7" w:rsidRPr="00C06FF7" w:rsidRDefault="00C06FF7" w:rsidP="00721A3F">
      <w:pPr>
        <w:pStyle w:val="NormalWeb"/>
        <w:spacing w:before="0" w:beforeAutospacing="0" w:after="240" w:afterAutospacing="0"/>
        <w:rPr>
          <w:rFonts w:ascii="Arial" w:hAnsi="Arial" w:cs="Segoe UI"/>
          <w:b/>
          <w:bCs/>
          <w:sz w:val="26"/>
          <w:szCs w:val="26"/>
        </w:rPr>
      </w:pPr>
      <w:r w:rsidRPr="00C06FF7">
        <w:rPr>
          <w:rFonts w:ascii="Arial" w:hAnsi="Arial" w:cs="Segoe UI"/>
          <w:sz w:val="21"/>
          <w:szCs w:val="21"/>
        </w:rPr>
        <w:t>Public Tableau URL </w:t>
      </w:r>
      <w:hyperlink r:id="rId6" w:history="1">
        <w:r w:rsidRPr="00C06FF7">
          <w:rPr>
            <w:rStyle w:val="Hyperlink"/>
            <w:rFonts w:ascii="Arial" w:hAnsi="Arial" w:cs="Segoe UI"/>
            <w:color w:val="auto"/>
            <w:sz w:val="21"/>
            <w:szCs w:val="21"/>
          </w:rPr>
          <w:t>https://tabsoft.co/3xnNWgS</w:t>
        </w:r>
      </w:hyperlink>
    </w:p>
    <w:p w14:paraId="2F48F9BE" w14:textId="1F67BD72" w:rsidR="00C06FF7" w:rsidRPr="00C06FF7" w:rsidRDefault="00721A3F" w:rsidP="00C06FF7">
      <w:pPr>
        <w:pStyle w:val="Heading3"/>
        <w:spacing w:before="360" w:beforeAutospacing="0" w:after="240" w:afterAutospacing="0"/>
        <w:rPr>
          <w:rFonts w:ascii="Arial" w:hAnsi="Arial" w:cs="Segoe UI"/>
          <w:sz w:val="26"/>
          <w:szCs w:val="26"/>
        </w:rPr>
      </w:pPr>
      <w:r w:rsidRPr="00C06FF7">
        <w:rPr>
          <w:rFonts w:ascii="Arial" w:hAnsi="Arial" w:cs="Segoe UI"/>
          <w:noProof/>
          <w:sz w:val="21"/>
          <w:szCs w:val="21"/>
        </w:rPr>
        <w:drawing>
          <wp:anchor distT="0" distB="0" distL="114300" distR="114300" simplePos="0" relativeHeight="251658240" behindDoc="0" locked="0" layoutInCell="1" allowOverlap="1" wp14:anchorId="4065B88E" wp14:editId="1A4BE8A2">
            <wp:simplePos x="0" y="0"/>
            <wp:positionH relativeFrom="margin">
              <wp:posOffset>19050</wp:posOffset>
            </wp:positionH>
            <wp:positionV relativeFrom="page">
              <wp:posOffset>4381500</wp:posOffset>
            </wp:positionV>
            <wp:extent cx="3574989" cy="5364480"/>
            <wp:effectExtent l="0" t="0" r="6985" b="7620"/>
            <wp:wrapNone/>
            <wp:docPr id="2" name="Picture 2" descr="Getting_Started">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tting_Started">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74989" cy="5364480"/>
                    </a:xfrm>
                    <a:prstGeom prst="rect">
                      <a:avLst/>
                    </a:prstGeom>
                    <a:noFill/>
                    <a:ln>
                      <a:noFill/>
                    </a:ln>
                  </pic:spPr>
                </pic:pic>
              </a:graphicData>
            </a:graphic>
            <wp14:sizeRelH relativeFrom="page">
              <wp14:pctWidth>0</wp14:pctWidth>
            </wp14:sizeRelH>
            <wp14:sizeRelV relativeFrom="page">
              <wp14:pctHeight>0</wp14:pctHeight>
            </wp14:sizeRelV>
          </wp:anchor>
        </w:drawing>
      </w:r>
      <w:r w:rsidR="00C06FF7" w:rsidRPr="00C06FF7">
        <w:rPr>
          <w:rFonts w:ascii="Arial" w:hAnsi="Arial" w:cs="Segoe UI"/>
          <w:sz w:val="26"/>
          <w:szCs w:val="26"/>
        </w:rPr>
        <w:t>Screenshot</w:t>
      </w:r>
    </w:p>
    <w:p w14:paraId="0BB2C5A5" w14:textId="2A8A86F2" w:rsidR="00A70494" w:rsidRPr="00C06FF7" w:rsidRDefault="00A70494" w:rsidP="00C06FF7">
      <w:pPr>
        <w:pStyle w:val="NormalWeb"/>
        <w:spacing w:before="0" w:beforeAutospacing="0"/>
        <w:jc w:val="center"/>
        <w:rPr>
          <w:rFonts w:ascii="Arial" w:hAnsi="Arial" w:cs="Segoe UI"/>
          <w:sz w:val="21"/>
          <w:szCs w:val="21"/>
        </w:rPr>
      </w:pPr>
    </w:p>
    <w:sectPr w:rsidR="00A70494" w:rsidRPr="00C06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5504D"/>
    <w:multiLevelType w:val="multilevel"/>
    <w:tmpl w:val="C91C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FF7"/>
    <w:rsid w:val="00721A3F"/>
    <w:rsid w:val="00A70494"/>
    <w:rsid w:val="00C06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E3A86"/>
  <w15:chartTrackingRefBased/>
  <w15:docId w15:val="{BDAC43D2-A590-40CF-8773-1958CD4D4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6F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06F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06F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FF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06FF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06FF7"/>
    <w:rPr>
      <w:rFonts w:ascii="Times New Roman" w:eastAsia="Times New Roman" w:hAnsi="Times New Roman" w:cs="Times New Roman"/>
      <w:b/>
      <w:bCs/>
      <w:sz w:val="27"/>
      <w:szCs w:val="27"/>
    </w:rPr>
  </w:style>
  <w:style w:type="paragraph" w:customStyle="1" w:styleId="code-line">
    <w:name w:val="code-line"/>
    <w:basedOn w:val="Normal"/>
    <w:rsid w:val="00C06F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06FF7"/>
    <w:rPr>
      <w:color w:val="0000FF"/>
      <w:u w:val="single"/>
    </w:rPr>
  </w:style>
  <w:style w:type="paragraph" w:styleId="NormalWeb">
    <w:name w:val="Normal (Web)"/>
    <w:basedOn w:val="Normal"/>
    <w:uiPriority w:val="99"/>
    <w:unhideWhenUsed/>
    <w:rsid w:val="00C06FF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r-3">
    <w:name w:val="mr-3"/>
    <w:basedOn w:val="Normal"/>
    <w:rsid w:val="00C06F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870592">
      <w:bodyDiv w:val="1"/>
      <w:marLeft w:val="0"/>
      <w:marRight w:val="0"/>
      <w:marTop w:val="0"/>
      <w:marBottom w:val="0"/>
      <w:divBdr>
        <w:top w:val="none" w:sz="0" w:space="0" w:color="auto"/>
        <w:left w:val="none" w:sz="0" w:space="0" w:color="auto"/>
        <w:bottom w:val="none" w:sz="0" w:space="0" w:color="auto"/>
        <w:right w:val="none" w:sz="0" w:space="0" w:color="auto"/>
      </w:divBdr>
      <w:divsChild>
        <w:div w:id="1855881038">
          <w:marLeft w:val="0"/>
          <w:marRight w:val="0"/>
          <w:marTop w:val="0"/>
          <w:marBottom w:val="0"/>
          <w:divBdr>
            <w:top w:val="none" w:sz="0" w:space="0" w:color="auto"/>
            <w:left w:val="none" w:sz="0" w:space="0" w:color="auto"/>
            <w:bottom w:val="none" w:sz="0" w:space="0" w:color="auto"/>
            <w:right w:val="none" w:sz="0" w:space="0" w:color="auto"/>
          </w:divBdr>
          <w:divsChild>
            <w:div w:id="1260603573">
              <w:marLeft w:val="0"/>
              <w:marRight w:val="0"/>
              <w:marTop w:val="0"/>
              <w:marBottom w:val="0"/>
              <w:divBdr>
                <w:top w:val="none" w:sz="0" w:space="0" w:color="auto"/>
                <w:left w:val="none" w:sz="0" w:space="0" w:color="auto"/>
                <w:bottom w:val="none" w:sz="0" w:space="0" w:color="auto"/>
                <w:right w:val="none" w:sz="0" w:space="0" w:color="auto"/>
              </w:divBdr>
              <w:divsChild>
                <w:div w:id="440760070">
                  <w:marLeft w:val="0"/>
                  <w:marRight w:val="0"/>
                  <w:marTop w:val="0"/>
                  <w:marBottom w:val="0"/>
                  <w:divBdr>
                    <w:top w:val="none" w:sz="0" w:space="0" w:color="auto"/>
                    <w:left w:val="none" w:sz="0" w:space="0" w:color="auto"/>
                    <w:bottom w:val="none" w:sz="0" w:space="0" w:color="auto"/>
                    <w:right w:val="none" w:sz="0" w:space="0" w:color="auto"/>
                  </w:divBdr>
                  <w:divsChild>
                    <w:div w:id="1552495143">
                      <w:marLeft w:val="0"/>
                      <w:marRight w:val="0"/>
                      <w:marTop w:val="0"/>
                      <w:marBottom w:val="0"/>
                      <w:divBdr>
                        <w:top w:val="none" w:sz="0" w:space="0" w:color="auto"/>
                        <w:left w:val="none" w:sz="0" w:space="0" w:color="auto"/>
                        <w:bottom w:val="none" w:sz="0" w:space="0" w:color="auto"/>
                        <w:right w:val="none" w:sz="0" w:space="0" w:color="auto"/>
                      </w:divBdr>
                      <w:divsChild>
                        <w:div w:id="807288228">
                          <w:marLeft w:val="0"/>
                          <w:marRight w:val="0"/>
                          <w:marTop w:val="0"/>
                          <w:marBottom w:val="0"/>
                          <w:divBdr>
                            <w:top w:val="none" w:sz="0" w:space="0" w:color="auto"/>
                            <w:left w:val="none" w:sz="0" w:space="0" w:color="auto"/>
                            <w:bottom w:val="none" w:sz="0" w:space="0" w:color="auto"/>
                            <w:right w:val="none" w:sz="0" w:space="0" w:color="auto"/>
                          </w:divBdr>
                          <w:divsChild>
                            <w:div w:id="2073379866">
                              <w:marLeft w:val="-240"/>
                              <w:marRight w:val="-240"/>
                              <w:marTop w:val="0"/>
                              <w:marBottom w:val="0"/>
                              <w:divBdr>
                                <w:top w:val="none" w:sz="0" w:space="0" w:color="auto"/>
                                <w:left w:val="none" w:sz="0" w:space="0" w:color="auto"/>
                                <w:bottom w:val="none" w:sz="0" w:space="0" w:color="auto"/>
                                <w:right w:val="none" w:sz="0" w:space="0" w:color="auto"/>
                              </w:divBdr>
                              <w:divsChild>
                                <w:div w:id="1365597567">
                                  <w:marLeft w:val="0"/>
                                  <w:marRight w:val="0"/>
                                  <w:marTop w:val="0"/>
                                  <w:marBottom w:val="0"/>
                                  <w:divBdr>
                                    <w:top w:val="none" w:sz="0" w:space="0" w:color="auto"/>
                                    <w:left w:val="none" w:sz="0" w:space="0" w:color="auto"/>
                                    <w:bottom w:val="none" w:sz="0" w:space="0" w:color="auto"/>
                                    <w:right w:val="none" w:sz="0" w:space="0" w:color="auto"/>
                                  </w:divBdr>
                                  <w:divsChild>
                                    <w:div w:id="1733432514">
                                      <w:marLeft w:val="0"/>
                                      <w:marRight w:val="0"/>
                                      <w:marTop w:val="0"/>
                                      <w:marBottom w:val="0"/>
                                      <w:divBdr>
                                        <w:top w:val="none" w:sz="0" w:space="0" w:color="auto"/>
                                        <w:left w:val="none" w:sz="0" w:space="0" w:color="auto"/>
                                        <w:bottom w:val="none" w:sz="0" w:space="0" w:color="auto"/>
                                        <w:right w:val="none" w:sz="0" w:space="0" w:color="auto"/>
                                      </w:divBdr>
                                      <w:divsChild>
                                        <w:div w:id="123492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63147">
                                  <w:marLeft w:val="0"/>
                                  <w:marRight w:val="0"/>
                                  <w:marTop w:val="0"/>
                                  <w:marBottom w:val="0"/>
                                  <w:divBdr>
                                    <w:top w:val="none" w:sz="0" w:space="0" w:color="auto"/>
                                    <w:left w:val="none" w:sz="0" w:space="0" w:color="auto"/>
                                    <w:bottom w:val="none" w:sz="0" w:space="0" w:color="auto"/>
                                    <w:right w:val="none" w:sz="0" w:space="0" w:color="auto"/>
                                  </w:divBdr>
                                  <w:divsChild>
                                    <w:div w:id="215626728">
                                      <w:marLeft w:val="0"/>
                                      <w:marRight w:val="0"/>
                                      <w:marTop w:val="0"/>
                                      <w:marBottom w:val="0"/>
                                      <w:divBdr>
                                        <w:top w:val="none" w:sz="0" w:space="0" w:color="auto"/>
                                        <w:left w:val="none" w:sz="0" w:space="0" w:color="auto"/>
                                        <w:bottom w:val="none" w:sz="0" w:space="0" w:color="auto"/>
                                        <w:right w:val="none" w:sz="0" w:space="0" w:color="auto"/>
                                      </w:divBdr>
                                      <w:divsChild>
                                        <w:div w:id="568273763">
                                          <w:marLeft w:val="0"/>
                                          <w:marRight w:val="0"/>
                                          <w:marTop w:val="0"/>
                                          <w:marBottom w:val="0"/>
                                          <w:divBdr>
                                            <w:top w:val="none" w:sz="0" w:space="0" w:color="auto"/>
                                            <w:left w:val="none" w:sz="0" w:space="0" w:color="auto"/>
                                            <w:bottom w:val="none" w:sz="0" w:space="0" w:color="auto"/>
                                            <w:right w:val="none" w:sz="0" w:space="0" w:color="auto"/>
                                          </w:divBdr>
                                          <w:divsChild>
                                            <w:div w:id="706219433">
                                              <w:marLeft w:val="0"/>
                                              <w:marRight w:val="0"/>
                                              <w:marTop w:val="0"/>
                                              <w:marBottom w:val="0"/>
                                              <w:divBdr>
                                                <w:top w:val="none" w:sz="0" w:space="0" w:color="auto"/>
                                                <w:left w:val="none" w:sz="0" w:space="0" w:color="auto"/>
                                                <w:bottom w:val="none" w:sz="0" w:space="0" w:color="auto"/>
                                                <w:right w:val="none" w:sz="0" w:space="0" w:color="auto"/>
                                              </w:divBdr>
                                              <w:divsChild>
                                                <w:div w:id="1809784669">
                                                  <w:marLeft w:val="0"/>
                                                  <w:marRight w:val="0"/>
                                                  <w:marTop w:val="0"/>
                                                  <w:marBottom w:val="0"/>
                                                  <w:divBdr>
                                                    <w:top w:val="none" w:sz="0" w:space="0" w:color="auto"/>
                                                    <w:left w:val="none" w:sz="0" w:space="0" w:color="auto"/>
                                                    <w:bottom w:val="none" w:sz="0" w:space="0" w:color="auto"/>
                                                    <w:right w:val="none" w:sz="0" w:space="0" w:color="auto"/>
                                                  </w:divBdr>
                                                </w:div>
                                                <w:div w:id="141551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66529">
                                          <w:marLeft w:val="0"/>
                                          <w:marRight w:val="0"/>
                                          <w:marTop w:val="0"/>
                                          <w:marBottom w:val="0"/>
                                          <w:divBdr>
                                            <w:top w:val="none" w:sz="0" w:space="0" w:color="auto"/>
                                            <w:left w:val="none" w:sz="0" w:space="0" w:color="auto"/>
                                            <w:bottom w:val="none" w:sz="0" w:space="0" w:color="auto"/>
                                            <w:right w:val="none" w:sz="0" w:space="0" w:color="auto"/>
                                          </w:divBdr>
                                          <w:divsChild>
                                            <w:div w:id="1733455995">
                                              <w:marLeft w:val="0"/>
                                              <w:marRight w:val="0"/>
                                              <w:marTop w:val="0"/>
                                              <w:marBottom w:val="0"/>
                                              <w:divBdr>
                                                <w:top w:val="none" w:sz="0" w:space="0" w:color="auto"/>
                                                <w:left w:val="none" w:sz="0" w:space="0" w:color="auto"/>
                                                <w:bottom w:val="none" w:sz="0" w:space="0" w:color="auto"/>
                                                <w:right w:val="none" w:sz="0" w:space="0" w:color="auto"/>
                                              </w:divBdr>
                                              <w:divsChild>
                                                <w:div w:id="457842405">
                                                  <w:marLeft w:val="0"/>
                                                  <w:marRight w:val="0"/>
                                                  <w:marTop w:val="0"/>
                                                  <w:marBottom w:val="0"/>
                                                  <w:divBdr>
                                                    <w:top w:val="none" w:sz="0" w:space="0" w:color="auto"/>
                                                    <w:left w:val="none" w:sz="0" w:space="0" w:color="auto"/>
                                                    <w:bottom w:val="none" w:sz="0" w:space="0" w:color="auto"/>
                                                    <w:right w:val="none" w:sz="0" w:space="0" w:color="auto"/>
                                                  </w:divBdr>
                                                </w:div>
                                                <w:div w:id="92438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20710">
                                          <w:marLeft w:val="0"/>
                                          <w:marRight w:val="0"/>
                                          <w:marTop w:val="0"/>
                                          <w:marBottom w:val="0"/>
                                          <w:divBdr>
                                            <w:top w:val="none" w:sz="0" w:space="0" w:color="auto"/>
                                            <w:left w:val="none" w:sz="0" w:space="0" w:color="auto"/>
                                            <w:bottom w:val="none" w:sz="0" w:space="0" w:color="auto"/>
                                            <w:right w:val="none" w:sz="0" w:space="0" w:color="auto"/>
                                          </w:divBdr>
                                          <w:divsChild>
                                            <w:div w:id="656887088">
                                              <w:marLeft w:val="0"/>
                                              <w:marRight w:val="0"/>
                                              <w:marTop w:val="0"/>
                                              <w:marBottom w:val="0"/>
                                              <w:divBdr>
                                                <w:top w:val="none" w:sz="0" w:space="0" w:color="auto"/>
                                                <w:left w:val="none" w:sz="0" w:space="0" w:color="auto"/>
                                                <w:bottom w:val="none" w:sz="0" w:space="0" w:color="auto"/>
                                                <w:right w:val="none" w:sz="0" w:space="0" w:color="auto"/>
                                              </w:divBdr>
                                              <w:divsChild>
                                                <w:div w:id="162719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540306">
          <w:marLeft w:val="0"/>
          <w:marRight w:val="0"/>
          <w:marTop w:val="0"/>
          <w:marBottom w:val="0"/>
          <w:divBdr>
            <w:top w:val="none" w:sz="0" w:space="0" w:color="auto"/>
            <w:left w:val="none" w:sz="0" w:space="0" w:color="auto"/>
            <w:bottom w:val="none" w:sz="0" w:space="0" w:color="auto"/>
            <w:right w:val="none" w:sz="0" w:space="0" w:color="auto"/>
          </w:divBdr>
          <w:divsChild>
            <w:div w:id="99249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7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ivanzapatarivera/Tableau_Superstore_Sales/blob/main/screenshot.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bsoft.co/3xnNWgS" TargetMode="External"/><Relationship Id="rId5" Type="http://schemas.openxmlformats.org/officeDocument/2006/relationships/hyperlink" Target="https://github.com/ivanzapatarivera/Tablea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551</Words>
  <Characters>3144</Characters>
  <Application>Microsoft Office Word</Application>
  <DocSecurity>0</DocSecurity>
  <Lines>26</Lines>
  <Paragraphs>7</Paragraphs>
  <ScaleCrop>false</ScaleCrop>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Zapata</dc:creator>
  <cp:keywords/>
  <dc:description/>
  <cp:lastModifiedBy>Ivan Zapata</cp:lastModifiedBy>
  <cp:revision>2</cp:revision>
  <cp:lastPrinted>2021-04-28T02:06:00Z</cp:lastPrinted>
  <dcterms:created xsi:type="dcterms:W3CDTF">2021-04-28T02:02:00Z</dcterms:created>
  <dcterms:modified xsi:type="dcterms:W3CDTF">2021-04-28T02:09:00Z</dcterms:modified>
</cp:coreProperties>
</file>