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line="276" w:lineRule="auto" w:after="320"/>
        <w:jc w:val="center"/>
      </w:pPr>
      <w:r>
        <w:rPr>
          <w:rFonts w:ascii="Calibri" w:hAnsi="Calibri" w:eastAsia="Noto Sans CJK SC"/>
          <w:b/>
          <w:color w:val="1F4E79"/>
          <w:sz w:val="48"/>
        </w:rPr>
        <w:t>金湖科创产业园</w:t>
        <w:br/>
        <w:t>智慧园区管理系统建设研究报告</w:t>
      </w:r>
    </w:p>
    <w:p>
      <w:pPr>
        <w:spacing w:after="720"/>
        <w:jc w:val="center"/>
      </w:pPr>
      <w:r>
        <w:rPr>
          <w:rFonts w:ascii="Calibri" w:hAnsi="Calibri" w:eastAsia="Noto Sans CJK SC"/>
          <w:b/>
          <w:color w:val="365F91"/>
          <w:sz w:val="32"/>
        </w:rPr>
        <w:t>暨开发任务书 / 建设建议书（建议稿）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268"/>
            <w:vAlign w:val="center"/>
            <w:shd w:fill="1F4E79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21"/>
              </w:rPr>
              <w:t>报告用途</w:t>
            </w:r>
          </w:p>
        </w:tc>
        <w:tc>
          <w:tcPr>
            <w:tcW w:type="dxa" w:w="6236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21"/>
              </w:rPr>
              <w:t>公司高层内部讨论、开发单位任务书、商务谈判需求基线</w:t>
            </w:r>
          </w:p>
        </w:tc>
      </w:tr>
      <w:tr>
        <w:tc>
          <w:tcPr>
            <w:tcW w:type="dxa" w:w="2268"/>
            <w:vAlign w:val="center"/>
            <w:shd w:fill="1F4E79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21"/>
              </w:rPr>
              <w:t>项目范围</w:t>
            </w:r>
          </w:p>
        </w:tc>
        <w:tc>
          <w:tcPr>
            <w:tcW w:type="dxa" w:w="6236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21"/>
              </w:rPr>
              <w:t>金湖科创产业园智慧运营与资产盘活信息平台</w:t>
            </w:r>
          </w:p>
        </w:tc>
      </w:tr>
      <w:tr>
        <w:tc>
          <w:tcPr>
            <w:tcW w:type="dxa" w:w="2268"/>
            <w:vAlign w:val="center"/>
            <w:shd w:fill="1F4E79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21"/>
              </w:rPr>
              <w:t>文件版本</w:t>
            </w:r>
          </w:p>
        </w:tc>
        <w:tc>
          <w:tcPr>
            <w:tcW w:type="dxa" w:w="6236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21"/>
              </w:rPr>
              <w:t>V1.0 建议稿</w:t>
            </w:r>
          </w:p>
        </w:tc>
      </w:tr>
      <w:tr>
        <w:tc>
          <w:tcPr>
            <w:tcW w:type="dxa" w:w="2268"/>
            <w:vAlign w:val="center"/>
            <w:shd w:fill="1F4E79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21"/>
              </w:rPr>
              <w:t>编制日期</w:t>
            </w:r>
          </w:p>
        </w:tc>
        <w:tc>
          <w:tcPr>
            <w:tcW w:type="dxa" w:w="6236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21"/>
              </w:rPr>
              <w:t>2026年5月</w:t>
            </w:r>
          </w:p>
        </w:tc>
      </w:tr>
    </w:tbl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fill="EAF2F8"/>
            <w:tcBorders>
              <w:top w:sz="8" w:val="single" w:color="5B9BD5"/>
              <w:left w:sz="8" w:val="single" w:color="5B9BD5"/>
              <w:bottom w:sz="8" w:val="single" w:color="5B9BD5"/>
              <w:right w:sz="8" w:val="single" w:color="5B9BD5"/>
            </w:tcBorders>
          </w:tcPr>
          <w:p>
            <w:pPr>
              <w:spacing w:after="60"/>
            </w:pPr>
            <w:r/>
            <w:r>
              <w:rPr>
                <w:rFonts w:ascii="Calibri" w:hAnsi="Calibri" w:eastAsia="Noto Sans CJK SC"/>
                <w:b/>
                <w:color w:val="1F4E79"/>
                <w:sz w:val="21"/>
              </w:rPr>
              <w:t>保密提示</w:t>
            </w:r>
          </w:p>
          <w:p>
            <w:pPr>
              <w:spacing w:line="312" w:lineRule="auto" w:after="0"/>
            </w:pPr>
            <w:r>
              <w:rPr>
                <w:rFonts w:ascii="Calibri" w:hAnsi="Calibri" w:eastAsia="Noto Serif CJK SC"/>
                <w:sz w:val="20"/>
              </w:rPr>
              <w:t>本文件为金湖科创产业园智慧园区管理系统建设研究、需求明确和商务沟通使用的建议稿。未经授权，不建议向无关第三方扩散。涉及投资规模、系统供应商、采购边界、商业条款等内容，应以公司最终审议和正式合同文件为准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80" w:after="160"/>
      </w:pPr>
      <w:r>
        <w:rPr>
          <w:rFonts w:ascii="Calibri" w:hAnsi="Calibri" w:eastAsia="Noto Sans CJK SC"/>
          <w:b/>
          <w:color w:val="1F4E79"/>
          <w:sz w:val="32"/>
        </w:rPr>
        <w:t>编制说明</w:t>
      </w:r>
    </w:p>
    <w:p>
      <w:pPr>
        <w:pStyle w:val="BodyTextClean"/>
        <w:spacing w:before="0" w:after="120" w:line="348" w:lineRule="auto"/>
      </w:pPr>
      <w:r>
        <w:rPr>
          <w:rFonts w:ascii="Calibri" w:hAnsi="Calibri" w:eastAsia="Noto Serif CJK SC"/>
          <w:b w:val="0"/>
          <w:sz w:val="21"/>
        </w:rPr>
        <w:t>本报告基于金湖科创产业园资产盘活、招商运营、物业安全、企业服务和数字化管理的实际需求整理形成。报告既可作为公司高层管理人员内部讨论材料，也可作为开发单位开展需求调研、方案设计、报价测算、项目实施和验收交付的任务书基础。</w:t>
      </w:r>
    </w:p>
    <w:p>
      <w:pPr>
        <w:pStyle w:val="BodyTextClean"/>
        <w:spacing w:before="0" w:after="120" w:line="348" w:lineRule="auto"/>
      </w:pPr>
      <w:r>
        <w:rPr>
          <w:rFonts w:ascii="Calibri" w:hAnsi="Calibri" w:eastAsia="Noto Serif CJK SC"/>
          <w:b w:val="0"/>
          <w:sz w:val="21"/>
        </w:rPr>
        <w:t>报告重点不是建设单一的智慧园区展示大屏，而是建立一套支撑园区经营管理的数字化操作系统，使园区资产、客户、合同、租金、工单、安全、设备、能耗和服务数据形成闭环。</w:t>
      </w:r>
    </w:p>
    <w:p>
      <w:pPr>
        <w:pStyle w:val="Heading2"/>
        <w:spacing w:before="200" w:after="120"/>
      </w:pPr>
      <w:r>
        <w:rPr>
          <w:rFonts w:ascii="Calibri" w:hAnsi="Calibri" w:eastAsia="Noto Sans CJK SC"/>
          <w:b/>
          <w:color w:val="365F91"/>
          <w:sz w:val="26"/>
        </w:rPr>
        <w:t>一、文件定位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研究报告：明确金湖科创产业园智慧管理系统的建设必要性、总体方向、管理逻辑和实施路径。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开发任务书：明确系统建设范围、功能模块、数据要求、接口要求、交付成果和验收标准。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建设建议书：为公司决策层确定投资优先级、开发方式、实施节奏和组织保障提供依据。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商务谈判基线：为后续与软件开发单位、弱电集成单位、设备厂商和平台服务商谈判提供统一需求口径。</w:t>
      </w:r>
    </w:p>
    <w:p>
      <w:pPr>
        <w:pStyle w:val="Heading2"/>
        <w:spacing w:before="200" w:after="120"/>
      </w:pPr>
      <w:r>
        <w:rPr>
          <w:rFonts w:ascii="Calibri" w:hAnsi="Calibri" w:eastAsia="Noto Sans CJK SC"/>
          <w:b/>
          <w:color w:val="365F91"/>
          <w:sz w:val="26"/>
        </w:rPr>
        <w:t>二、编制边界</w:t>
      </w:r>
    </w:p>
    <w:p>
      <w:pPr>
        <w:pStyle w:val="BodyTextClean"/>
        <w:spacing w:before="0" w:after="120" w:line="348" w:lineRule="auto"/>
      </w:pPr>
      <w:r>
        <w:rPr>
          <w:rFonts w:ascii="Calibri" w:hAnsi="Calibri" w:eastAsia="Noto Serif CJK SC"/>
          <w:b w:val="0"/>
          <w:sz w:val="21"/>
        </w:rPr>
        <w:t>本报告属于管理咨询和系统建设建议文件，不替代正式的项目立项审批、招标文件、采购合同、施工图设计、信息安全等级保护测评或专项安全评估。开发单位进场后，应在本报告基础上开展二次需求调研、原型设计、数据核验和技术方案深化。</w:t>
      </w:r>
    </w:p>
    <w:p>
      <w:pPr>
        <w:pStyle w:val="Heading2"/>
        <w:spacing w:before="200" w:after="120"/>
      </w:pPr>
      <w:r>
        <w:rPr>
          <w:rFonts w:ascii="Calibri" w:hAnsi="Calibri" w:eastAsia="Noto Sans CJK SC"/>
          <w:b/>
          <w:color w:val="365F91"/>
          <w:sz w:val="26"/>
        </w:rPr>
        <w:t>三、版本管理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rHeight w:hRule="atLeast"/>
        </w:trPr>
        <w:tc>
          <w:tcPr>
            <w:tcW w:type="dxa" w:w="1417"/>
            <w:vAlign w:val="center"/>
            <w:shd w:fill="1F4E79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701"/>
            <w:vAlign w:val="center"/>
            <w:shd w:fill="1F4E79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701"/>
            <w:vAlign w:val="center"/>
            <w:shd w:fill="1F4E79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5102"/>
            <w:vAlign w:val="center"/>
            <w:shd w:fill="1F4E79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8"/>
              </w:rPr>
              <w:t>主要内容</w:t>
            </w:r>
          </w:p>
        </w:tc>
      </w:tr>
      <w:tr>
        <w:tc>
          <w:tcPr>
            <w:tcW w:type="dxa" w:w="1417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8"/>
              </w:rPr>
              <w:t>V1.0</w:t>
            </w:r>
          </w:p>
        </w:tc>
        <w:tc>
          <w:tcPr>
            <w:tcW w:type="dxa" w:w="170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8"/>
              </w:rPr>
              <w:t>2026年5月</w:t>
            </w:r>
          </w:p>
        </w:tc>
        <w:tc>
          <w:tcPr>
            <w:tcW w:type="dxa" w:w="170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8"/>
              </w:rPr>
              <w:t>建议稿</w:t>
            </w:r>
          </w:p>
        </w:tc>
        <w:tc>
          <w:tcPr>
            <w:tcW w:type="dxa" w:w="51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8"/>
              </w:rPr>
              <w:t>形成系统建设总体思路、开发任务书框架、实施计划和验收指标。</w:t>
            </w:r>
          </w:p>
        </w:tc>
      </w:tr>
      <w:tr>
        <w:tc>
          <w:tcPr>
            <w:tcW w:type="dxa" w:w="1417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8"/>
              </w:rPr>
              <w:t>V1.1</w:t>
            </w:r>
          </w:p>
        </w:tc>
        <w:tc>
          <w:tcPr>
            <w:tcW w:type="dxa" w:w="170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8"/>
              </w:rPr>
              <w:t>待定</w:t>
            </w:r>
          </w:p>
        </w:tc>
        <w:tc>
          <w:tcPr>
            <w:tcW w:type="dxa" w:w="170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8"/>
              </w:rPr>
              <w:t>需求确认版</w:t>
            </w:r>
          </w:p>
        </w:tc>
        <w:tc>
          <w:tcPr>
            <w:tcW w:type="dxa" w:w="51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8"/>
              </w:rPr>
              <w:t>根据公司管理层意见、开发单位调研和硬件设备接口情况进一步修订。</w:t>
            </w:r>
          </w:p>
        </w:tc>
      </w:tr>
      <w:tr>
        <w:tc>
          <w:tcPr>
            <w:tcW w:type="dxa" w:w="1417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8"/>
              </w:rPr>
              <w:t>V2.0</w:t>
            </w:r>
          </w:p>
        </w:tc>
        <w:tc>
          <w:tcPr>
            <w:tcW w:type="dxa" w:w="170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8"/>
              </w:rPr>
              <w:t>待定</w:t>
            </w:r>
          </w:p>
        </w:tc>
        <w:tc>
          <w:tcPr>
            <w:tcW w:type="dxa" w:w="170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8"/>
              </w:rPr>
              <w:t>实施版</w:t>
            </w:r>
          </w:p>
        </w:tc>
        <w:tc>
          <w:tcPr>
            <w:tcW w:type="dxa" w:w="51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8"/>
              </w:rPr>
              <w:t>作为正式开发合同或技术附件的组成部分使用。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80" w:after="160"/>
      </w:pPr>
      <w:r>
        <w:rPr>
          <w:rFonts w:ascii="Calibri" w:hAnsi="Calibri" w:eastAsia="Noto Sans CJK SC"/>
          <w:b/>
          <w:color w:val="1F4E79"/>
          <w:sz w:val="32"/>
        </w:rPr>
        <w:t>目录</w:t>
      </w:r>
    </w:p>
    <w:p>
      <w:pPr>
        <w:spacing w:after="40"/>
      </w:pPr>
      <w:r>
        <w:rPr>
          <w:rFonts w:ascii="Calibri" w:hAnsi="Calibri" w:eastAsia="Noto Serif CJK SC"/>
          <w:sz w:val="21"/>
        </w:rPr>
        <w:t>第一章 项目背景与建设必要性</w:t>
      </w:r>
    </w:p>
    <w:p>
      <w:pPr>
        <w:spacing w:after="40"/>
      </w:pPr>
      <w:r>
        <w:rPr>
          <w:rFonts w:ascii="Calibri" w:hAnsi="Calibri" w:eastAsia="Noto Serif CJK SC"/>
          <w:sz w:val="21"/>
        </w:rPr>
        <w:t>第二章 系统总体定位与建设目标</w:t>
      </w:r>
    </w:p>
    <w:p>
      <w:pPr>
        <w:spacing w:after="40"/>
      </w:pPr>
      <w:r>
        <w:rPr>
          <w:rFonts w:ascii="Calibri" w:hAnsi="Calibri" w:eastAsia="Noto Serif CJK SC"/>
          <w:sz w:val="21"/>
        </w:rPr>
        <w:t>第三章 管理方法、建设原则与顶层逻辑</w:t>
      </w:r>
    </w:p>
    <w:p>
      <w:pPr>
        <w:spacing w:after="40"/>
      </w:pPr>
      <w:r>
        <w:rPr>
          <w:rFonts w:ascii="Calibri" w:hAnsi="Calibri" w:eastAsia="Noto Serif CJK SC"/>
          <w:sz w:val="21"/>
        </w:rPr>
        <w:t>第四章 系统总体架构设计</w:t>
      </w:r>
    </w:p>
    <w:p>
      <w:pPr>
        <w:spacing w:after="40"/>
      </w:pPr>
      <w:r>
        <w:rPr>
          <w:rFonts w:ascii="Calibri" w:hAnsi="Calibri" w:eastAsia="Noto Serif CJK SC"/>
          <w:sz w:val="21"/>
        </w:rPr>
        <w:t>第五章 核心业务功能模块建议</w:t>
      </w:r>
    </w:p>
    <w:p>
      <w:pPr>
        <w:spacing w:after="40"/>
      </w:pPr>
      <w:r>
        <w:rPr>
          <w:rFonts w:ascii="Calibri" w:hAnsi="Calibri" w:eastAsia="Noto Serif CJK SC"/>
          <w:sz w:val="21"/>
        </w:rPr>
        <w:t>第六章 数据体系与数据治理方案</w:t>
      </w:r>
    </w:p>
    <w:p>
      <w:pPr>
        <w:spacing w:after="40"/>
      </w:pPr>
      <w:r>
        <w:rPr>
          <w:rFonts w:ascii="Calibri" w:hAnsi="Calibri" w:eastAsia="Noto Serif CJK SC"/>
          <w:sz w:val="21"/>
        </w:rPr>
        <w:t>第七章 技术路线、部署架构与接口要求</w:t>
      </w:r>
    </w:p>
    <w:p>
      <w:pPr>
        <w:spacing w:after="40"/>
      </w:pPr>
      <w:r>
        <w:rPr>
          <w:rFonts w:ascii="Calibri" w:hAnsi="Calibri" w:eastAsia="Noto Serif CJK SC"/>
          <w:sz w:val="21"/>
        </w:rPr>
        <w:t>第八章 开发任务书建议</w:t>
      </w:r>
    </w:p>
    <w:p>
      <w:pPr>
        <w:spacing w:after="40"/>
      </w:pPr>
      <w:r>
        <w:rPr>
          <w:rFonts w:ascii="Calibri" w:hAnsi="Calibri" w:eastAsia="Noto Serif CJK SC"/>
          <w:sz w:val="21"/>
        </w:rPr>
        <w:t>第九章 实施步骤、实施计划与阶段验收</w:t>
      </w:r>
    </w:p>
    <w:p>
      <w:pPr>
        <w:spacing w:after="40"/>
      </w:pPr>
      <w:r>
        <w:rPr>
          <w:rFonts w:ascii="Calibri" w:hAnsi="Calibri" w:eastAsia="Noto Serif CJK SC"/>
          <w:sz w:val="21"/>
        </w:rPr>
        <w:t>第十章 组织保障、制度建设与运营机制</w:t>
      </w:r>
    </w:p>
    <w:p>
      <w:pPr>
        <w:spacing w:after="40"/>
      </w:pPr>
      <w:r>
        <w:rPr>
          <w:rFonts w:ascii="Calibri" w:hAnsi="Calibri" w:eastAsia="Noto Serif CJK SC"/>
          <w:sz w:val="21"/>
        </w:rPr>
        <w:t>第十一章 投资价值、经营指标与管理成效评估</w:t>
      </w:r>
    </w:p>
    <w:p>
      <w:pPr>
        <w:spacing w:after="40"/>
      </w:pPr>
      <w:r>
        <w:rPr>
          <w:rFonts w:ascii="Calibri" w:hAnsi="Calibri" w:eastAsia="Noto Serif CJK SC"/>
          <w:sz w:val="21"/>
        </w:rPr>
        <w:t>第十二章 风险识别与控制措施</w:t>
      </w:r>
    </w:p>
    <w:p>
      <w:pPr>
        <w:spacing w:after="40"/>
      </w:pPr>
      <w:r>
        <w:rPr>
          <w:rFonts w:ascii="Calibri" w:hAnsi="Calibri" w:eastAsia="Noto Serif CJK SC"/>
          <w:sz w:val="21"/>
        </w:rPr>
        <w:t>第十三章 近期启动工作清单</w:t>
      </w:r>
    </w:p>
    <w:p>
      <w:pPr>
        <w:spacing w:after="40"/>
      </w:pPr>
      <w:r>
        <w:rPr>
          <w:rFonts w:ascii="Calibri" w:hAnsi="Calibri" w:eastAsia="Noto Serif CJK SC"/>
          <w:sz w:val="21"/>
        </w:rPr>
        <w:t>附录一 功能模块优先级清单</w:t>
      </w:r>
    </w:p>
    <w:p>
      <w:pPr>
        <w:spacing w:after="40"/>
      </w:pPr>
      <w:r>
        <w:rPr>
          <w:rFonts w:ascii="Calibri" w:hAnsi="Calibri" w:eastAsia="Noto Serif CJK SC"/>
          <w:sz w:val="21"/>
        </w:rPr>
        <w:t>附录二 基础数据字典示例</w:t>
      </w:r>
    </w:p>
    <w:p>
      <w:pPr>
        <w:spacing w:after="40"/>
      </w:pPr>
      <w:r>
        <w:rPr>
          <w:rFonts w:ascii="Calibri" w:hAnsi="Calibri" w:eastAsia="Noto Serif CJK SC"/>
          <w:sz w:val="21"/>
        </w:rPr>
        <w:t>附录三 开发单位商务谈判与采购要求清单</w:t>
      </w:r>
    </w:p>
    <w:p>
      <w:pPr>
        <w:spacing w:after="40"/>
      </w:pPr>
      <w:r>
        <w:rPr>
          <w:rFonts w:ascii="Calibri" w:hAnsi="Calibri" w:eastAsia="Noto Serif CJK SC"/>
          <w:sz w:val="21"/>
        </w:rPr>
        <w:t>附录四 参考政策、标准与方法论</w:t>
      </w:r>
    </w:p>
    <w:p>
      <w:r>
        <w:br w:type="page"/>
      </w:r>
    </w:p>
    <w:p>
      <w:pPr>
        <w:pStyle w:val="Heading1"/>
        <w:spacing w:before="280" w:after="160"/>
      </w:pPr>
      <w:r>
        <w:rPr>
          <w:rFonts w:ascii="Calibri" w:hAnsi="Calibri" w:eastAsia="Noto Sans CJK SC"/>
          <w:b/>
          <w:color w:val="1F4E79"/>
          <w:sz w:val="32"/>
        </w:rPr>
        <w:t>摘要</w:t>
      </w:r>
    </w:p>
    <w:p>
      <w:pPr>
        <w:pStyle w:val="BodyTextClean"/>
        <w:spacing w:before="0" w:after="120" w:line="348" w:lineRule="auto"/>
      </w:pPr>
      <w:r>
        <w:rPr>
          <w:rFonts w:ascii="Calibri" w:hAnsi="Calibri" w:eastAsia="Noto Serif CJK SC"/>
          <w:b w:val="0"/>
          <w:sz w:val="21"/>
        </w:rPr>
        <w:t>金湖科创产业园智慧园区管理系统建议定位为“资产经营 + 招商运营 + 物业安全 + 企业服务 + 数据决策”的园区经营操作系统。系统建设的首要目标不是形成展示性工程，而是把园区的资产、房源、客户、合同、租金、工单、巡检、设备、安全、能耗和服务事项统一纳入一套可运营、可考核、可追责、可复制的信息平台。</w:t>
      </w:r>
    </w:p>
    <w:p>
      <w:pPr>
        <w:pStyle w:val="BodyTextClean"/>
        <w:spacing w:before="0" w:after="120" w:line="348" w:lineRule="auto"/>
      </w:pPr>
      <w:r>
        <w:rPr>
          <w:rFonts w:ascii="Calibri" w:hAnsi="Calibri" w:eastAsia="Noto Serif CJK SC"/>
          <w:b w:val="0"/>
          <w:sz w:val="21"/>
        </w:rPr>
        <w:t>系统建设应采取分阶段实施策略。第一阶段优先建立资产房源、租户、合同、应收租金、招商CRM、工单报修、安全巡检和经营驾驶舱等基础闭环；第二阶段接入设备设施、消防、视频、门禁、电表水表、提升平台和充电桩等数据；第三阶段扩展企业服务、展贸中心、招商活动和客户资源沉淀；第四阶段再推进AI助手、轻量数字孪生、多园区复制和SaaS产品化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fill="EAF2F8"/>
            <w:tcBorders>
              <w:top w:sz="8" w:val="single" w:color="5B9BD5"/>
              <w:left w:sz="8" w:val="single" w:color="5B9BD5"/>
              <w:bottom w:sz="8" w:val="single" w:color="5B9BD5"/>
              <w:right w:sz="8" w:val="single" w:color="5B9BD5"/>
            </w:tcBorders>
          </w:tcPr>
          <w:p>
            <w:pPr>
              <w:spacing w:after="60"/>
            </w:pPr>
            <w:r/>
            <w:r>
              <w:rPr>
                <w:rFonts w:ascii="Calibri" w:hAnsi="Calibri" w:eastAsia="Noto Sans CJK SC"/>
                <w:b/>
                <w:color w:val="1F4E79"/>
                <w:sz w:val="21"/>
              </w:rPr>
              <w:t>核心判断</w:t>
            </w:r>
          </w:p>
          <w:p>
            <w:pPr>
              <w:spacing w:line="312" w:lineRule="auto" w:after="0"/>
            </w:pPr>
            <w:r>
              <w:rPr>
                <w:rFonts w:ascii="Calibri" w:hAnsi="Calibri" w:eastAsia="Noto Serif CJK SC"/>
                <w:sz w:val="20"/>
              </w:rPr>
              <w:t>金湖科创产业园当前最需要的不是“先做大屏”，而是“先建经营闭环”。系统建设应围绕四句话展开：资产看得清，经营算得准，风险管得住，服务跟得上。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rHeight w:hRule="atLeast"/>
        </w:trPr>
        <w:tc>
          <w:tcPr>
            <w:tcW w:type="dxa" w:w="1587"/>
            <w:vAlign w:val="center"/>
            <w:shd w:fill="1F4E79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7"/>
              </w:rPr>
              <w:t>建设主线</w:t>
            </w:r>
          </w:p>
        </w:tc>
        <w:tc>
          <w:tcPr>
            <w:tcW w:type="dxa" w:w="2721"/>
            <w:vAlign w:val="center"/>
            <w:shd w:fill="1F4E79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7"/>
              </w:rPr>
              <w:t>核心问题</w:t>
            </w:r>
          </w:p>
        </w:tc>
        <w:tc>
          <w:tcPr>
            <w:tcW w:type="dxa" w:w="2948"/>
            <w:vAlign w:val="center"/>
            <w:shd w:fill="1F4E79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7"/>
              </w:rPr>
              <w:t>系统抓手</w:t>
            </w:r>
          </w:p>
        </w:tc>
        <w:tc>
          <w:tcPr>
            <w:tcW w:type="dxa" w:w="2494"/>
            <w:vAlign w:val="center"/>
            <w:shd w:fill="1F4E79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7"/>
              </w:rPr>
              <w:t>管理成效</w:t>
            </w:r>
          </w:p>
        </w:tc>
      </w:tr>
      <w:tr>
        <w:tc>
          <w:tcPr>
            <w:tcW w:type="dxa" w:w="1587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资产经营</w:t>
            </w:r>
          </w:p>
        </w:tc>
        <w:tc>
          <w:tcPr>
            <w:tcW w:type="dxa" w:w="272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房源、面积、状态、收益数据不统一</w:t>
            </w:r>
          </w:p>
        </w:tc>
        <w:tc>
          <w:tcPr>
            <w:tcW w:type="dxa" w:w="294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资产编码、房源台账、合同租金、出租率分析</w:t>
            </w:r>
          </w:p>
        </w:tc>
        <w:tc>
          <w:tcPr>
            <w:tcW w:type="dxa" w:w="249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提升资产去化和租金回收能力</w:t>
            </w:r>
          </w:p>
        </w:tc>
      </w:tr>
      <w:tr>
        <w:tc>
          <w:tcPr>
            <w:tcW w:type="dxa" w:w="1587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招商运营</w:t>
            </w:r>
          </w:p>
        </w:tc>
        <w:tc>
          <w:tcPr>
            <w:tcW w:type="dxa" w:w="272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客户线索和跟进过程易沉淀在个人手里</w:t>
            </w:r>
          </w:p>
        </w:tc>
        <w:tc>
          <w:tcPr>
            <w:tcW w:type="dxa" w:w="294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招商CRM、客户漏斗、看房记录、报价审批</w:t>
            </w:r>
          </w:p>
        </w:tc>
        <w:tc>
          <w:tcPr>
            <w:tcW w:type="dxa" w:w="249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提升招商转化率和团队管理透明度</w:t>
            </w:r>
          </w:p>
        </w:tc>
      </w:tr>
      <w:tr>
        <w:tc>
          <w:tcPr>
            <w:tcW w:type="dxa" w:w="1587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物业安全</w:t>
            </w:r>
          </w:p>
        </w:tc>
        <w:tc>
          <w:tcPr>
            <w:tcW w:type="dxa" w:w="272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工单、巡检、隐患和设备维保缺少闭环</w:t>
            </w:r>
          </w:p>
        </w:tc>
        <w:tc>
          <w:tcPr>
            <w:tcW w:type="dxa" w:w="294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工单中心、巡检计划、安全隐患、设备维保</w:t>
            </w:r>
          </w:p>
        </w:tc>
        <w:tc>
          <w:tcPr>
            <w:tcW w:type="dxa" w:w="249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降低安全风险，提高客户服务响应速度</w:t>
            </w:r>
          </w:p>
        </w:tc>
      </w:tr>
      <w:tr>
        <w:tc>
          <w:tcPr>
            <w:tcW w:type="dxa" w:w="1587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企业服务</w:t>
            </w:r>
          </w:p>
        </w:tc>
        <w:tc>
          <w:tcPr>
            <w:tcW w:type="dxa" w:w="272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园区服务能力尚未形成平台化</w:t>
            </w:r>
          </w:p>
        </w:tc>
        <w:tc>
          <w:tcPr>
            <w:tcW w:type="dxa" w:w="294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租户服务端、会议室/展厅预约、政策服务、活动管理</w:t>
            </w:r>
          </w:p>
        </w:tc>
        <w:tc>
          <w:tcPr>
            <w:tcW w:type="dxa" w:w="249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增强客户粘性和园区服务价值</w:t>
            </w:r>
          </w:p>
        </w:tc>
      </w:tr>
      <w:tr>
        <w:tc>
          <w:tcPr>
            <w:tcW w:type="dxa" w:w="1587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数据决策</w:t>
            </w:r>
          </w:p>
        </w:tc>
        <w:tc>
          <w:tcPr>
            <w:tcW w:type="dxa" w:w="272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管理层难以实时掌握经营结果</w:t>
            </w:r>
          </w:p>
        </w:tc>
        <w:tc>
          <w:tcPr>
            <w:tcW w:type="dxa" w:w="294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经营驾驶舱、财务回款、风险预警、月报自动化</w:t>
            </w:r>
          </w:p>
        </w:tc>
        <w:tc>
          <w:tcPr>
            <w:tcW w:type="dxa" w:w="249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支撑高层决策和运营复盘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80" w:after="160"/>
      </w:pPr>
      <w:r>
        <w:rPr>
          <w:rFonts w:ascii="Calibri" w:hAnsi="Calibri" w:eastAsia="Noto Sans CJK SC"/>
          <w:b/>
          <w:color w:val="1F4E79"/>
          <w:sz w:val="32"/>
        </w:rPr>
        <w:t>第一章 项目背景与建设必要性</w:t>
      </w:r>
    </w:p>
    <w:p>
      <w:pPr>
        <w:pStyle w:val="Heading2"/>
        <w:spacing w:before="200" w:after="120"/>
      </w:pPr>
      <w:r>
        <w:rPr>
          <w:rFonts w:ascii="Calibri" w:hAnsi="Calibri" w:eastAsia="Noto Sans CJK SC"/>
          <w:b/>
          <w:color w:val="365F91"/>
          <w:sz w:val="26"/>
        </w:rPr>
        <w:t>1.1 项目背景</w:t>
      </w:r>
    </w:p>
    <w:p>
      <w:pPr>
        <w:pStyle w:val="BodyTextClean"/>
        <w:spacing w:before="0" w:after="120" w:line="348" w:lineRule="auto"/>
      </w:pPr>
      <w:r>
        <w:rPr>
          <w:rFonts w:ascii="Calibri" w:hAnsi="Calibri" w:eastAsia="Noto Serif CJK SC"/>
          <w:b w:val="0"/>
          <w:sz w:val="21"/>
        </w:rPr>
        <w:t>产业园区已经从传统的物业持有和场地租赁模式，逐步转向资产经营、产业服务、数字运营和平台化管理并重的模式。对于金湖科创产业园而言，智慧园区系统建设不是单纯的信息化工程，而是资产盘活、招商提效、物业安全、企业服务和管理透明化的重要抓手。</w:t>
      </w:r>
    </w:p>
    <w:p>
      <w:pPr>
        <w:pStyle w:val="BodyTextClean"/>
        <w:spacing w:before="0" w:after="120" w:line="348" w:lineRule="auto"/>
      </w:pPr>
      <w:r>
        <w:rPr>
          <w:rFonts w:ascii="Calibri" w:hAnsi="Calibri" w:eastAsia="Noto Serif CJK SC"/>
          <w:b w:val="0"/>
          <w:sz w:val="21"/>
        </w:rPr>
        <w:t>从外部环境看，国内园区数字化建设正在从“设备智能化、安防数字化、展示大屏化”向“产业服务数字化、运营管理数字化、数据资源开放共享、安全应急管控”转变。工业和信息化部办公厅于2025年印发的《高标准数字园区建设指南》提出，要推进产业数字化转型、加强园区数字化服务、完善园区数字化管理、夯实数字化支撑能力；其中园区数字化运营管理覆盖资产管理、经济运行监测、绿色低碳发展、安全应急管控等主要环节。</w:t>
      </w:r>
    </w:p>
    <w:p>
      <w:pPr>
        <w:pStyle w:val="Heading2"/>
        <w:spacing w:before="200" w:after="120"/>
      </w:pPr>
      <w:r>
        <w:rPr>
          <w:rFonts w:ascii="Calibri" w:hAnsi="Calibri" w:eastAsia="Noto Sans CJK SC"/>
          <w:b/>
          <w:color w:val="365F91"/>
          <w:sz w:val="26"/>
        </w:rPr>
        <w:t>1.2 金湖园区当前面临的管理问题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资产与房源管理方面：楼栋、楼层、房间、面积、出租状态、合同状态、收益情况等基础数据需要统一口径，避免多部门各自维护台账。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招商运营方面：客户线索、看房记录、报价过程、商务谈判、签约回款和流失原因需要标准化沉淀，避免客户资源过度依赖个人经验。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合同与租金方面：租金、押金、物业费、水电费、免租期、优惠期、欠费、发票、变更和退租结算需要自动化管理。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物业服务方面：报修、投诉、申请、派单、处理、回访和评价需要形成闭环，以便考核服务效率。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安全生产方面：消防、配电、装修施工、锂电池类租户、仓储堆放、提升平台等风险点需要建立巡检、整改和责任追踪机制。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设备能耗方面：电梯、消防、空调、配电、门禁、道闸、摄像头、充电桩、电表水表等设备需要全生命周期台账和维保计划。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经营决策方面：高层管理人员需要实时掌握出租率、空置率、应收实收、欠费、招商转化、安全隐患和物业效率等核心指标。</w:t>
      </w:r>
    </w:p>
    <w:p>
      <w:pPr>
        <w:pStyle w:val="Heading2"/>
        <w:spacing w:before="200" w:after="120"/>
      </w:pPr>
      <w:r>
        <w:rPr>
          <w:rFonts w:ascii="Calibri" w:hAnsi="Calibri" w:eastAsia="Noto Sans CJK SC"/>
          <w:b/>
          <w:color w:val="365F91"/>
          <w:sz w:val="26"/>
        </w:rPr>
        <w:t>1.3 建设必要性</w:t>
      </w:r>
    </w:p>
    <w:p>
      <w:pPr>
        <w:pStyle w:val="BodyTextClean"/>
        <w:spacing w:before="0" w:after="120" w:line="348" w:lineRule="auto"/>
      </w:pPr>
      <w:r>
        <w:rPr>
          <w:rFonts w:ascii="Calibri" w:hAnsi="Calibri" w:eastAsia="Noto Serif CJK SC"/>
          <w:b w:val="0"/>
          <w:sz w:val="21"/>
        </w:rPr>
        <w:t>第一，系统建设是资产盘活的基础。没有统一的资产和房源数据，招商部门难以快速匹配客户需求，管理层也难以判断不同空间的收益能力、去化难度和改造优先级。</w:t>
      </w:r>
    </w:p>
    <w:p>
      <w:pPr>
        <w:pStyle w:val="BodyTextClean"/>
        <w:spacing w:before="0" w:after="120" w:line="348" w:lineRule="auto"/>
      </w:pPr>
      <w:r>
        <w:rPr>
          <w:rFonts w:ascii="Calibri" w:hAnsi="Calibri" w:eastAsia="Noto Serif CJK SC"/>
          <w:b w:val="0"/>
          <w:sz w:val="21"/>
        </w:rPr>
        <w:t>第二，系统建设是招商提效的基础。园区招商不是简单出租房屋，而是围绕客户需求、行业结构、服务能力和空间适配进行持续运营。招商CRM能够把线索、转化、签约、回款和流失原因沉淀下来，形成团队能力。</w:t>
      </w:r>
    </w:p>
    <w:p>
      <w:pPr>
        <w:pStyle w:val="BodyTextClean"/>
        <w:spacing w:before="0" w:after="120" w:line="348" w:lineRule="auto"/>
      </w:pPr>
      <w:r>
        <w:rPr>
          <w:rFonts w:ascii="Calibri" w:hAnsi="Calibri" w:eastAsia="Noto Serif CJK SC"/>
          <w:b w:val="0"/>
          <w:sz w:val="21"/>
        </w:rPr>
        <w:t>第三，系统建设是风险管控的基础。园区一旦发生消防、安全生产、设备事故或客户纠纷，传统台账和微信群难以满足过程留痕、责任追踪和复盘整改要求。</w:t>
      </w:r>
    </w:p>
    <w:p>
      <w:pPr>
        <w:pStyle w:val="BodyTextClean"/>
        <w:spacing w:before="0" w:after="120" w:line="348" w:lineRule="auto"/>
      </w:pPr>
      <w:r>
        <w:rPr>
          <w:rFonts w:ascii="Calibri" w:hAnsi="Calibri" w:eastAsia="Noto Serif CJK SC"/>
          <w:b w:val="0"/>
          <w:sz w:val="21"/>
        </w:rPr>
        <w:t>第四，系统建设是企业服务升级的基础。园区如果希望从“房东型园区”升级为“平台型园区”，就必须把政策、会议、展贸、直播、融资、招聘、财税、法律等服务事项纳入系统化管理。</w:t>
      </w:r>
    </w:p>
    <w:p>
      <w:pPr>
        <w:pStyle w:val="BodyTextClean"/>
        <w:spacing w:before="0" w:after="120" w:line="348" w:lineRule="auto"/>
      </w:pPr>
      <w:r>
        <w:rPr>
          <w:rFonts w:ascii="Calibri" w:hAnsi="Calibri" w:eastAsia="Noto Serif CJK SC"/>
          <w:b w:val="0"/>
          <w:sz w:val="21"/>
        </w:rPr>
        <w:t>第五，系统建设是未来产品化复制的基础。如果金湖园区作为样板项目能够跑通一套低成本、可复制、可扩展的智慧园区系统，后续可进一步形成面向其他园区的数字化运营产品。</w:t>
      </w:r>
    </w:p>
    <w:p>
      <w:pPr>
        <w:pStyle w:val="Heading1"/>
        <w:spacing w:before="280" w:after="160"/>
      </w:pPr>
      <w:r>
        <w:rPr>
          <w:rFonts w:ascii="Calibri" w:hAnsi="Calibri" w:eastAsia="Noto Sans CJK SC"/>
          <w:b/>
          <w:color w:val="1F4E79"/>
          <w:sz w:val="32"/>
        </w:rPr>
        <w:t>第二章 系统总体定位与建设目标</w:t>
      </w:r>
    </w:p>
    <w:p>
      <w:pPr>
        <w:pStyle w:val="Heading2"/>
        <w:spacing w:before="200" w:after="120"/>
      </w:pPr>
      <w:r>
        <w:rPr>
          <w:rFonts w:ascii="Calibri" w:hAnsi="Calibri" w:eastAsia="Noto Sans CJK SC"/>
          <w:b/>
          <w:color w:val="365F91"/>
          <w:sz w:val="26"/>
        </w:rPr>
        <w:t>2.1 系统定位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fill="EAF2F8"/>
            <w:tcBorders>
              <w:top w:sz="8" w:val="single" w:color="5B9BD5"/>
              <w:left w:sz="8" w:val="single" w:color="5B9BD5"/>
              <w:bottom w:sz="8" w:val="single" w:color="5B9BD5"/>
              <w:right w:sz="8" w:val="single" w:color="5B9BD5"/>
            </w:tcBorders>
          </w:tcPr>
          <w:p>
            <w:pPr>
              <w:spacing w:after="60"/>
            </w:pPr>
            <w:r/>
            <w:r>
              <w:rPr>
                <w:rFonts w:ascii="Calibri" w:hAnsi="Calibri" w:eastAsia="Noto Sans CJK SC"/>
                <w:b/>
                <w:color w:val="1F4E79"/>
                <w:sz w:val="21"/>
              </w:rPr>
              <w:t>建议定位</w:t>
            </w:r>
          </w:p>
          <w:p>
            <w:pPr>
              <w:spacing w:line="312" w:lineRule="auto" w:after="0"/>
            </w:pPr>
            <w:r>
              <w:rPr>
                <w:rFonts w:ascii="Calibri" w:hAnsi="Calibri" w:eastAsia="Noto Serif CJK SC"/>
                <w:sz w:val="20"/>
              </w:rPr>
              <w:t>金湖科创产业园智慧园区管理系统，是面向园区资产经营、招商运营、物业服务、安全管控、设备能耗、企业服务和经营决策的一体化数字运营管理平台。</w:t>
            </w:r>
          </w:p>
        </w:tc>
      </w:tr>
    </w:tbl>
    <w:p>
      <w:pPr>
        <w:spacing w:after="40"/>
      </w:pPr>
    </w:p>
    <w:p>
      <w:pPr>
        <w:pStyle w:val="BodyTextClean"/>
        <w:spacing w:before="0" w:after="120" w:line="348" w:lineRule="auto"/>
      </w:pPr>
      <w:r>
        <w:rPr>
          <w:rFonts w:ascii="Calibri" w:hAnsi="Calibri" w:eastAsia="Noto Serif CJK SC"/>
          <w:b w:val="0"/>
          <w:sz w:val="21"/>
        </w:rPr>
        <w:t>系统不应被定位为单一的物业管理软件，也不应被定位为单纯的IoT设备平台或领导大屏。它应当成为园区日常经营管理的主系统，能够承载资产、客户、合同、租金、工单、安全、设备、能耗和服务事项的全过程数据。</w:t>
      </w:r>
    </w:p>
    <w:p>
      <w:pPr>
        <w:pStyle w:val="Heading2"/>
        <w:spacing w:before="200" w:after="120"/>
      </w:pPr>
      <w:r>
        <w:rPr>
          <w:rFonts w:ascii="Calibri" w:hAnsi="Calibri" w:eastAsia="Noto Sans CJK SC"/>
          <w:b/>
          <w:color w:val="365F91"/>
          <w:sz w:val="26"/>
        </w:rPr>
        <w:t>2.2 总体建设目标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rHeight w:hRule="atLeast"/>
        </w:trPr>
        <w:tc>
          <w:tcPr>
            <w:tcW w:type="dxa" w:w="1587"/>
            <w:vAlign w:val="center"/>
            <w:shd w:fill="1F4E79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7"/>
              </w:rPr>
              <w:t>目标类别</w:t>
            </w:r>
          </w:p>
        </w:tc>
        <w:tc>
          <w:tcPr>
            <w:tcW w:type="dxa" w:w="3402"/>
            <w:vAlign w:val="center"/>
            <w:shd w:fill="1F4E79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7"/>
              </w:rPr>
              <w:t>目标表述</w:t>
            </w:r>
          </w:p>
        </w:tc>
        <w:tc>
          <w:tcPr>
            <w:tcW w:type="dxa" w:w="4535"/>
            <w:vAlign w:val="center"/>
            <w:shd w:fill="1F4E79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7"/>
              </w:rPr>
              <w:t>落地指标</w:t>
            </w:r>
          </w:p>
        </w:tc>
      </w:tr>
      <w:tr>
        <w:tc>
          <w:tcPr>
            <w:tcW w:type="dxa" w:w="1587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资产清晰</w:t>
            </w:r>
          </w:p>
        </w:tc>
        <w:tc>
          <w:tcPr>
            <w:tcW w:type="dxa" w:w="34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建立完整的空间资产和可经营资源台账。</w:t>
            </w:r>
          </w:p>
        </w:tc>
        <w:tc>
          <w:tcPr>
            <w:tcW w:type="dxa" w:w="4535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房源数据完整率不低于95%；楼栋、楼层、房间、面积、状态、合同和租户可关联查询。</w:t>
            </w:r>
          </w:p>
        </w:tc>
      </w:tr>
      <w:tr>
        <w:tc>
          <w:tcPr>
            <w:tcW w:type="dxa" w:w="1587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经营闭环</w:t>
            </w:r>
          </w:p>
        </w:tc>
        <w:tc>
          <w:tcPr>
            <w:tcW w:type="dxa" w:w="34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实现招商、合同、租金、回款和退租全过程数字化。</w:t>
            </w:r>
          </w:p>
        </w:tc>
        <w:tc>
          <w:tcPr>
            <w:tcW w:type="dxa" w:w="4535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系统可自动生成应收租金、欠费预警、到期提醒和经营报表。</w:t>
            </w:r>
          </w:p>
        </w:tc>
      </w:tr>
      <w:tr>
        <w:tc>
          <w:tcPr>
            <w:tcW w:type="dxa" w:w="1587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服务提效</w:t>
            </w:r>
          </w:p>
        </w:tc>
        <w:tc>
          <w:tcPr>
            <w:tcW w:type="dxa" w:w="34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建立租户服务和物业工单闭环。</w:t>
            </w:r>
          </w:p>
        </w:tc>
        <w:tc>
          <w:tcPr>
            <w:tcW w:type="dxa" w:w="4535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工单提交、派单、处理、反馈、评价可追踪；响应和处理时长可考核。</w:t>
            </w:r>
          </w:p>
        </w:tc>
      </w:tr>
      <w:tr>
        <w:tc>
          <w:tcPr>
            <w:tcW w:type="dxa" w:w="1587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风险可控</w:t>
            </w:r>
          </w:p>
        </w:tc>
        <w:tc>
          <w:tcPr>
            <w:tcW w:type="dxa" w:w="34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建立安全巡检、隐患整改、设备维保和专项风险管理机制。</w:t>
            </w:r>
          </w:p>
        </w:tc>
        <w:tc>
          <w:tcPr>
            <w:tcW w:type="dxa" w:w="4535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巡检计划自动生成；隐患整改闭环率可统计；重点设备建档率100%。</w:t>
            </w:r>
          </w:p>
        </w:tc>
      </w:tr>
      <w:tr>
        <w:tc>
          <w:tcPr>
            <w:tcW w:type="dxa" w:w="1587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数据决策</w:t>
            </w:r>
          </w:p>
        </w:tc>
        <w:tc>
          <w:tcPr>
            <w:tcW w:type="dxa" w:w="34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建立面向管理层的经营驾驶舱。</w:t>
            </w:r>
          </w:p>
        </w:tc>
        <w:tc>
          <w:tcPr>
            <w:tcW w:type="dxa" w:w="4535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出租率、空置率、应收实收、招商转化、工单效率、安全隐患等指标按日/周/月输出。</w:t>
            </w:r>
          </w:p>
        </w:tc>
      </w:tr>
      <w:tr>
        <w:tc>
          <w:tcPr>
            <w:tcW w:type="dxa" w:w="1587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平台可扩展</w:t>
            </w:r>
          </w:p>
        </w:tc>
        <w:tc>
          <w:tcPr>
            <w:tcW w:type="dxa" w:w="34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预留IoT接入、AI助手、展贸服务和SaaS产品化能力。</w:t>
            </w:r>
          </w:p>
        </w:tc>
        <w:tc>
          <w:tcPr>
            <w:tcW w:type="dxa" w:w="4535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采用开放接口和模块化架构，避免设备厂商和软件厂商锁定。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Calibri" w:hAnsi="Calibri" w:eastAsia="Noto Sans CJK SC"/>
          <w:b/>
          <w:color w:val="365F91"/>
          <w:sz w:val="26"/>
        </w:rPr>
        <w:t>2.3 分阶段目标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近期目标：用0—3个月建立基础经营闭环，使园区资产、客户、合同、租金、工单、安全数据可查询、可统计、可追责。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中期目标：用3—12个月逐步接入设备、能耗、门禁、停车、充电桩、展贸中心和企业服务模块，形成园区数字化运营体系。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远期目标：用12—18个月探索AI助手、轻量数字孪生、多园区管理和SaaS产品化能力，把金湖项目沉淀为可复制的数字园区产品样板。</w:t>
      </w:r>
    </w:p>
    <w:p>
      <w:pPr>
        <w:pStyle w:val="Heading2"/>
        <w:spacing w:before="200" w:after="120"/>
      </w:pPr>
      <w:r>
        <w:rPr>
          <w:rFonts w:ascii="Calibri" w:hAnsi="Calibri" w:eastAsia="Noto Sans CJK SC"/>
          <w:b/>
          <w:color w:val="365F91"/>
          <w:sz w:val="26"/>
        </w:rPr>
        <w:t>2.4 系统服务对象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rHeight w:hRule="atLeast"/>
        </w:trPr>
        <w:tc>
          <w:tcPr>
            <w:tcW w:type="dxa" w:w="1701"/>
            <w:vAlign w:val="center"/>
            <w:shd w:fill="1F4E79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7"/>
              </w:rPr>
              <w:t>使用对象</w:t>
            </w:r>
          </w:p>
        </w:tc>
        <w:tc>
          <w:tcPr>
            <w:tcW w:type="dxa" w:w="2948"/>
            <w:vAlign w:val="center"/>
            <w:shd w:fill="1F4E79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7"/>
              </w:rPr>
              <w:t>主要诉求</w:t>
            </w:r>
          </w:p>
        </w:tc>
        <w:tc>
          <w:tcPr>
            <w:tcW w:type="dxa" w:w="5102"/>
            <w:vAlign w:val="center"/>
            <w:shd w:fill="1F4E79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7"/>
              </w:rPr>
              <w:t>系统能力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公司高层</w:t>
            </w:r>
          </w:p>
        </w:tc>
        <w:tc>
          <w:tcPr>
            <w:tcW w:type="dxa" w:w="294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掌握经营结果、风险状态和投资回报。</w:t>
            </w:r>
          </w:p>
        </w:tc>
        <w:tc>
          <w:tcPr>
            <w:tcW w:type="dxa" w:w="51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总裁驾驶舱、经营月报、风险预警、资产收益分析。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园区运营部门</w:t>
            </w:r>
          </w:p>
        </w:tc>
        <w:tc>
          <w:tcPr>
            <w:tcW w:type="dxa" w:w="294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管理房源、客户、招商、合同、服务和活动。</w:t>
            </w:r>
          </w:p>
        </w:tc>
        <w:tc>
          <w:tcPr>
            <w:tcW w:type="dxa" w:w="51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资产房源、招商CRM、企业服务、活动管理、数据分析。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招商团队</w:t>
            </w:r>
          </w:p>
        </w:tc>
        <w:tc>
          <w:tcPr>
            <w:tcW w:type="dxa" w:w="294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提高线索转化和客户跟进效率。</w:t>
            </w:r>
          </w:p>
        </w:tc>
        <w:tc>
          <w:tcPr>
            <w:tcW w:type="dxa" w:w="51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客户漏斗、看房记录、报价管理、签约回款、流失原因分析。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财务部门</w:t>
            </w:r>
          </w:p>
        </w:tc>
        <w:tc>
          <w:tcPr>
            <w:tcW w:type="dxa" w:w="294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准确掌握应收、实收、欠费、发票和押金。</w:t>
            </w:r>
          </w:p>
        </w:tc>
        <w:tc>
          <w:tcPr>
            <w:tcW w:type="dxa" w:w="51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合同租金、应收台账、回款提醒、账龄分析、对账接口。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物业部门</w:t>
            </w:r>
          </w:p>
        </w:tc>
        <w:tc>
          <w:tcPr>
            <w:tcW w:type="dxa" w:w="294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提升报修、巡检、维保、保洁、保安管理效率。</w:t>
            </w:r>
          </w:p>
        </w:tc>
        <w:tc>
          <w:tcPr>
            <w:tcW w:type="dxa" w:w="51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工单中心、巡检任务、设备维保、移动端接单。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安全管理人员</w:t>
            </w:r>
          </w:p>
        </w:tc>
        <w:tc>
          <w:tcPr>
            <w:tcW w:type="dxa" w:w="294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控制消防、施工、用电、设备、危化或锂电池类风险。</w:t>
            </w:r>
          </w:p>
        </w:tc>
        <w:tc>
          <w:tcPr>
            <w:tcW w:type="dxa" w:w="51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安全档案、巡检清单、隐患整改、专项风险台账。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租户企业</w:t>
            </w:r>
          </w:p>
        </w:tc>
        <w:tc>
          <w:tcPr>
            <w:tcW w:type="dxa" w:w="294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便捷办理报修、缴费、申请、预约和服务事项。</w:t>
            </w:r>
          </w:p>
        </w:tc>
        <w:tc>
          <w:tcPr>
            <w:tcW w:type="dxa" w:w="51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租户端、小程序/H5、服务申请、会议室/展厅预约、政策服务。</w:t>
            </w:r>
          </w:p>
        </w:tc>
      </w:tr>
    </w:tbl>
    <w:p>
      <w:pPr>
        <w:spacing w:after="40"/>
      </w:pPr>
    </w:p>
    <w:p>
      <w:pPr>
        <w:pStyle w:val="Heading1"/>
        <w:spacing w:before="280" w:after="160"/>
      </w:pPr>
      <w:r>
        <w:rPr>
          <w:rFonts w:ascii="Calibri" w:hAnsi="Calibri" w:eastAsia="Noto Sans CJK SC"/>
          <w:b/>
          <w:color w:val="1F4E79"/>
          <w:sz w:val="32"/>
        </w:rPr>
        <w:t>第三章 管理方法、建设原则与顶层逻辑</w:t>
      </w:r>
    </w:p>
    <w:p>
      <w:pPr>
        <w:pStyle w:val="Heading2"/>
        <w:spacing w:before="200" w:after="120"/>
      </w:pPr>
      <w:r>
        <w:rPr>
          <w:rFonts w:ascii="Calibri" w:hAnsi="Calibri" w:eastAsia="Noto Sans CJK SC"/>
          <w:b/>
          <w:color w:val="365F91"/>
          <w:sz w:val="26"/>
        </w:rPr>
        <w:t>3.1 管理方法参考</w:t>
      </w:r>
    </w:p>
    <w:p>
      <w:pPr>
        <w:pStyle w:val="BodyTextClean"/>
        <w:spacing w:before="0" w:after="120" w:line="348" w:lineRule="auto"/>
      </w:pPr>
      <w:r>
        <w:rPr>
          <w:rFonts w:ascii="Calibri" w:hAnsi="Calibri" w:eastAsia="Noto Serif CJK SC"/>
          <w:b w:val="0"/>
          <w:sz w:val="21"/>
        </w:rPr>
        <w:t>智慧园区系统不能只按软件功能堆砌，应当吸收资产管理、设施管理、能源管理、信息安全、IT治理和服务管理等成熟方法。对金湖而言，不必一开始追求认证，但应提取其核心管理逻辑：有台账、有流程、有责任人、有数据、有闭环、有复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rHeight w:hRule="atLeast"/>
        </w:trPr>
        <w:tc>
          <w:tcPr>
            <w:tcW w:type="dxa" w:w="1984"/>
            <w:vAlign w:val="center"/>
            <w:shd w:fill="1F4E79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7"/>
              </w:rPr>
              <w:t>参考方法/标准</w:t>
            </w:r>
          </w:p>
        </w:tc>
        <w:tc>
          <w:tcPr>
            <w:tcW w:type="dxa" w:w="3118"/>
            <w:vAlign w:val="center"/>
            <w:shd w:fill="1F4E79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7"/>
              </w:rPr>
              <w:t>核心思想</w:t>
            </w:r>
          </w:p>
        </w:tc>
        <w:tc>
          <w:tcPr>
            <w:tcW w:type="dxa" w:w="5102"/>
            <w:vAlign w:val="center"/>
            <w:shd w:fill="1F4E79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7"/>
              </w:rPr>
              <w:t>在金湖系统中的应用</w:t>
            </w:r>
          </w:p>
        </w:tc>
      </w:tr>
      <w:tr>
        <w:tc>
          <w:tcPr>
            <w:tcW w:type="dxa" w:w="19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ISO 55001 资产管理</w:t>
            </w:r>
          </w:p>
        </w:tc>
        <w:tc>
          <w:tcPr>
            <w:tcW w:type="dxa" w:w="311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围绕资产全生命周期建立、运行、维护和持续改进资产管理体系。</w:t>
            </w:r>
          </w:p>
        </w:tc>
        <w:tc>
          <w:tcPr>
            <w:tcW w:type="dxa" w:w="51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用于房源、设备、公共设施、停车位、充电桩、广告位等可经营资产和运营资产的台账、责任、收益和维保管理。</w:t>
            </w:r>
          </w:p>
        </w:tc>
      </w:tr>
      <w:tr>
        <w:tc>
          <w:tcPr>
            <w:tcW w:type="dxa" w:w="19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ISO 41001 设施管理</w:t>
            </w:r>
          </w:p>
        </w:tc>
        <w:tc>
          <w:tcPr>
            <w:tcW w:type="dxa" w:w="311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设施管理应支持组织目标，满足相关方需求，提升设施服务效率。</w:t>
            </w:r>
          </w:p>
        </w:tc>
        <w:tc>
          <w:tcPr>
            <w:tcW w:type="dxa" w:w="51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用于物业工单、设备维保、公共服务、客户满意度和设施服务绩效管理。</w:t>
            </w:r>
          </w:p>
        </w:tc>
      </w:tr>
      <w:tr>
        <w:tc>
          <w:tcPr>
            <w:tcW w:type="dxa" w:w="19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ISO 50001 能源管理</w:t>
            </w:r>
          </w:p>
        </w:tc>
        <w:tc>
          <w:tcPr>
            <w:tcW w:type="dxa" w:w="311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通过系统方法改善能源绩效、能源效率和能源使用。</w:t>
            </w:r>
          </w:p>
        </w:tc>
        <w:tc>
          <w:tcPr>
            <w:tcW w:type="dxa" w:w="51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用于电表水表、公共能耗、分摊成本、充电桩收益和节能改造分析。</w:t>
            </w:r>
          </w:p>
        </w:tc>
      </w:tr>
      <w:tr>
        <w:tc>
          <w:tcPr>
            <w:tcW w:type="dxa" w:w="19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NIST CSF 2.0 网络安全框架</w:t>
            </w:r>
          </w:p>
        </w:tc>
        <w:tc>
          <w:tcPr>
            <w:tcW w:type="dxa" w:w="311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以治理、识别、保护、检测、响应、恢复等能力管理网络安全风险。</w:t>
            </w:r>
          </w:p>
        </w:tc>
        <w:tc>
          <w:tcPr>
            <w:tcW w:type="dxa" w:w="51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用于权限、日志、备份、数据安全、接口安全、应急响应和系统运维安全。</w:t>
            </w:r>
          </w:p>
        </w:tc>
      </w:tr>
      <w:tr>
        <w:tc>
          <w:tcPr>
            <w:tcW w:type="dxa" w:w="19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COBIT IT治理</w:t>
            </w:r>
          </w:p>
        </w:tc>
        <w:tc>
          <w:tcPr>
            <w:tcW w:type="dxa" w:w="311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把IT目标与企业战略目标、风险和价值交付对齐。</w:t>
            </w:r>
          </w:p>
        </w:tc>
        <w:tc>
          <w:tcPr>
            <w:tcW w:type="dxa" w:w="51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用于明确系统建设的投资价值、流程责任、数据治理、供应商管理和持续改进。</w:t>
            </w:r>
          </w:p>
        </w:tc>
      </w:tr>
      <w:tr>
        <w:tc>
          <w:tcPr>
            <w:tcW w:type="dxa" w:w="19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ITIL 服务管理</w:t>
            </w:r>
          </w:p>
        </w:tc>
        <w:tc>
          <w:tcPr>
            <w:tcW w:type="dxa" w:w="311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通过标准化服务流程提升IT和业务服务交付质量。</w:t>
            </w:r>
          </w:p>
        </w:tc>
        <w:tc>
          <w:tcPr>
            <w:tcW w:type="dxa" w:w="51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用于工单、故障、变更、SLA、用户反馈和运维服务管理。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Calibri" w:hAnsi="Calibri" w:eastAsia="Noto Sans CJK SC"/>
          <w:b/>
          <w:color w:val="365F91"/>
          <w:sz w:val="26"/>
        </w:rPr>
        <w:t>3.2 建设原则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业务优先原则：先解决园区经营和管理问题，再考虑展示效果和高级智能化。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数据先行原则：先统一资产、客户、合同、租金、工单、安全、设备等基础数据，再接入复杂硬件。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分期实施原则：采用MVP方式，先跑通核心闭环，再逐步扩展。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开放接口原则：充电桩、电表、水表、门禁、道闸、视频、消防等设备采购必须明确接口和数据开放要求。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移动优先原则：招商、物业、安全、维修等一线人员必须能在手机端完成核心操作。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安全可控原则：客户资料、合同、财务、视频、门禁和设备数据必须有权限、日志、备份和审计机制。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可复制原则：系统设计应兼顾金湖自用和未来产品化复制，避免只做一次性定制工程。</w:t>
      </w:r>
    </w:p>
    <w:p>
      <w:pPr>
        <w:pStyle w:val="Heading2"/>
        <w:spacing w:before="200" w:after="120"/>
      </w:pPr>
      <w:r>
        <w:rPr>
          <w:rFonts w:ascii="Calibri" w:hAnsi="Calibri" w:eastAsia="Noto Sans CJK SC"/>
          <w:b/>
          <w:color w:val="365F91"/>
          <w:sz w:val="26"/>
        </w:rPr>
        <w:t>3.3 顶层逻辑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fill="EAF2F8"/>
            <w:tcBorders>
              <w:top w:sz="8" w:val="single" w:color="5B9BD5"/>
              <w:left w:sz="8" w:val="single" w:color="5B9BD5"/>
              <w:bottom w:sz="8" w:val="single" w:color="5B9BD5"/>
              <w:right w:sz="8" w:val="single" w:color="5B9BD5"/>
            </w:tcBorders>
          </w:tcPr>
          <w:p>
            <w:pPr>
              <w:spacing w:after="60"/>
            </w:pPr>
            <w:r/>
            <w:r>
              <w:rPr>
                <w:rFonts w:ascii="Calibri" w:hAnsi="Calibri" w:eastAsia="Noto Sans CJK SC"/>
                <w:b/>
                <w:color w:val="1F4E79"/>
                <w:sz w:val="21"/>
              </w:rPr>
              <w:t>顶层逻辑</w:t>
            </w:r>
          </w:p>
          <w:p>
            <w:pPr>
              <w:spacing w:line="312" w:lineRule="auto" w:after="0"/>
            </w:pPr>
            <w:r>
              <w:rPr>
                <w:rFonts w:ascii="Calibri" w:hAnsi="Calibri" w:eastAsia="Noto Serif CJK SC"/>
                <w:sz w:val="20"/>
              </w:rPr>
              <w:t>系统建设应围绕“经营对象—业务流程—数据沉淀—经营分析—管理改进”的闭环展开。凡是不能产生真实管理数据、不能改善业务流程、不能支持经营决策的功能，都不应放在第一阶段优先建设。</w:t>
            </w:r>
          </w:p>
        </w:tc>
      </w:tr>
    </w:tbl>
    <w:p>
      <w:pPr>
        <w:spacing w:after="40"/>
      </w:pPr>
    </w:p>
    <w:p>
      <w:pPr>
        <w:pStyle w:val="BodyTextClean"/>
        <w:spacing w:before="0" w:after="120" w:line="348" w:lineRule="auto"/>
      </w:pPr>
      <w:r>
        <w:rPr>
          <w:rFonts w:ascii="Calibri" w:hAnsi="Calibri" w:eastAsia="Noto Serif CJK SC"/>
          <w:b w:val="0"/>
          <w:sz w:val="21"/>
        </w:rPr>
        <w:t>金湖智慧园区系统的本质，是把园区的经营对象数字化，把业务流程标准化，把管理动作闭环化，把经营指标可视化，把组织责任可追踪化。系统成功的标志，不是界面数量多少，而是一线人员是否愿意用、管理层是否依赖用、经营结果是否能复盘。</w:t>
      </w:r>
    </w:p>
    <w:p>
      <w:pPr>
        <w:pStyle w:val="Heading1"/>
        <w:spacing w:before="280" w:after="160"/>
      </w:pPr>
      <w:r>
        <w:rPr>
          <w:rFonts w:ascii="Calibri" w:hAnsi="Calibri" w:eastAsia="Noto Sans CJK SC"/>
          <w:b/>
          <w:color w:val="1F4E79"/>
          <w:sz w:val="32"/>
        </w:rPr>
        <w:t>第四章 系统总体架构设计</w:t>
      </w:r>
    </w:p>
    <w:p>
      <w:pPr>
        <w:pStyle w:val="Heading2"/>
        <w:spacing w:before="200" w:after="120"/>
      </w:pPr>
      <w:r>
        <w:rPr>
          <w:rFonts w:ascii="Calibri" w:hAnsi="Calibri" w:eastAsia="Noto Sans CJK SC"/>
          <w:b/>
          <w:color w:val="365F91"/>
          <w:sz w:val="26"/>
        </w:rPr>
        <w:t>4.1 总体架构：一套数字底座、四大业务中心、N个应用模块</w:t>
      </w:r>
    </w:p>
    <w:p>
      <w:pPr>
        <w:pStyle w:val="BodyTextClean"/>
        <w:spacing w:before="0" w:after="120" w:line="348" w:lineRule="auto"/>
      </w:pPr>
      <w:r>
        <w:rPr>
          <w:rFonts w:ascii="Calibri" w:hAnsi="Calibri" w:eastAsia="Noto Serif CJK SC"/>
          <w:b w:val="0"/>
          <w:sz w:val="21"/>
        </w:rPr>
        <w:t>建议采用“一套数字底座 + 四大业务中心 + N个应用模块”的总体架构。一套数字底座包括数据中心、物联网接入中心、权限中心、流程中心、消息中心和接口中心；四大业务中心包括资产经营中心、物业安全中心、企业服务中心和经营决策中心；N个应用模块则根据园区阶段性需要逐步建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rHeight w:hRule="atLeast"/>
        </w:trPr>
        <w:tc>
          <w:tcPr>
            <w:tcW w:type="dxa" w:w="1417"/>
            <w:vAlign w:val="center"/>
            <w:shd w:fill="1F4E79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7"/>
              </w:rPr>
              <w:t>架构层级</w:t>
            </w:r>
          </w:p>
        </w:tc>
        <w:tc>
          <w:tcPr>
            <w:tcW w:type="dxa" w:w="4535"/>
            <w:vAlign w:val="center"/>
            <w:shd w:fill="1F4E79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7"/>
              </w:rPr>
              <w:t>主要内容</w:t>
            </w:r>
          </w:p>
        </w:tc>
        <w:tc>
          <w:tcPr>
            <w:tcW w:type="dxa" w:w="3969"/>
            <w:vAlign w:val="center"/>
            <w:shd w:fill="1F4E79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7"/>
              </w:rPr>
              <w:t>对金湖的作用</w:t>
            </w:r>
          </w:p>
        </w:tc>
      </w:tr>
      <w:tr>
        <w:tc>
          <w:tcPr>
            <w:tcW w:type="dxa" w:w="1417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感知层</w:t>
            </w:r>
          </w:p>
        </w:tc>
        <w:tc>
          <w:tcPr>
            <w:tcW w:type="dxa" w:w="4535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摄像头、门禁、道闸、电表、水表、充电桩、消防设备、提升平台摄像头、环境传感器等。</w:t>
            </w:r>
          </w:p>
        </w:tc>
        <w:tc>
          <w:tcPr>
            <w:tcW w:type="dxa" w:w="3969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采集园区运行和设备状态数据。</w:t>
            </w:r>
          </w:p>
        </w:tc>
      </w:tr>
      <w:tr>
        <w:tc>
          <w:tcPr>
            <w:tcW w:type="dxa" w:w="1417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网络层</w:t>
            </w:r>
          </w:p>
        </w:tc>
        <w:tc>
          <w:tcPr>
            <w:tcW w:type="dxa" w:w="4535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园区局域网、无线网络、物联网网关、边缘网关、视频专网、运营商网络。</w:t>
            </w:r>
          </w:p>
        </w:tc>
        <w:tc>
          <w:tcPr>
            <w:tcW w:type="dxa" w:w="3969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保障设备和系统稳定连接。</w:t>
            </w:r>
          </w:p>
        </w:tc>
      </w:tr>
      <w:tr>
        <w:tc>
          <w:tcPr>
            <w:tcW w:type="dxa" w:w="1417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平台层</w:t>
            </w:r>
          </w:p>
        </w:tc>
        <w:tc>
          <w:tcPr>
            <w:tcW w:type="dxa" w:w="4535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数据库、IoT平台、视频平台、流程引擎、权限体系、API接口、消息通知。</w:t>
            </w:r>
          </w:p>
        </w:tc>
        <w:tc>
          <w:tcPr>
            <w:tcW w:type="dxa" w:w="3969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打通数据、流程、权限和设备接口。</w:t>
            </w:r>
          </w:p>
        </w:tc>
      </w:tr>
      <w:tr>
        <w:tc>
          <w:tcPr>
            <w:tcW w:type="dxa" w:w="1417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应用层</w:t>
            </w:r>
          </w:p>
        </w:tc>
        <w:tc>
          <w:tcPr>
            <w:tcW w:type="dxa" w:w="4535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招商、资产、合同、租金、工单、巡检、安全、设备、能耗、企业服务。</w:t>
            </w:r>
          </w:p>
        </w:tc>
        <w:tc>
          <w:tcPr>
            <w:tcW w:type="dxa" w:w="3969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支撑园区日常经营管理。</w:t>
            </w:r>
          </w:p>
        </w:tc>
      </w:tr>
      <w:tr>
        <w:tc>
          <w:tcPr>
            <w:tcW w:type="dxa" w:w="1417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决策层</w:t>
            </w:r>
          </w:p>
        </w:tc>
        <w:tc>
          <w:tcPr>
            <w:tcW w:type="dxa" w:w="4535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总裁驾驶舱、招商分析、资产分析、财务回款、安全风险、能耗成本。</w:t>
            </w:r>
          </w:p>
        </w:tc>
        <w:tc>
          <w:tcPr>
            <w:tcW w:type="dxa" w:w="3969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支撑高层决策、运营复盘和绩效考核。</w:t>
            </w:r>
          </w:p>
        </w:tc>
      </w:tr>
      <w:tr>
        <w:tc>
          <w:tcPr>
            <w:tcW w:type="dxa" w:w="1417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安全层</w:t>
            </w:r>
          </w:p>
        </w:tc>
        <w:tc>
          <w:tcPr>
            <w:tcW w:type="dxa" w:w="4535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身份认证、角色权限、数据权限、操作日志、备份恢复、接口鉴权、漏洞修复。</w:t>
            </w:r>
          </w:p>
        </w:tc>
        <w:tc>
          <w:tcPr>
            <w:tcW w:type="dxa" w:w="3969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保障系统和数据安全。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Calibri" w:hAnsi="Calibri" w:eastAsia="Noto Sans CJK SC"/>
          <w:b/>
          <w:color w:val="365F91"/>
          <w:sz w:val="26"/>
        </w:rPr>
        <w:t>4.2 四大业务中心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rHeight w:hRule="atLeast"/>
        </w:trPr>
        <w:tc>
          <w:tcPr>
            <w:tcW w:type="dxa" w:w="1984"/>
            <w:vAlign w:val="center"/>
            <w:shd w:fill="1F4E79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7"/>
              </w:rPr>
              <w:t>业务中心</w:t>
            </w:r>
          </w:p>
        </w:tc>
        <w:tc>
          <w:tcPr>
            <w:tcW w:type="dxa" w:w="3402"/>
            <w:vAlign w:val="center"/>
            <w:shd w:fill="1F4E79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7"/>
              </w:rPr>
              <w:t>建设目标</w:t>
            </w:r>
          </w:p>
        </w:tc>
        <w:tc>
          <w:tcPr>
            <w:tcW w:type="dxa" w:w="4535"/>
            <w:vAlign w:val="center"/>
            <w:shd w:fill="1F4E79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7"/>
              </w:rPr>
              <w:t>核心模块</w:t>
            </w:r>
          </w:p>
        </w:tc>
      </w:tr>
      <w:tr>
        <w:tc>
          <w:tcPr>
            <w:tcW w:type="dxa" w:w="19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资产经营中心</w:t>
            </w:r>
          </w:p>
        </w:tc>
        <w:tc>
          <w:tcPr>
            <w:tcW w:type="dxa" w:w="34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把空间资源、租赁经营、合同租金和招商转化纳入统一管理。</w:t>
            </w:r>
          </w:p>
        </w:tc>
        <w:tc>
          <w:tcPr>
            <w:tcW w:type="dxa" w:w="4535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资产房源、招商CRM、合同管理、应收租金、租户档案、资产收益分析。</w:t>
            </w:r>
          </w:p>
        </w:tc>
      </w:tr>
      <w:tr>
        <w:tc>
          <w:tcPr>
            <w:tcW w:type="dxa" w:w="19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物业安全中心</w:t>
            </w:r>
          </w:p>
        </w:tc>
        <w:tc>
          <w:tcPr>
            <w:tcW w:type="dxa" w:w="34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把服务工单、安全巡检、隐患整改、设备维保和专项风险纳入闭环。</w:t>
            </w:r>
          </w:p>
        </w:tc>
        <w:tc>
          <w:tcPr>
            <w:tcW w:type="dxa" w:w="4535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工单报修、巡检管理、消防管理、提升平台管理、设备维保、安全档案。</w:t>
            </w:r>
          </w:p>
        </w:tc>
      </w:tr>
      <w:tr>
        <w:tc>
          <w:tcPr>
            <w:tcW w:type="dxa" w:w="19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企业服务中心</w:t>
            </w:r>
          </w:p>
        </w:tc>
        <w:tc>
          <w:tcPr>
            <w:tcW w:type="dxa" w:w="34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把园区企业服务、展贸中心、活动资源和公共配套平台化。</w:t>
            </w:r>
          </w:p>
        </w:tc>
        <w:tc>
          <w:tcPr>
            <w:tcW w:type="dxa" w:w="4535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租户服务端、政策服务、会议室预约、展厅预约、直播间预约、企业活动、产品展示。</w:t>
            </w:r>
          </w:p>
        </w:tc>
      </w:tr>
      <w:tr>
        <w:tc>
          <w:tcPr>
            <w:tcW w:type="dxa" w:w="19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经营决策中心</w:t>
            </w:r>
          </w:p>
        </w:tc>
        <w:tc>
          <w:tcPr>
            <w:tcW w:type="dxa" w:w="34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把园区经营结果、风险状态、服务质量和成本收益形成可视化分析。</w:t>
            </w:r>
          </w:p>
        </w:tc>
        <w:tc>
          <w:tcPr>
            <w:tcW w:type="dxa" w:w="4535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总裁驾驶舱、招商驾驶舱、财务回款、物业安全、能耗分析、经营月报。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Calibri" w:hAnsi="Calibri" w:eastAsia="Noto Sans CJK SC"/>
          <w:b/>
          <w:color w:val="365F91"/>
          <w:sz w:val="26"/>
        </w:rPr>
        <w:t>4.3 系统形态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一个管理后台：面向公司高层、园区运营、招商、财务、物业、安全等内部人员。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一个招商运营端：面向招商主管和运营人员，重点支持线索、跟进、看房、报价、签约和回款。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一个物业安全端：面向物业、维修、保安、安全员，重点支持工单、巡检、维保、隐患整改。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一个租户服务端：面向园区企业和员工，重点支持报修、缴费、申请、预约、政策服务和活动报名。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一个数据驾驶舱：面向管理层，重点展示经营指标、招商指标、财务指标、安全指标和服务指标。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一套物联网接入平台：连接视频、门禁、停车、充电桩、电表水表、消防和其他设备。</w:t>
      </w:r>
    </w:p>
    <w:p>
      <w:pPr>
        <w:pStyle w:val="Heading1"/>
        <w:spacing w:before="280" w:after="160"/>
      </w:pPr>
      <w:r>
        <w:rPr>
          <w:rFonts w:ascii="Calibri" w:hAnsi="Calibri" w:eastAsia="Noto Sans CJK SC"/>
          <w:b/>
          <w:color w:val="1F4E79"/>
          <w:sz w:val="32"/>
        </w:rPr>
        <w:t>第五章 核心业务功能模块建议</w:t>
      </w:r>
    </w:p>
    <w:p>
      <w:pPr>
        <w:pStyle w:val="BodyTextClean"/>
        <w:spacing w:before="0" w:after="120" w:line="348" w:lineRule="auto"/>
      </w:pPr>
      <w:r>
        <w:rPr>
          <w:rFonts w:ascii="Calibri" w:hAnsi="Calibri" w:eastAsia="Noto Serif CJK SC"/>
          <w:b w:val="0"/>
          <w:sz w:val="21"/>
        </w:rPr>
        <w:t>本章是开发单位进行需求拆解和功能报价的核心依据。建议第一阶段优先建设与经营闭环直接相关的模块；涉及硬件接入、AI识别、数字孪生等模块应根据设备条件和预算分期推进。</w:t>
      </w:r>
    </w:p>
    <w:p>
      <w:pPr>
        <w:pStyle w:val="Heading2"/>
        <w:spacing w:before="200" w:after="120"/>
      </w:pPr>
      <w:r>
        <w:rPr>
          <w:rFonts w:ascii="Calibri" w:hAnsi="Calibri" w:eastAsia="Noto Sans CJK SC"/>
          <w:b/>
          <w:color w:val="365F91"/>
          <w:sz w:val="26"/>
        </w:rPr>
        <w:t>5.1 资产与房源管理模块</w:t>
      </w:r>
    </w:p>
    <w:p>
      <w:pPr>
        <w:pStyle w:val="BodyTextClean"/>
        <w:spacing w:before="0" w:after="120" w:line="348" w:lineRule="auto"/>
      </w:pPr>
      <w:r>
        <w:rPr>
          <w:rFonts w:ascii="Calibri" w:hAnsi="Calibri" w:eastAsia="Noto Serif CJK SC"/>
          <w:b w:val="0"/>
          <w:sz w:val="21"/>
        </w:rPr>
        <w:t>建立园区所有可经营资产和空间资源的统一台账，使房源状态、面积、租金、租户、合同和收益情况清晰可查。</w:t>
      </w:r>
    </w:p>
    <w:p>
      <w:pPr>
        <w:pStyle w:val="Heading3"/>
        <w:spacing w:before="160" w:after="80"/>
      </w:pPr>
      <w:r>
        <w:rPr>
          <w:rFonts w:ascii="Calibri" w:hAnsi="Calibri" w:eastAsia="Noto Serif CJK SC"/>
          <w:b/>
          <w:color w:val="000000"/>
          <w:sz w:val="23"/>
        </w:rPr>
        <w:t>主要功能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园区、楼栋、楼层、房间、车位、广告位、展厅、会议室、充电桩点位等资产编码。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房源面积、用途、装修状态、产权状态、招商状态、可租日期、租赁单价、平面图和照片管理。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与租户、合同、租金、工单、设备、安全隐患关联。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二维楼层平面图或房源状态图，按照已出租、可招商、即将到期、欠费、维修中等状态显示。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空置率、出租率、可招商面积、平均租金单价、单位面积收入等分析。</w:t>
      </w:r>
    </w:p>
    <w:p>
      <w:pPr>
        <w:pStyle w:val="Heading3"/>
        <w:spacing w:before="160" w:after="80"/>
      </w:pPr>
      <w:r>
        <w:rPr>
          <w:rFonts w:ascii="Calibri" w:hAnsi="Calibri" w:eastAsia="Noto Serif CJK SC"/>
          <w:b/>
          <w:color w:val="000000"/>
          <w:sz w:val="23"/>
        </w:rPr>
        <w:t>交付与验收重点</w:t>
      </w:r>
    </w:p>
    <w:p>
      <w:pPr>
        <w:pStyle w:val="BodyTextClean"/>
        <w:spacing w:before="0" w:after="120" w:line="348" w:lineRule="auto"/>
      </w:pPr>
      <w:r>
        <w:rPr>
          <w:rFonts w:ascii="Calibri" w:hAnsi="Calibri" w:eastAsia="Noto Serif CJK SC"/>
          <w:b w:val="0"/>
          <w:sz w:val="21"/>
        </w:rPr>
        <w:t>房源数据完整率不低于95%；每个可出租单元具备唯一编码；管理层可按楼栋、楼层、状态和租户快速查询。</w:t>
      </w:r>
    </w:p>
    <w:p>
      <w:pPr>
        <w:pStyle w:val="Heading2"/>
        <w:spacing w:before="200" w:after="120"/>
      </w:pPr>
      <w:r>
        <w:rPr>
          <w:rFonts w:ascii="Calibri" w:hAnsi="Calibri" w:eastAsia="Noto Sans CJK SC"/>
          <w:b/>
          <w:color w:val="365F91"/>
          <w:sz w:val="26"/>
        </w:rPr>
        <w:t>5.2 招商CRM与客户转化模块</w:t>
      </w:r>
    </w:p>
    <w:p>
      <w:pPr>
        <w:pStyle w:val="BodyTextClean"/>
        <w:spacing w:before="0" w:after="120" w:line="348" w:lineRule="auto"/>
      </w:pPr>
      <w:r>
        <w:rPr>
          <w:rFonts w:ascii="Calibri" w:hAnsi="Calibri" w:eastAsia="Noto Serif CJK SC"/>
          <w:b w:val="0"/>
          <w:sz w:val="21"/>
        </w:rPr>
        <w:t>把招商线索、客户需求、看房、报价、谈判、签约和流失原因形成标准化管理，提升团队转化能力。</w:t>
      </w:r>
    </w:p>
    <w:p>
      <w:pPr>
        <w:pStyle w:val="Heading3"/>
        <w:spacing w:before="160" w:after="80"/>
      </w:pPr>
      <w:r>
        <w:rPr>
          <w:rFonts w:ascii="Calibri" w:hAnsi="Calibri" w:eastAsia="Noto Serif CJK SC"/>
          <w:b/>
          <w:color w:val="000000"/>
          <w:sz w:val="23"/>
        </w:rPr>
        <w:t>主要功能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客户线索来源、客户行业、需求面积、预算价格、联系人、跟进人、意向等级管理。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客户跟进记录、看房记录、报价方案、商务谈判、合同阶段、流失原因管理。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招商漏斗：线索录入—初步沟通—实地看房—报价方案—商务谈判—合同审批—签约—回款—入驻。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渠道归属、招商主管、成交周期、签约面积和转化率统计。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可与空置房源进行匹配推荐。</w:t>
      </w:r>
    </w:p>
    <w:p>
      <w:pPr>
        <w:pStyle w:val="Heading3"/>
        <w:spacing w:before="160" w:after="80"/>
      </w:pPr>
      <w:r>
        <w:rPr>
          <w:rFonts w:ascii="Calibri" w:hAnsi="Calibri" w:eastAsia="Noto Serif CJK SC"/>
          <w:b/>
          <w:color w:val="000000"/>
          <w:sz w:val="23"/>
        </w:rPr>
        <w:t>交付与验收重点</w:t>
      </w:r>
    </w:p>
    <w:p>
      <w:pPr>
        <w:pStyle w:val="BodyTextClean"/>
        <w:spacing w:before="0" w:after="120" w:line="348" w:lineRule="auto"/>
      </w:pPr>
      <w:r>
        <w:rPr>
          <w:rFonts w:ascii="Calibri" w:hAnsi="Calibri" w:eastAsia="Noto Serif CJK SC"/>
          <w:b w:val="0"/>
          <w:sz w:val="21"/>
        </w:rPr>
        <w:t>系统可统计新增线索、有效客户、到访率、报价率、签约率、回款率和客户流失原因。</w:t>
      </w:r>
    </w:p>
    <w:p>
      <w:pPr>
        <w:pStyle w:val="Heading2"/>
        <w:spacing w:before="200" w:after="120"/>
      </w:pPr>
      <w:r>
        <w:rPr>
          <w:rFonts w:ascii="Calibri" w:hAnsi="Calibri" w:eastAsia="Noto Sans CJK SC"/>
          <w:b/>
          <w:color w:val="365F91"/>
          <w:sz w:val="26"/>
        </w:rPr>
        <w:t>5.3 合同、租金与应收管理模块</w:t>
      </w:r>
    </w:p>
    <w:p>
      <w:pPr>
        <w:pStyle w:val="BodyTextClean"/>
        <w:spacing w:before="0" w:after="120" w:line="348" w:lineRule="auto"/>
      </w:pPr>
      <w:r>
        <w:rPr>
          <w:rFonts w:ascii="Calibri" w:hAnsi="Calibri" w:eastAsia="Noto Serif CJK SC"/>
          <w:b w:val="0"/>
          <w:sz w:val="21"/>
        </w:rPr>
        <w:t>形成合同、租金、押金、物业费、水电费、发票、欠费和退租结算的财务经营闭环。</w:t>
      </w:r>
    </w:p>
    <w:p>
      <w:pPr>
        <w:pStyle w:val="Heading3"/>
        <w:spacing w:before="160" w:after="80"/>
      </w:pPr>
      <w:r>
        <w:rPr>
          <w:rFonts w:ascii="Calibri" w:hAnsi="Calibri" w:eastAsia="Noto Serif CJK SC"/>
          <w:b/>
          <w:color w:val="000000"/>
          <w:sz w:val="23"/>
        </w:rPr>
        <w:t>主要功能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合同模板、合同审批、电子归档、合同变更、续租、退租、解除管理。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租金、押金、物业费、能耗费、优惠期、免租期、付款周期、滞纳金规则配置。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应收自动生成、收款登记、欠费预警、账龄分析、到期提醒。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发票申请、开票记录、保证金结算、退租结算。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与财务系统或ERP系统预留对账接口。</w:t>
      </w:r>
    </w:p>
    <w:p>
      <w:pPr>
        <w:pStyle w:val="Heading3"/>
        <w:spacing w:before="160" w:after="80"/>
      </w:pPr>
      <w:r>
        <w:rPr>
          <w:rFonts w:ascii="Calibri" w:hAnsi="Calibri" w:eastAsia="Noto Serif CJK SC"/>
          <w:b/>
          <w:color w:val="000000"/>
          <w:sz w:val="23"/>
        </w:rPr>
        <w:t>交付与验收重点</w:t>
      </w:r>
    </w:p>
    <w:p>
      <w:pPr>
        <w:pStyle w:val="BodyTextClean"/>
        <w:spacing w:before="0" w:after="120" w:line="348" w:lineRule="auto"/>
      </w:pPr>
      <w:r>
        <w:rPr>
          <w:rFonts w:ascii="Calibri" w:hAnsi="Calibri" w:eastAsia="Noto Serif CJK SC"/>
          <w:b w:val="0"/>
          <w:sz w:val="21"/>
        </w:rPr>
        <w:t>本月应收、本月实收、累计欠款、回款率、到期合同和欠费客户名单可自动生成。</w:t>
      </w:r>
    </w:p>
    <w:p>
      <w:pPr>
        <w:pStyle w:val="Heading2"/>
        <w:spacing w:before="200" w:after="120"/>
      </w:pPr>
      <w:r>
        <w:rPr>
          <w:rFonts w:ascii="Calibri" w:hAnsi="Calibri" w:eastAsia="Noto Sans CJK SC"/>
          <w:b/>
          <w:color w:val="365F91"/>
          <w:sz w:val="26"/>
        </w:rPr>
        <w:t>5.4 物业工单与客户服务模块</w:t>
      </w:r>
    </w:p>
    <w:p>
      <w:pPr>
        <w:pStyle w:val="BodyTextClean"/>
        <w:spacing w:before="0" w:after="120" w:line="348" w:lineRule="auto"/>
      </w:pPr>
      <w:r>
        <w:rPr>
          <w:rFonts w:ascii="Calibri" w:hAnsi="Calibri" w:eastAsia="Noto Serif CJK SC"/>
          <w:b w:val="0"/>
          <w:sz w:val="21"/>
        </w:rPr>
        <w:t>建立租户服务和物业响应闭环，提高客户满意度和物业管理效率。</w:t>
      </w:r>
    </w:p>
    <w:p>
      <w:pPr>
        <w:pStyle w:val="Heading3"/>
        <w:spacing w:before="160" w:after="80"/>
      </w:pPr>
      <w:r>
        <w:rPr>
          <w:rFonts w:ascii="Calibri" w:hAnsi="Calibri" w:eastAsia="Noto Serif CJK SC"/>
          <w:b/>
          <w:color w:val="000000"/>
          <w:sz w:val="23"/>
        </w:rPr>
        <w:t>主要功能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报修、投诉、咨询、装修申请、用电申请、空调申请、门禁申请、车辆申请、会议室申请等事项。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工单流程：提交—派单—处理—反馈—客户确认—评价—归档。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支持图片、视频、定位、处理记录、费用记录和客户评价。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按责任部门、责任人、工单类型、处理时长和满意度统计。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租户端、小程序/H5端、物业移动端同步使用。</w:t>
      </w:r>
    </w:p>
    <w:p>
      <w:pPr>
        <w:pStyle w:val="Heading3"/>
        <w:spacing w:before="160" w:after="80"/>
      </w:pPr>
      <w:r>
        <w:rPr>
          <w:rFonts w:ascii="Calibri" w:hAnsi="Calibri" w:eastAsia="Noto Serif CJK SC"/>
          <w:b/>
          <w:color w:val="000000"/>
          <w:sz w:val="23"/>
        </w:rPr>
        <w:t>交付与验收重点</w:t>
      </w:r>
    </w:p>
    <w:p>
      <w:pPr>
        <w:pStyle w:val="BodyTextClean"/>
        <w:spacing w:before="0" w:after="120" w:line="348" w:lineRule="auto"/>
      </w:pPr>
      <w:r>
        <w:rPr>
          <w:rFonts w:ascii="Calibri" w:hAnsi="Calibri" w:eastAsia="Noto Serif CJK SC"/>
          <w:b w:val="0"/>
          <w:sz w:val="21"/>
        </w:rPr>
        <w:t>工单全流程可追踪；平均响应时间、处理时间、超时工单和客户满意度可统计。</w:t>
      </w:r>
    </w:p>
    <w:p>
      <w:pPr>
        <w:pStyle w:val="Heading2"/>
        <w:spacing w:before="200" w:after="120"/>
      </w:pPr>
      <w:r>
        <w:rPr>
          <w:rFonts w:ascii="Calibri" w:hAnsi="Calibri" w:eastAsia="Noto Sans CJK SC"/>
          <w:b/>
          <w:color w:val="365F91"/>
          <w:sz w:val="26"/>
        </w:rPr>
        <w:t>5.5 安全生产与消防管理模块</w:t>
      </w:r>
    </w:p>
    <w:p>
      <w:pPr>
        <w:pStyle w:val="BodyTextClean"/>
        <w:spacing w:before="0" w:after="120" w:line="348" w:lineRule="auto"/>
      </w:pPr>
      <w:r>
        <w:rPr>
          <w:rFonts w:ascii="Calibri" w:hAnsi="Calibri" w:eastAsia="Noto Serif CJK SC"/>
          <w:b w:val="0"/>
          <w:sz w:val="21"/>
        </w:rPr>
        <w:t>建立安全档案、巡检计划、隐患整改和专项风险闭环，支撑园区安全管理责任落实。</w:t>
      </w:r>
    </w:p>
    <w:p>
      <w:pPr>
        <w:pStyle w:val="Heading3"/>
        <w:spacing w:before="160" w:after="80"/>
      </w:pPr>
      <w:r>
        <w:rPr>
          <w:rFonts w:ascii="Calibri" w:hAnsi="Calibri" w:eastAsia="Noto Serif CJK SC"/>
          <w:b/>
          <w:color w:val="000000"/>
          <w:sz w:val="23"/>
        </w:rPr>
        <w:t>主要功能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租户企业安全档案、行业风险分类、高风险标签。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消防设施台账、消防通道、配电室、管道井、施工现场、仓储区域巡检。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动火作业、装修施工、临时用电、危化品或锂电池类企业专项监管。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隐患登记、整改通知、整改期限、复查、闭环、超期预警。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消防演练、应急预案、事故处置记录和责任人签字确认。</w:t>
      </w:r>
    </w:p>
    <w:p>
      <w:pPr>
        <w:pStyle w:val="Heading3"/>
        <w:spacing w:before="160" w:after="80"/>
      </w:pPr>
      <w:r>
        <w:rPr>
          <w:rFonts w:ascii="Calibri" w:hAnsi="Calibri" w:eastAsia="Noto Serif CJK SC"/>
          <w:b/>
          <w:color w:val="000000"/>
          <w:sz w:val="23"/>
        </w:rPr>
        <w:t>交付与验收重点</w:t>
      </w:r>
    </w:p>
    <w:p>
      <w:pPr>
        <w:pStyle w:val="BodyTextClean"/>
        <w:spacing w:before="0" w:after="120" w:line="348" w:lineRule="auto"/>
      </w:pPr>
      <w:r>
        <w:rPr>
          <w:rFonts w:ascii="Calibri" w:hAnsi="Calibri" w:eastAsia="Noto Serif CJK SC"/>
          <w:b w:val="0"/>
          <w:sz w:val="21"/>
        </w:rPr>
        <w:t>高风险企业、重点区域和关键设备具备巡检计划；重大隐患形成整改闭环并可追溯。</w:t>
      </w:r>
    </w:p>
    <w:p>
      <w:pPr>
        <w:pStyle w:val="Heading2"/>
        <w:spacing w:before="200" w:after="120"/>
      </w:pPr>
      <w:r>
        <w:rPr>
          <w:rFonts w:ascii="Calibri" w:hAnsi="Calibri" w:eastAsia="Noto Sans CJK SC"/>
          <w:b/>
          <w:color w:val="365F91"/>
          <w:sz w:val="26"/>
        </w:rPr>
        <w:t>5.6 提升平台专项管理模块</w:t>
      </w:r>
    </w:p>
    <w:p>
      <w:pPr>
        <w:pStyle w:val="BodyTextClean"/>
        <w:spacing w:before="0" w:after="120" w:line="348" w:lineRule="auto"/>
      </w:pPr>
      <w:r>
        <w:rPr>
          <w:rFonts w:ascii="Calibri" w:hAnsi="Calibri" w:eastAsia="Noto Serif CJK SC"/>
          <w:b w:val="0"/>
          <w:sz w:val="21"/>
        </w:rPr>
        <w:t>针对非标准电动液压提升平台建立专项风险台账、巡检、视频留痕和违规处置机制。</w:t>
      </w:r>
    </w:p>
    <w:p>
      <w:pPr>
        <w:pStyle w:val="Heading3"/>
        <w:spacing w:before="160" w:after="80"/>
      </w:pPr>
      <w:r>
        <w:rPr>
          <w:rFonts w:ascii="Calibri" w:hAnsi="Calibri" w:eastAsia="Noto Serif CJK SC"/>
          <w:b/>
          <w:color w:val="000000"/>
          <w:sz w:val="23"/>
        </w:rPr>
        <w:t>主要功能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设备编号、所在楼栋、额定载重、责任人、维保单位、摄像头编号和安全标识管理。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禁止载人、禁止超重、操作规程、告知确认和违规记录管理。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巡检任务、异常记录、整改记录、维保记录和使用记录。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对接摄像头，实现重点位置可查看、可追溯。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后续预留视频AI识别、光电感应、安全联锁等扩展接口。</w:t>
      </w:r>
    </w:p>
    <w:p>
      <w:pPr>
        <w:pStyle w:val="Heading3"/>
        <w:spacing w:before="160" w:after="80"/>
      </w:pPr>
      <w:r>
        <w:rPr>
          <w:rFonts w:ascii="Calibri" w:hAnsi="Calibri" w:eastAsia="Noto Serif CJK SC"/>
          <w:b/>
          <w:color w:val="000000"/>
          <w:sz w:val="23"/>
        </w:rPr>
        <w:t>交付与验收重点</w:t>
      </w:r>
    </w:p>
    <w:p>
      <w:pPr>
        <w:pStyle w:val="BodyTextClean"/>
        <w:spacing w:before="0" w:after="120" w:line="348" w:lineRule="auto"/>
      </w:pPr>
      <w:r>
        <w:rPr>
          <w:rFonts w:ascii="Calibri" w:hAnsi="Calibri" w:eastAsia="Noto Serif CJK SC"/>
          <w:b w:val="0"/>
          <w:sz w:val="21"/>
        </w:rPr>
        <w:t>每台提升平台建档；巡检记录和异常整改可查；禁止载人、禁止超重等规则在系统和现场同步固化。</w:t>
      </w:r>
    </w:p>
    <w:p>
      <w:pPr>
        <w:pStyle w:val="Heading2"/>
        <w:spacing w:before="200" w:after="120"/>
      </w:pPr>
      <w:r>
        <w:rPr>
          <w:rFonts w:ascii="Calibri" w:hAnsi="Calibri" w:eastAsia="Noto Sans CJK SC"/>
          <w:b/>
          <w:color w:val="365F91"/>
          <w:sz w:val="26"/>
        </w:rPr>
        <w:t>5.7 设备设施与维保管理模块</w:t>
      </w:r>
    </w:p>
    <w:p>
      <w:pPr>
        <w:pStyle w:val="BodyTextClean"/>
        <w:spacing w:before="0" w:after="120" w:line="348" w:lineRule="auto"/>
      </w:pPr>
      <w:r>
        <w:rPr>
          <w:rFonts w:ascii="Calibri" w:hAnsi="Calibri" w:eastAsia="Noto Serif CJK SC"/>
          <w:b w:val="0"/>
          <w:sz w:val="21"/>
        </w:rPr>
        <w:t>建立设备全生命周期台账和预防性维护机制，降低设备故障和安全风险。</w:t>
      </w:r>
    </w:p>
    <w:p>
      <w:pPr>
        <w:pStyle w:val="Heading3"/>
        <w:spacing w:before="160" w:after="80"/>
      </w:pPr>
      <w:r>
        <w:rPr>
          <w:rFonts w:ascii="Calibri" w:hAnsi="Calibri" w:eastAsia="Noto Serif CJK SC"/>
          <w:b/>
          <w:color w:val="000000"/>
          <w:sz w:val="23"/>
        </w:rPr>
        <w:t>主要功能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电梯、中央空调、配电柜、消防泵、监控、门禁、道闸、提升平台、充电桩、水泵、照明、会议设备等台账。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设备编号、型号、位置、采购时间、质保期限、维保单位、维保合同、责任人管理。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巡检周期、维保计划、故障记录、维修费用、备件记录。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维保到期提醒、故障统计、设备在线率和成本分析。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形成园区版CMMS/EAM设备设施管理能力。</w:t>
      </w:r>
    </w:p>
    <w:p>
      <w:pPr>
        <w:pStyle w:val="Heading3"/>
        <w:spacing w:before="160" w:after="80"/>
      </w:pPr>
      <w:r>
        <w:rPr>
          <w:rFonts w:ascii="Calibri" w:hAnsi="Calibri" w:eastAsia="Noto Serif CJK SC"/>
          <w:b/>
          <w:color w:val="000000"/>
          <w:sz w:val="23"/>
        </w:rPr>
        <w:t>交付与验收重点</w:t>
      </w:r>
    </w:p>
    <w:p>
      <w:pPr>
        <w:pStyle w:val="BodyTextClean"/>
        <w:spacing w:before="0" w:after="120" w:line="348" w:lineRule="auto"/>
      </w:pPr>
      <w:r>
        <w:rPr>
          <w:rFonts w:ascii="Calibri" w:hAnsi="Calibri" w:eastAsia="Noto Serif CJK SC"/>
          <w:b w:val="0"/>
          <w:sz w:val="21"/>
        </w:rPr>
        <w:t>重点设备建档率100%；维保任务可自动生成；故障和维修费用可统计。</w:t>
      </w:r>
    </w:p>
    <w:p>
      <w:pPr>
        <w:pStyle w:val="Heading2"/>
        <w:spacing w:before="200" w:after="120"/>
      </w:pPr>
      <w:r>
        <w:rPr>
          <w:rFonts w:ascii="Calibri" w:hAnsi="Calibri" w:eastAsia="Noto Sans CJK SC"/>
          <w:b/>
          <w:color w:val="365F91"/>
          <w:sz w:val="26"/>
        </w:rPr>
        <w:t>5.8 能耗管理与费用分摊模块</w:t>
      </w:r>
    </w:p>
    <w:p>
      <w:pPr>
        <w:pStyle w:val="BodyTextClean"/>
        <w:spacing w:before="0" w:after="120" w:line="348" w:lineRule="auto"/>
      </w:pPr>
      <w:r>
        <w:rPr>
          <w:rFonts w:ascii="Calibri" w:hAnsi="Calibri" w:eastAsia="Noto Serif CJK SC"/>
          <w:b w:val="0"/>
          <w:sz w:val="21"/>
        </w:rPr>
        <w:t>实现水电能耗计量、公共能耗分摊、异常用能预警和节能分析。</w:t>
      </w:r>
    </w:p>
    <w:p>
      <w:pPr>
        <w:pStyle w:val="Heading3"/>
        <w:spacing w:before="160" w:after="80"/>
      </w:pPr>
      <w:r>
        <w:rPr>
          <w:rFonts w:ascii="Calibri" w:hAnsi="Calibri" w:eastAsia="Noto Serif CJK SC"/>
          <w:b/>
          <w:color w:val="000000"/>
          <w:sz w:val="23"/>
        </w:rPr>
        <w:t>主要功能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电表、水表、公共区域能耗、租户分表、充电桩能耗、中央空调能耗管理。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峰谷电价、用电曲线、异常用电、超阈值预警。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公共能耗成本核算和分摊规则管理。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按楼栋、租户、设备、月份统计能耗。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预留绿色低碳、碳排测算和节能改造分析能力。</w:t>
      </w:r>
    </w:p>
    <w:p>
      <w:pPr>
        <w:pStyle w:val="Heading3"/>
        <w:spacing w:before="160" w:after="80"/>
      </w:pPr>
      <w:r>
        <w:rPr>
          <w:rFonts w:ascii="Calibri" w:hAnsi="Calibri" w:eastAsia="Noto Serif CJK SC"/>
          <w:b/>
          <w:color w:val="000000"/>
          <w:sz w:val="23"/>
        </w:rPr>
        <w:t>交付与验收重点</w:t>
      </w:r>
    </w:p>
    <w:p>
      <w:pPr>
        <w:pStyle w:val="BodyTextClean"/>
        <w:spacing w:before="0" w:after="120" w:line="348" w:lineRule="auto"/>
      </w:pPr>
      <w:r>
        <w:rPr>
          <w:rFonts w:ascii="Calibri" w:hAnsi="Calibri" w:eastAsia="Noto Serif CJK SC"/>
          <w:b w:val="0"/>
          <w:sz w:val="21"/>
        </w:rPr>
        <w:t>系统可回答楼栋能耗、租户异常用电、公共能耗成本、充电桩毛利和单位面积能耗等问题。</w:t>
      </w:r>
    </w:p>
    <w:p>
      <w:pPr>
        <w:pStyle w:val="Heading2"/>
        <w:spacing w:before="200" w:after="120"/>
      </w:pPr>
      <w:r>
        <w:rPr>
          <w:rFonts w:ascii="Calibri" w:hAnsi="Calibri" w:eastAsia="Noto Sans CJK SC"/>
          <w:b/>
          <w:color w:val="365F91"/>
          <w:sz w:val="26"/>
        </w:rPr>
        <w:t>5.9 充电桩运营管理模块</w:t>
      </w:r>
    </w:p>
    <w:p>
      <w:pPr>
        <w:pStyle w:val="BodyTextClean"/>
        <w:spacing w:before="0" w:after="120" w:line="348" w:lineRule="auto"/>
      </w:pPr>
      <w:r>
        <w:rPr>
          <w:rFonts w:ascii="Calibri" w:hAnsi="Calibri" w:eastAsia="Noto Serif CJK SC"/>
          <w:b w:val="0"/>
          <w:sz w:val="21"/>
        </w:rPr>
        <w:t>将充电桩作为园区经营资源纳入统一运营管理，避免形成独立信息孤岛。</w:t>
      </w:r>
    </w:p>
    <w:p>
      <w:pPr>
        <w:pStyle w:val="Heading3"/>
        <w:spacing w:before="160" w:after="80"/>
      </w:pPr>
      <w:r>
        <w:rPr>
          <w:rFonts w:ascii="Calibri" w:hAnsi="Calibri" w:eastAsia="Noto Serif CJK SC"/>
          <w:b/>
          <w:color w:val="000000"/>
          <w:sz w:val="23"/>
        </w:rPr>
        <w:t>主要功能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设备编号、车位编号、运营状态、充电订单、用户、充电电量、充电金额和支付记录。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故障报警、远程启停、分时电价、收益统计和运维记录。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对接充电桩厂家平台，要求订单数据、设备状态和故障信息回传。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与租户账户、停车系统、财务收款和能耗成本核算关联。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支持后续统一会员体系和园区服务端集成。</w:t>
      </w:r>
    </w:p>
    <w:p>
      <w:pPr>
        <w:pStyle w:val="Heading3"/>
        <w:spacing w:before="160" w:after="80"/>
      </w:pPr>
      <w:r>
        <w:rPr>
          <w:rFonts w:ascii="Calibri" w:hAnsi="Calibri" w:eastAsia="Noto Serif CJK SC"/>
          <w:b/>
          <w:color w:val="000000"/>
          <w:sz w:val="23"/>
        </w:rPr>
        <w:t>交付与验收重点</w:t>
      </w:r>
    </w:p>
    <w:p>
      <w:pPr>
        <w:pStyle w:val="BodyTextClean"/>
        <w:spacing w:before="0" w:after="120" w:line="348" w:lineRule="auto"/>
      </w:pPr>
      <w:r>
        <w:rPr>
          <w:rFonts w:ascii="Calibri" w:hAnsi="Calibri" w:eastAsia="Noto Serif CJK SC"/>
          <w:b w:val="0"/>
          <w:sz w:val="21"/>
        </w:rPr>
        <w:t>充电订单、收入、电量、故障和运维记录可在园区系统统一查询。</w:t>
      </w:r>
    </w:p>
    <w:p>
      <w:pPr>
        <w:pStyle w:val="Heading2"/>
        <w:spacing w:before="200" w:after="120"/>
      </w:pPr>
      <w:r>
        <w:rPr>
          <w:rFonts w:ascii="Calibri" w:hAnsi="Calibri" w:eastAsia="Noto Sans CJK SC"/>
          <w:b/>
          <w:color w:val="365F91"/>
          <w:sz w:val="26"/>
        </w:rPr>
        <w:t>5.10 停车、访客、门禁与人员管理模块</w:t>
      </w:r>
    </w:p>
    <w:p>
      <w:pPr>
        <w:pStyle w:val="BodyTextClean"/>
        <w:spacing w:before="0" w:after="120" w:line="348" w:lineRule="auto"/>
      </w:pPr>
      <w:r>
        <w:rPr>
          <w:rFonts w:ascii="Calibri" w:hAnsi="Calibri" w:eastAsia="Noto Serif CJK SC"/>
          <w:b w:val="0"/>
          <w:sz w:val="21"/>
        </w:rPr>
        <w:t>统一园区车辆、访客、门禁和重点区域权限管理，提升秩序和安全管控。</w:t>
      </w:r>
    </w:p>
    <w:p>
      <w:pPr>
        <w:pStyle w:val="Heading3"/>
        <w:spacing w:before="160" w:after="80"/>
      </w:pPr>
      <w:r>
        <w:rPr>
          <w:rFonts w:ascii="Calibri" w:hAnsi="Calibri" w:eastAsia="Noto Serif CJK SC"/>
          <w:b/>
          <w:color w:val="000000"/>
          <w:sz w:val="23"/>
        </w:rPr>
        <w:t>主要功能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租户车辆白名单、临时车、访客预约、停车收费、车辆通行记录。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门禁授权、人员通行记录、重点区域权限、施工人员临时权限。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外卖、快递、临时访客登记和异常通行预警。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对接道闸、门禁、停车收费系统。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后续可扩展人脸识别、无感通行和AI安防。</w:t>
      </w:r>
    </w:p>
    <w:p>
      <w:pPr>
        <w:pStyle w:val="Heading3"/>
        <w:spacing w:before="160" w:after="80"/>
      </w:pPr>
      <w:r>
        <w:rPr>
          <w:rFonts w:ascii="Calibri" w:hAnsi="Calibri" w:eastAsia="Noto Serif CJK SC"/>
          <w:b/>
          <w:color w:val="000000"/>
          <w:sz w:val="23"/>
        </w:rPr>
        <w:t>交付与验收重点</w:t>
      </w:r>
    </w:p>
    <w:p>
      <w:pPr>
        <w:pStyle w:val="BodyTextClean"/>
        <w:spacing w:before="0" w:after="120" w:line="348" w:lineRule="auto"/>
      </w:pPr>
      <w:r>
        <w:rPr>
          <w:rFonts w:ascii="Calibri" w:hAnsi="Calibri" w:eastAsia="Noto Serif CJK SC"/>
          <w:b w:val="0"/>
          <w:sz w:val="21"/>
        </w:rPr>
        <w:t>车辆白名单、访客登记、门禁权限和通行记录可查询，重点区域权限可控制。</w:t>
      </w:r>
    </w:p>
    <w:p>
      <w:pPr>
        <w:pStyle w:val="Heading2"/>
        <w:spacing w:before="200" w:after="120"/>
      </w:pPr>
      <w:r>
        <w:rPr>
          <w:rFonts w:ascii="Calibri" w:hAnsi="Calibri" w:eastAsia="Noto Sans CJK SC"/>
          <w:b/>
          <w:color w:val="365F91"/>
          <w:sz w:val="26"/>
        </w:rPr>
        <w:t>5.11 企业服务模块</w:t>
      </w:r>
    </w:p>
    <w:p>
      <w:pPr>
        <w:pStyle w:val="BodyTextClean"/>
        <w:spacing w:before="0" w:after="120" w:line="348" w:lineRule="auto"/>
      </w:pPr>
      <w:r>
        <w:rPr>
          <w:rFonts w:ascii="Calibri" w:hAnsi="Calibri" w:eastAsia="Noto Serif CJK SC"/>
          <w:b w:val="0"/>
          <w:sz w:val="21"/>
        </w:rPr>
        <w:t>将园区服务从被动物业服务升级为企业服务平台，增强租户黏性和招商竞争力。</w:t>
      </w:r>
    </w:p>
    <w:p>
      <w:pPr>
        <w:pStyle w:val="Heading3"/>
        <w:spacing w:before="160" w:after="80"/>
      </w:pPr>
      <w:r>
        <w:rPr>
          <w:rFonts w:ascii="Calibri" w:hAnsi="Calibri" w:eastAsia="Noto Serif CJK SC"/>
          <w:b/>
          <w:color w:val="000000"/>
          <w:sz w:val="23"/>
        </w:rPr>
        <w:t>主要功能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政策通知、项目申报、招聘服务、会议室预约、法律财税、融资服务、工商注册、装修服务。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企业服务事项清单、在线申请、办理进度、服务评价。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园区活动报名、企业资料维护、企业画像和客户分层。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与招商、租户、服务资源、展贸中心数据关联。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形成园区“产业服务能力”的数据沉淀。</w:t>
      </w:r>
    </w:p>
    <w:p>
      <w:pPr>
        <w:pStyle w:val="Heading3"/>
        <w:spacing w:before="160" w:after="80"/>
      </w:pPr>
      <w:r>
        <w:rPr>
          <w:rFonts w:ascii="Calibri" w:hAnsi="Calibri" w:eastAsia="Noto Serif CJK SC"/>
          <w:b/>
          <w:color w:val="000000"/>
          <w:sz w:val="23"/>
        </w:rPr>
        <w:t>交付与验收重点</w:t>
      </w:r>
    </w:p>
    <w:p>
      <w:pPr>
        <w:pStyle w:val="BodyTextClean"/>
        <w:spacing w:before="0" w:after="120" w:line="348" w:lineRule="auto"/>
      </w:pPr>
      <w:r>
        <w:rPr>
          <w:rFonts w:ascii="Calibri" w:hAnsi="Calibri" w:eastAsia="Noto Serif CJK SC"/>
          <w:b w:val="0"/>
          <w:sz w:val="21"/>
        </w:rPr>
        <w:t>租户可在线提交常用服务申请；企业服务事项可统计、可评价、可复盘。</w:t>
      </w:r>
    </w:p>
    <w:p>
      <w:pPr>
        <w:pStyle w:val="Heading2"/>
        <w:spacing w:before="200" w:after="120"/>
      </w:pPr>
      <w:r>
        <w:rPr>
          <w:rFonts w:ascii="Calibri" w:hAnsi="Calibri" w:eastAsia="Noto Sans CJK SC"/>
          <w:b/>
          <w:color w:val="365F91"/>
          <w:sz w:val="26"/>
        </w:rPr>
        <w:t>5.12 展贸中心与数字贸易服务模块</w:t>
      </w:r>
    </w:p>
    <w:p>
      <w:pPr>
        <w:pStyle w:val="BodyTextClean"/>
        <w:spacing w:before="0" w:after="120" w:line="348" w:lineRule="auto"/>
      </w:pPr>
      <w:r>
        <w:rPr>
          <w:rFonts w:ascii="Calibri" w:hAnsi="Calibri" w:eastAsia="Noto Serif CJK SC"/>
          <w:b w:val="0"/>
          <w:sz w:val="21"/>
        </w:rPr>
        <w:t>围绕展贸中心、产品展示、客户接待、直播电商和招商活动建立运营模块。</w:t>
      </w:r>
    </w:p>
    <w:p>
      <w:pPr>
        <w:pStyle w:val="Heading3"/>
        <w:spacing w:before="160" w:after="80"/>
      </w:pPr>
      <w:r>
        <w:rPr>
          <w:rFonts w:ascii="Calibri" w:hAnsi="Calibri" w:eastAsia="Noto Serif CJK SC"/>
          <w:b/>
          <w:color w:val="000000"/>
          <w:sz w:val="23"/>
        </w:rPr>
        <w:t>主要功能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展位、展厅、会议室、直播间预约和排期管理。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企业产品展示、样品管理、客户接待记录、活动报名和签到。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招商活动管理、客户资源沉淀、活动效果复盘。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直播电商服务、数字贸易服务、外部客户对接记录。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与招商CRM和企业服务中心联动。</w:t>
      </w:r>
    </w:p>
    <w:p>
      <w:pPr>
        <w:pStyle w:val="Heading3"/>
        <w:spacing w:before="160" w:after="80"/>
      </w:pPr>
      <w:r>
        <w:rPr>
          <w:rFonts w:ascii="Calibri" w:hAnsi="Calibri" w:eastAsia="Noto Serif CJK SC"/>
          <w:b/>
          <w:color w:val="000000"/>
          <w:sz w:val="23"/>
        </w:rPr>
        <w:t>交付与验收重点</w:t>
      </w:r>
    </w:p>
    <w:p>
      <w:pPr>
        <w:pStyle w:val="BodyTextClean"/>
        <w:spacing w:before="0" w:after="120" w:line="348" w:lineRule="auto"/>
      </w:pPr>
      <w:r>
        <w:rPr>
          <w:rFonts w:ascii="Calibri" w:hAnsi="Calibri" w:eastAsia="Noto Serif CJK SC"/>
          <w:b w:val="0"/>
          <w:sz w:val="21"/>
        </w:rPr>
        <w:t>展贸资源可预约、活动可复盘、客户资源不再沉淀在个人手中。</w:t>
      </w:r>
    </w:p>
    <w:p>
      <w:pPr>
        <w:pStyle w:val="Heading2"/>
        <w:spacing w:before="200" w:after="120"/>
      </w:pPr>
      <w:r>
        <w:rPr>
          <w:rFonts w:ascii="Calibri" w:hAnsi="Calibri" w:eastAsia="Noto Sans CJK SC"/>
          <w:b/>
          <w:color w:val="365F91"/>
          <w:sz w:val="26"/>
        </w:rPr>
        <w:t>5.13 经营驾驶舱与数据分析模块</w:t>
      </w:r>
    </w:p>
    <w:p>
      <w:pPr>
        <w:pStyle w:val="BodyTextClean"/>
        <w:spacing w:before="0" w:after="120" w:line="348" w:lineRule="auto"/>
      </w:pPr>
      <w:r>
        <w:rPr>
          <w:rFonts w:ascii="Calibri" w:hAnsi="Calibri" w:eastAsia="Noto Serif CJK SC"/>
          <w:b w:val="0"/>
          <w:sz w:val="21"/>
        </w:rPr>
        <w:t>为管理层提供园区经营、招商、财务、物业、安全、能耗和设备状态的统一视图。</w:t>
      </w:r>
    </w:p>
    <w:p>
      <w:pPr>
        <w:pStyle w:val="Heading3"/>
        <w:spacing w:before="160" w:after="80"/>
      </w:pPr>
      <w:r>
        <w:rPr>
          <w:rFonts w:ascii="Calibri" w:hAnsi="Calibri" w:eastAsia="Noto Serif CJK SC"/>
          <w:b/>
          <w:color w:val="000000"/>
          <w:sz w:val="23"/>
        </w:rPr>
        <w:t>主要功能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总裁驾驶舱、招商驾驶舱、资产驾驶舱、财务回款驾驶舱、物业安全驾驶舱。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出租率、空置率、应收、实收、欠费、招商转化、工单效率、安全隐患、能耗成本等指标。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日报、周报、月报、异常预警和趋势分析。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支持按楼栋、租户、部门、时间维度下钻。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为绩效考核和管理复盘提供数据基础。</w:t>
      </w:r>
    </w:p>
    <w:p>
      <w:pPr>
        <w:pStyle w:val="Heading3"/>
        <w:spacing w:before="160" w:after="80"/>
      </w:pPr>
      <w:r>
        <w:rPr>
          <w:rFonts w:ascii="Calibri" w:hAnsi="Calibri" w:eastAsia="Noto Serif CJK SC"/>
          <w:b/>
          <w:color w:val="000000"/>
          <w:sz w:val="23"/>
        </w:rPr>
        <w:t>交付与验收重点</w:t>
      </w:r>
    </w:p>
    <w:p>
      <w:pPr>
        <w:pStyle w:val="BodyTextClean"/>
        <w:spacing w:before="0" w:after="120" w:line="348" w:lineRule="auto"/>
      </w:pPr>
      <w:r>
        <w:rPr>
          <w:rFonts w:ascii="Calibri" w:hAnsi="Calibri" w:eastAsia="Noto Serif CJK SC"/>
          <w:b w:val="0"/>
          <w:sz w:val="21"/>
        </w:rPr>
        <w:t>管理层可实时掌握园区经营和风险状态，关键指标来源清晰、可追溯。</w:t>
      </w:r>
    </w:p>
    <w:p>
      <w:pPr>
        <w:pStyle w:val="Heading2"/>
        <w:spacing w:before="200" w:after="120"/>
      </w:pPr>
      <w:r>
        <w:rPr>
          <w:rFonts w:ascii="Calibri" w:hAnsi="Calibri" w:eastAsia="Noto Sans CJK SC"/>
          <w:b/>
          <w:color w:val="365F91"/>
          <w:sz w:val="26"/>
        </w:rPr>
        <w:t>5.14 AI助手与轻量数字孪生模块</w:t>
      </w:r>
    </w:p>
    <w:p>
      <w:pPr>
        <w:pStyle w:val="BodyTextClean"/>
        <w:spacing w:before="0" w:after="120" w:line="348" w:lineRule="auto"/>
      </w:pPr>
      <w:r>
        <w:rPr>
          <w:rFonts w:ascii="Calibri" w:hAnsi="Calibri" w:eastAsia="Noto Serif CJK SC"/>
          <w:b w:val="0"/>
          <w:sz w:val="21"/>
        </w:rPr>
        <w:t>在基础数据完整后，逐步引入AI问答、经营分析、报告生成和轻量可视化能力。</w:t>
      </w:r>
    </w:p>
    <w:p>
      <w:pPr>
        <w:pStyle w:val="Heading3"/>
        <w:spacing w:before="160" w:after="80"/>
      </w:pPr>
      <w:r>
        <w:rPr>
          <w:rFonts w:ascii="Calibri" w:hAnsi="Calibri" w:eastAsia="Noto Serif CJK SC"/>
          <w:b/>
          <w:color w:val="000000"/>
          <w:sz w:val="23"/>
        </w:rPr>
        <w:t>主要功能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AI经营助手：查询空置、欠费、到期、工单、安全隐患、巡检情况。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AI月报：自动生成招商、经营、物业、安全、能耗月报初稿。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AI工单分派：根据工单类型、位置和责任人自动推荐派单。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轻量数字孪生：以二维/三维形式展示房源、设备、能耗、安防和人车状态。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视频AI识别：后续可用于提升平台违规载人、消防通道占用等专项场景。</w:t>
      </w:r>
    </w:p>
    <w:p>
      <w:pPr>
        <w:pStyle w:val="Heading3"/>
        <w:spacing w:before="160" w:after="80"/>
      </w:pPr>
      <w:r>
        <w:rPr>
          <w:rFonts w:ascii="Calibri" w:hAnsi="Calibri" w:eastAsia="Noto Serif CJK SC"/>
          <w:b/>
          <w:color w:val="000000"/>
          <w:sz w:val="23"/>
        </w:rPr>
        <w:t>交付与验收重点</w:t>
      </w:r>
    </w:p>
    <w:p>
      <w:pPr>
        <w:pStyle w:val="BodyTextClean"/>
        <w:spacing w:before="0" w:after="120" w:line="348" w:lineRule="auto"/>
      </w:pPr>
      <w:r>
        <w:rPr>
          <w:rFonts w:ascii="Calibri" w:hAnsi="Calibri" w:eastAsia="Noto Serif CJK SC"/>
          <w:b w:val="0"/>
          <w:sz w:val="21"/>
        </w:rPr>
        <w:t>第四阶段实施；前提是基础业务数据稳定，设备接口和权限安全体系完善。</w:t>
      </w:r>
    </w:p>
    <w:p>
      <w:pPr>
        <w:pStyle w:val="Heading1"/>
        <w:spacing w:before="280" w:after="160"/>
      </w:pPr>
      <w:r>
        <w:rPr>
          <w:rFonts w:ascii="Calibri" w:hAnsi="Calibri" w:eastAsia="Noto Sans CJK SC"/>
          <w:b/>
          <w:color w:val="1F4E79"/>
          <w:sz w:val="32"/>
        </w:rPr>
        <w:t>第六章 数据体系与数据治理方案</w:t>
      </w:r>
    </w:p>
    <w:p>
      <w:pPr>
        <w:pStyle w:val="Heading2"/>
        <w:spacing w:before="200" w:after="120"/>
      </w:pPr>
      <w:r>
        <w:rPr>
          <w:rFonts w:ascii="Calibri" w:hAnsi="Calibri" w:eastAsia="Noto Sans CJK SC"/>
          <w:b/>
          <w:color w:val="365F91"/>
          <w:sz w:val="26"/>
        </w:rPr>
        <w:t>6.1 数据体系总体要求</w:t>
      </w:r>
    </w:p>
    <w:p>
      <w:pPr>
        <w:pStyle w:val="BodyTextClean"/>
        <w:spacing w:before="0" w:after="120" w:line="348" w:lineRule="auto"/>
      </w:pPr>
      <w:r>
        <w:rPr>
          <w:rFonts w:ascii="Calibri" w:hAnsi="Calibri" w:eastAsia="Noto Serif CJK SC"/>
          <w:b w:val="0"/>
          <w:sz w:val="21"/>
        </w:rPr>
        <w:t>智慧园区系统的成败，关键不在界面数量，而在数据是否准确、完整、持续更新。建议金湖首先建立统一的数据标准和编码规则，将空间资产、客户企业、合同租金、财务应收、设备设施、安全风险、服务工单、物联网数据和经营分析数据纳入统一治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rHeight w:hRule="atLeast"/>
        </w:trPr>
        <w:tc>
          <w:tcPr>
            <w:tcW w:type="dxa" w:w="1814"/>
            <w:vAlign w:val="center"/>
            <w:shd w:fill="1F4E79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7"/>
              </w:rPr>
              <w:t>数据类别</w:t>
            </w:r>
          </w:p>
        </w:tc>
        <w:tc>
          <w:tcPr>
            <w:tcW w:type="dxa" w:w="4082"/>
            <w:vAlign w:val="center"/>
            <w:shd w:fill="1F4E79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7"/>
              </w:rPr>
              <w:t>主要内容</w:t>
            </w:r>
          </w:p>
        </w:tc>
        <w:tc>
          <w:tcPr>
            <w:tcW w:type="dxa" w:w="3969"/>
            <w:vAlign w:val="center"/>
            <w:shd w:fill="1F4E79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7"/>
              </w:rPr>
              <w:t>应用场景</w:t>
            </w:r>
          </w:p>
        </w:tc>
      </w:tr>
      <w:tr>
        <w:tc>
          <w:tcPr>
            <w:tcW w:type="dxa" w:w="181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空间资产数据</w:t>
            </w:r>
          </w:p>
        </w:tc>
        <w:tc>
          <w:tcPr>
            <w:tcW w:type="dxa" w:w="408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园区、楼栋、楼层、房间、面积、用途、状态、平面图、照片。</w:t>
            </w:r>
          </w:p>
        </w:tc>
        <w:tc>
          <w:tcPr>
            <w:tcW w:type="dxa" w:w="3969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房源管理、招商匹配、出租率、资产收益分析。</w:t>
            </w:r>
          </w:p>
        </w:tc>
      </w:tr>
      <w:tr>
        <w:tc>
          <w:tcPr>
            <w:tcW w:type="dxa" w:w="181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客户企业数据</w:t>
            </w:r>
          </w:p>
        </w:tc>
        <w:tc>
          <w:tcPr>
            <w:tcW w:type="dxa" w:w="408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企业名称、行业、法人、联系人、经营范围、风险等级、入驻时间。</w:t>
            </w:r>
          </w:p>
        </w:tc>
        <w:tc>
          <w:tcPr>
            <w:tcW w:type="dxa" w:w="3969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招商CRM、租户档案、企业服务、安全分类。</w:t>
            </w:r>
          </w:p>
        </w:tc>
      </w:tr>
      <w:tr>
        <w:tc>
          <w:tcPr>
            <w:tcW w:type="dxa" w:w="181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合同数据</w:t>
            </w:r>
          </w:p>
        </w:tc>
        <w:tc>
          <w:tcPr>
            <w:tcW w:type="dxa" w:w="408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合同编号、租赁面积、租期、租金、押金、付款周期、优惠期、到期时间。</w:t>
            </w:r>
          </w:p>
        </w:tc>
        <w:tc>
          <w:tcPr>
            <w:tcW w:type="dxa" w:w="3969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合同管理、租金应收、到期提醒、续租退租。</w:t>
            </w:r>
          </w:p>
        </w:tc>
      </w:tr>
      <w:tr>
        <w:tc>
          <w:tcPr>
            <w:tcW w:type="dxa" w:w="181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财务应收数据</w:t>
            </w:r>
          </w:p>
        </w:tc>
        <w:tc>
          <w:tcPr>
            <w:tcW w:type="dxa" w:w="408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应收、实收、欠款、账龄、发票、保证金、物业费、水电费。</w:t>
            </w:r>
          </w:p>
        </w:tc>
        <w:tc>
          <w:tcPr>
            <w:tcW w:type="dxa" w:w="3969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回款分析、欠费预警、财务对账。</w:t>
            </w:r>
          </w:p>
        </w:tc>
      </w:tr>
      <w:tr>
        <w:tc>
          <w:tcPr>
            <w:tcW w:type="dxa" w:w="181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设备设施数据</w:t>
            </w:r>
          </w:p>
        </w:tc>
        <w:tc>
          <w:tcPr>
            <w:tcW w:type="dxa" w:w="408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设备编号、类型、位置、状态、维保周期、维保记录、故障记录。</w:t>
            </w:r>
          </w:p>
        </w:tc>
        <w:tc>
          <w:tcPr>
            <w:tcW w:type="dxa" w:w="3969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设备维保、故障分析、安全管理。</w:t>
            </w:r>
          </w:p>
        </w:tc>
      </w:tr>
      <w:tr>
        <w:tc>
          <w:tcPr>
            <w:tcW w:type="dxa" w:w="181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安全风险数据</w:t>
            </w:r>
          </w:p>
        </w:tc>
        <w:tc>
          <w:tcPr>
            <w:tcW w:type="dxa" w:w="408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巡检项、隐患、整改人、整改期限、整改结果、复查记录。</w:t>
            </w:r>
          </w:p>
        </w:tc>
        <w:tc>
          <w:tcPr>
            <w:tcW w:type="dxa" w:w="3969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安全巡检、隐患闭环、责任追溯。</w:t>
            </w:r>
          </w:p>
        </w:tc>
      </w:tr>
      <w:tr>
        <w:tc>
          <w:tcPr>
            <w:tcW w:type="dxa" w:w="181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服务工单数据</w:t>
            </w:r>
          </w:p>
        </w:tc>
        <w:tc>
          <w:tcPr>
            <w:tcW w:type="dxa" w:w="408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报修、投诉、申请、处理过程、费用、评价、满意度。</w:t>
            </w:r>
          </w:p>
        </w:tc>
        <w:tc>
          <w:tcPr>
            <w:tcW w:type="dxa" w:w="3969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物业服务、客户满意度、责任考核。</w:t>
            </w:r>
          </w:p>
        </w:tc>
      </w:tr>
      <w:tr>
        <w:tc>
          <w:tcPr>
            <w:tcW w:type="dxa" w:w="181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物联网数据</w:t>
            </w:r>
          </w:p>
        </w:tc>
        <w:tc>
          <w:tcPr>
            <w:tcW w:type="dxa" w:w="408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电表、水表、充电桩、摄像头、门禁、道闸、消防、传感器。</w:t>
            </w:r>
          </w:p>
        </w:tc>
        <w:tc>
          <w:tcPr>
            <w:tcW w:type="dxa" w:w="3969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能耗分析、设备状态、安防管理。</w:t>
            </w:r>
          </w:p>
        </w:tc>
      </w:tr>
      <w:tr>
        <w:tc>
          <w:tcPr>
            <w:tcW w:type="dxa" w:w="181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经营分析数据</w:t>
            </w:r>
          </w:p>
        </w:tc>
        <w:tc>
          <w:tcPr>
            <w:tcW w:type="dxa" w:w="408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出租率、回款率、招商转化率、能耗成本、设备故障率、工单效率。</w:t>
            </w:r>
          </w:p>
        </w:tc>
        <w:tc>
          <w:tcPr>
            <w:tcW w:type="dxa" w:w="3969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驾驶舱、月报、绩效考核和经营决策。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Calibri" w:hAnsi="Calibri" w:eastAsia="Noto Sans CJK SC"/>
          <w:b/>
          <w:color w:val="365F91"/>
          <w:sz w:val="26"/>
        </w:rPr>
        <w:t>6.2 资产编码规则建议</w:t>
      </w:r>
    </w:p>
    <w:p>
      <w:pPr>
        <w:pStyle w:val="BodyTextClean"/>
        <w:spacing w:before="0" w:after="120" w:line="348" w:lineRule="auto"/>
      </w:pPr>
      <w:r>
        <w:rPr>
          <w:rFonts w:ascii="Calibri" w:hAnsi="Calibri" w:eastAsia="Noto Serif CJK SC"/>
          <w:b w:val="0"/>
          <w:sz w:val="21"/>
        </w:rPr>
        <w:t>建议建立统一编码规则，避免同一房源、同一设备、同一客户在不同部门出现不同名称和不同编号。编码可采用“园区—楼栋—楼层—房间/设备类型—序号”的结构。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rHeight w:hRule="atLeast"/>
        </w:trPr>
        <w:tc>
          <w:tcPr>
            <w:tcW w:type="dxa" w:w="1814"/>
            <w:vAlign w:val="center"/>
            <w:shd w:fill="1F4E79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2835"/>
            <w:vAlign w:val="center"/>
            <w:shd w:fill="1F4E79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7"/>
              </w:rPr>
              <w:t>编码示例</w:t>
            </w:r>
          </w:p>
        </w:tc>
        <w:tc>
          <w:tcPr>
            <w:tcW w:type="dxa" w:w="5102"/>
            <w:vAlign w:val="center"/>
            <w:shd w:fill="1F4E79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81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楼栋</w:t>
            </w:r>
          </w:p>
        </w:tc>
        <w:tc>
          <w:tcPr>
            <w:tcW w:type="dxa" w:w="2835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JH-B01</w:t>
            </w:r>
          </w:p>
        </w:tc>
        <w:tc>
          <w:tcPr>
            <w:tcW w:type="dxa" w:w="51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JH代表金湖，B01代表1号楼。</w:t>
            </w:r>
          </w:p>
        </w:tc>
      </w:tr>
      <w:tr>
        <w:tc>
          <w:tcPr>
            <w:tcW w:type="dxa" w:w="181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楼层</w:t>
            </w:r>
          </w:p>
        </w:tc>
        <w:tc>
          <w:tcPr>
            <w:tcW w:type="dxa" w:w="2835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JH-B01-F03</w:t>
            </w:r>
          </w:p>
        </w:tc>
        <w:tc>
          <w:tcPr>
            <w:tcW w:type="dxa" w:w="51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1号楼3层。</w:t>
            </w:r>
          </w:p>
        </w:tc>
      </w:tr>
      <w:tr>
        <w:tc>
          <w:tcPr>
            <w:tcW w:type="dxa" w:w="181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房间</w:t>
            </w:r>
          </w:p>
        </w:tc>
        <w:tc>
          <w:tcPr>
            <w:tcW w:type="dxa" w:w="2835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JH-B01-F03-R0308</w:t>
            </w:r>
          </w:p>
        </w:tc>
        <w:tc>
          <w:tcPr>
            <w:tcW w:type="dxa" w:w="51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1号楼3层0308室。</w:t>
            </w:r>
          </w:p>
        </w:tc>
      </w:tr>
      <w:tr>
        <w:tc>
          <w:tcPr>
            <w:tcW w:type="dxa" w:w="181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停车位</w:t>
            </w:r>
          </w:p>
        </w:tc>
        <w:tc>
          <w:tcPr>
            <w:tcW w:type="dxa" w:w="2835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JH-PK-A-001</w:t>
            </w:r>
          </w:p>
        </w:tc>
        <w:tc>
          <w:tcPr>
            <w:tcW w:type="dxa" w:w="51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A区停车位001。</w:t>
            </w:r>
          </w:p>
        </w:tc>
      </w:tr>
      <w:tr>
        <w:tc>
          <w:tcPr>
            <w:tcW w:type="dxa" w:w="181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充电桩</w:t>
            </w:r>
          </w:p>
        </w:tc>
        <w:tc>
          <w:tcPr>
            <w:tcW w:type="dxa" w:w="2835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JH-CP-A-001</w:t>
            </w:r>
          </w:p>
        </w:tc>
        <w:tc>
          <w:tcPr>
            <w:tcW w:type="dxa" w:w="51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A区充电桩001。</w:t>
            </w:r>
          </w:p>
        </w:tc>
      </w:tr>
      <w:tr>
        <w:tc>
          <w:tcPr>
            <w:tcW w:type="dxa" w:w="181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提升平台</w:t>
            </w:r>
          </w:p>
        </w:tc>
        <w:tc>
          <w:tcPr>
            <w:tcW w:type="dxa" w:w="2835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JH-LP-B02-001</w:t>
            </w:r>
          </w:p>
        </w:tc>
        <w:tc>
          <w:tcPr>
            <w:tcW w:type="dxa" w:w="51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2号楼提升平台001。</w:t>
            </w:r>
          </w:p>
        </w:tc>
      </w:tr>
      <w:tr>
        <w:tc>
          <w:tcPr>
            <w:tcW w:type="dxa" w:w="181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消防设备</w:t>
            </w:r>
          </w:p>
        </w:tc>
        <w:tc>
          <w:tcPr>
            <w:tcW w:type="dxa" w:w="2835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JH-FS-B01-001</w:t>
            </w:r>
          </w:p>
        </w:tc>
        <w:tc>
          <w:tcPr>
            <w:tcW w:type="dxa" w:w="51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1号楼消防设施001。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Calibri" w:hAnsi="Calibri" w:eastAsia="Noto Sans CJK SC"/>
          <w:b/>
          <w:color w:val="365F91"/>
          <w:sz w:val="26"/>
        </w:rPr>
        <w:t>6.3 数据治理责任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rHeight w:hRule="atLeast"/>
        </w:trPr>
        <w:tc>
          <w:tcPr>
            <w:tcW w:type="dxa" w:w="1701"/>
            <w:vAlign w:val="center"/>
            <w:shd w:fill="1F4E79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6"/>
              </w:rPr>
              <w:t>数据对象</w:t>
            </w:r>
          </w:p>
        </w:tc>
        <w:tc>
          <w:tcPr>
            <w:tcW w:type="dxa" w:w="1984"/>
            <w:vAlign w:val="center"/>
            <w:shd w:fill="1F4E79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6"/>
              </w:rPr>
              <w:t>主责部门</w:t>
            </w:r>
          </w:p>
        </w:tc>
        <w:tc>
          <w:tcPr>
            <w:tcW w:type="dxa" w:w="3402"/>
            <w:vAlign w:val="center"/>
            <w:shd w:fill="1F4E79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6"/>
              </w:rPr>
              <w:t>维护频率</w:t>
            </w:r>
          </w:p>
        </w:tc>
        <w:tc>
          <w:tcPr>
            <w:tcW w:type="dxa" w:w="3402"/>
            <w:vAlign w:val="center"/>
            <w:shd w:fill="1F4E79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6"/>
              </w:rPr>
              <w:t>质量要求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资产房源</w:t>
            </w:r>
          </w:p>
        </w:tc>
        <w:tc>
          <w:tcPr>
            <w:tcW w:type="dxa" w:w="19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园区运营/资产管理</w:t>
            </w:r>
          </w:p>
        </w:tc>
        <w:tc>
          <w:tcPr>
            <w:tcW w:type="dxa" w:w="34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房源状态发生变化即时维护，至少每月复核。</w:t>
            </w:r>
          </w:p>
        </w:tc>
        <w:tc>
          <w:tcPr>
            <w:tcW w:type="dxa" w:w="34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面积、状态、租户、合同关联准确。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招商客户</w:t>
            </w:r>
          </w:p>
        </w:tc>
        <w:tc>
          <w:tcPr>
            <w:tcW w:type="dxa" w:w="19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招商部门</w:t>
            </w:r>
          </w:p>
        </w:tc>
        <w:tc>
          <w:tcPr>
            <w:tcW w:type="dxa" w:w="34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客户跟进后即时维护。</w:t>
            </w:r>
          </w:p>
        </w:tc>
        <w:tc>
          <w:tcPr>
            <w:tcW w:type="dxa" w:w="34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线索来源、需求、阶段、跟进记录完整。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合同租金</w:t>
            </w:r>
          </w:p>
        </w:tc>
        <w:tc>
          <w:tcPr>
            <w:tcW w:type="dxa" w:w="19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运营/财务</w:t>
            </w:r>
          </w:p>
        </w:tc>
        <w:tc>
          <w:tcPr>
            <w:tcW w:type="dxa" w:w="34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合同签订、变更、收款后即时维护。</w:t>
            </w:r>
          </w:p>
        </w:tc>
        <w:tc>
          <w:tcPr>
            <w:tcW w:type="dxa" w:w="34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合同、租金、押金、付款周期与财务口径一致。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工单服务</w:t>
            </w:r>
          </w:p>
        </w:tc>
        <w:tc>
          <w:tcPr>
            <w:tcW w:type="dxa" w:w="19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物业部门</w:t>
            </w:r>
          </w:p>
        </w:tc>
        <w:tc>
          <w:tcPr>
            <w:tcW w:type="dxa" w:w="34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工单发生后实时维护。</w:t>
            </w:r>
          </w:p>
        </w:tc>
        <w:tc>
          <w:tcPr>
            <w:tcW w:type="dxa" w:w="34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派单、处理、反馈、评价闭环。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安全隐患</w:t>
            </w:r>
          </w:p>
        </w:tc>
        <w:tc>
          <w:tcPr>
            <w:tcW w:type="dxa" w:w="19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安全管理/物业</w:t>
            </w:r>
          </w:p>
        </w:tc>
        <w:tc>
          <w:tcPr>
            <w:tcW w:type="dxa" w:w="34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巡检和隐患发生后实时维护。</w:t>
            </w:r>
          </w:p>
        </w:tc>
        <w:tc>
          <w:tcPr>
            <w:tcW w:type="dxa" w:w="34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整改期限、责任人、复查结果完整。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设备维保</w:t>
            </w:r>
          </w:p>
        </w:tc>
        <w:tc>
          <w:tcPr>
            <w:tcW w:type="dxa" w:w="19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物业/设备负责人</w:t>
            </w:r>
          </w:p>
        </w:tc>
        <w:tc>
          <w:tcPr>
            <w:tcW w:type="dxa" w:w="34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巡检、维保、故障发生后维护。</w:t>
            </w:r>
          </w:p>
        </w:tc>
        <w:tc>
          <w:tcPr>
            <w:tcW w:type="dxa" w:w="34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设备位置、状态、维保记录可追踪。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能耗设备</w:t>
            </w:r>
          </w:p>
        </w:tc>
        <w:tc>
          <w:tcPr>
            <w:tcW w:type="dxa" w:w="19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物业/工程/财务</w:t>
            </w:r>
          </w:p>
        </w:tc>
        <w:tc>
          <w:tcPr>
            <w:tcW w:type="dxa" w:w="34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按月汇总，异常实时预警。</w:t>
            </w:r>
          </w:p>
        </w:tc>
        <w:tc>
          <w:tcPr>
            <w:tcW w:type="dxa" w:w="34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表计、租户、分摊规则准确。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Calibri" w:hAnsi="Calibri" w:eastAsia="Noto Sans CJK SC"/>
          <w:b/>
          <w:color w:val="365F91"/>
          <w:sz w:val="26"/>
        </w:rPr>
        <w:t>6.4 数据质量控制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上线前必须完成资产普查、合同核验、租户核验、设备清点和历史欠费确认。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系统应设置必填字段、格式校验、重复客户提示、合同日期逻辑校验和金额计算校验。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关键数据变更应留痕，包括修改人、修改时间、修改前后内容和审批记录。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每月召开一次数据质量复盘会，核对出租率、应收实收、欠费、空置房源和安全隐患数据。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开发单位应提供数据导入工具、批量修正工具和数据导出能力，便于前期迁移和后期审计。</w:t>
      </w:r>
    </w:p>
    <w:p>
      <w:pPr>
        <w:pStyle w:val="Heading1"/>
        <w:spacing w:before="280" w:after="160"/>
      </w:pPr>
      <w:r>
        <w:rPr>
          <w:rFonts w:ascii="Calibri" w:hAnsi="Calibri" w:eastAsia="Noto Sans CJK SC"/>
          <w:b/>
          <w:color w:val="1F4E79"/>
          <w:sz w:val="32"/>
        </w:rPr>
        <w:t>第七章 技术路线、部署架构与接口要求</w:t>
      </w:r>
    </w:p>
    <w:p>
      <w:pPr>
        <w:pStyle w:val="Heading2"/>
        <w:spacing w:before="200" w:after="120"/>
      </w:pPr>
      <w:r>
        <w:rPr>
          <w:rFonts w:ascii="Calibri" w:hAnsi="Calibri" w:eastAsia="Noto Sans CJK SC"/>
          <w:b/>
          <w:color w:val="365F91"/>
          <w:sz w:val="26"/>
        </w:rPr>
        <w:t>7.1 建设方式建议</w:t>
      </w:r>
    </w:p>
    <w:p>
      <w:pPr>
        <w:pStyle w:val="BodyTextClean"/>
        <w:spacing w:before="0" w:after="120" w:line="348" w:lineRule="auto"/>
      </w:pPr>
      <w:r>
        <w:rPr>
          <w:rFonts w:ascii="Calibri" w:hAnsi="Calibri" w:eastAsia="Noto Serif CJK SC"/>
          <w:b w:val="0"/>
          <w:sz w:val="21"/>
        </w:rPr>
        <w:t>建议采用“核心业务系统自主可控、设备能力开放接入、分阶段集成扩展”的建设方式。资产、招商、合同、租金、工单、安全、设备、能耗和经营驾驶舱等核心业务模块应掌握在园区自身可控的平台中；视频、门禁、停车、充电桩、电表水表等硬件设备可选择成熟厂家，但必须要求接口开放、数据可回传、协议可对接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不建议完全购买封闭式智慧园区平台，避免后期业务定制和数据迁移受制于供应商。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不建议第一阶段即投入复杂数字孪生和AI视频识别，除非基础数据和设备条件已经成熟。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建议先建设模块化业务系统，再逐步形成SaaS化、多园区复制和产品化能力。</w:t>
      </w:r>
    </w:p>
    <w:p>
      <w:pPr>
        <w:pStyle w:val="Heading2"/>
        <w:spacing w:before="200" w:after="120"/>
      </w:pPr>
      <w:r>
        <w:rPr>
          <w:rFonts w:ascii="Calibri" w:hAnsi="Calibri" w:eastAsia="Noto Sans CJK SC"/>
          <w:b/>
          <w:color w:val="365F91"/>
          <w:sz w:val="26"/>
        </w:rPr>
        <w:t>7.2 软件架构建议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rHeight w:hRule="atLeast"/>
        </w:trPr>
        <w:tc>
          <w:tcPr>
            <w:tcW w:type="dxa" w:w="1701"/>
            <w:vAlign w:val="center"/>
            <w:shd w:fill="1F4E79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118"/>
            <w:vAlign w:val="center"/>
            <w:shd w:fill="1F4E79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7"/>
              </w:rPr>
              <w:t>建议方案</w:t>
            </w:r>
          </w:p>
        </w:tc>
        <w:tc>
          <w:tcPr>
            <w:tcW w:type="dxa" w:w="5102"/>
            <w:vAlign w:val="center"/>
            <w:shd w:fill="1F4E79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前端</w:t>
            </w:r>
          </w:p>
        </w:tc>
        <w:tc>
          <w:tcPr>
            <w:tcW w:type="dxa" w:w="311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Web管理后台 + 租户小程序/H5 + 物业移动端</w:t>
            </w:r>
          </w:p>
        </w:tc>
        <w:tc>
          <w:tcPr>
            <w:tcW w:type="dxa" w:w="51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管理层、招商、财务、物业、安全和租户按角色使用。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后端</w:t>
            </w:r>
          </w:p>
        </w:tc>
        <w:tc>
          <w:tcPr>
            <w:tcW w:type="dxa" w:w="311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Node.js / Java / Go 等均可，建议统一技术栈</w:t>
            </w:r>
          </w:p>
        </w:tc>
        <w:tc>
          <w:tcPr>
            <w:tcW w:type="dxa" w:w="51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如公司已有Node.js团队，可优先考虑同技术体系，降低维护成本。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数据库</w:t>
            </w:r>
          </w:p>
        </w:tc>
        <w:tc>
          <w:tcPr>
            <w:tcW w:type="dxa" w:w="311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PostgreSQL或MySQL</w:t>
            </w:r>
          </w:p>
        </w:tc>
        <w:tc>
          <w:tcPr>
            <w:tcW w:type="dxa" w:w="51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建议不用SQLite作为长期生产主库；PostgreSQL便于复杂查询和空间数据扩展。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缓存与消息</w:t>
            </w:r>
          </w:p>
        </w:tc>
        <w:tc>
          <w:tcPr>
            <w:tcW w:type="dxa" w:w="311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Redis + 消息队列</w:t>
            </w:r>
          </w:p>
        </w:tc>
        <w:tc>
          <w:tcPr>
            <w:tcW w:type="dxa" w:w="51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用于会话、提醒、异步任务、告警推送。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物联网接入</w:t>
            </w:r>
          </w:p>
        </w:tc>
        <w:tc>
          <w:tcPr>
            <w:tcW w:type="dxa" w:w="311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MQTT + 边缘网关 + 厂商API</w:t>
            </w:r>
          </w:p>
        </w:tc>
        <w:tc>
          <w:tcPr>
            <w:tcW w:type="dxa" w:w="51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用于接入电表、水表、充电桩、传感器、设备状态。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视频接入</w:t>
            </w:r>
          </w:p>
        </w:tc>
        <w:tc>
          <w:tcPr>
            <w:tcW w:type="dxa" w:w="311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对接视频平台或GB/T 28181类协议能力</w:t>
            </w:r>
          </w:p>
        </w:tc>
        <w:tc>
          <w:tcPr>
            <w:tcW w:type="dxa" w:w="51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以厂家平台和实际设备支持情况为准。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接口层</w:t>
            </w:r>
          </w:p>
        </w:tc>
        <w:tc>
          <w:tcPr>
            <w:tcW w:type="dxa" w:w="311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API Gateway + REST/GraphQL + Webhook</w:t>
            </w:r>
          </w:p>
        </w:tc>
        <w:tc>
          <w:tcPr>
            <w:tcW w:type="dxa" w:w="51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统一鉴权、限流、日志和第三方集成。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部署</w:t>
            </w:r>
          </w:p>
        </w:tc>
        <w:tc>
          <w:tcPr>
            <w:tcW w:type="dxa" w:w="311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云服务器 + 本地边缘网关混合部署</w:t>
            </w:r>
          </w:p>
        </w:tc>
        <w:tc>
          <w:tcPr>
            <w:tcW w:type="dxa" w:w="51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业务系统上云，关键设备通过本地网关接入，保障稳定性。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权限</w:t>
            </w:r>
          </w:p>
        </w:tc>
        <w:tc>
          <w:tcPr>
            <w:tcW w:type="dxa" w:w="311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RBAC角色权限 + 数据权限 + 操作审计</w:t>
            </w:r>
          </w:p>
        </w:tc>
        <w:tc>
          <w:tcPr>
            <w:tcW w:type="dxa" w:w="51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实现不同岗位、楼栋、业务范围的数据隔离和追踪。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Calibri" w:hAnsi="Calibri" w:eastAsia="Noto Sans CJK SC"/>
          <w:b/>
          <w:color w:val="365F91"/>
          <w:sz w:val="26"/>
        </w:rPr>
        <w:t>7.3 设备接入原则</w:t>
      </w:r>
    </w:p>
    <w:p>
      <w:pPr>
        <w:pStyle w:val="BodyTextClean"/>
        <w:spacing w:before="0" w:after="120" w:line="348" w:lineRule="auto"/>
      </w:pPr>
      <w:r>
        <w:rPr>
          <w:rFonts w:ascii="Calibri" w:hAnsi="Calibri" w:eastAsia="Noto Serif CJK SC"/>
          <w:b w:val="0"/>
          <w:sz w:val="21"/>
        </w:rPr>
        <w:t>凡是未来新采购的充电桩、电表、水表、门禁、道闸、摄像头、提升平台摄像头、消防报警设备、空调系统、会议系统和LED屏等设备，采购文件中必须写明接口要求。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是否开放API，是否提供完整接口文档和测试环境。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是否支持第三方平台接入，是否收取接口费用。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是否支持实时状态回传、历史数据导出、故障告警和远程控制。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是否支持本地化部署或边缘网关接入。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是否支持数据权限、接口鉴权、日志审计和安全机制。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设备断网、平台故障、厂家退出时的数据迁移和运行保障方案。</w:t>
      </w:r>
    </w:p>
    <w:p>
      <w:pPr>
        <w:pStyle w:val="Heading2"/>
        <w:spacing w:before="200" w:after="120"/>
      </w:pPr>
      <w:r>
        <w:rPr>
          <w:rFonts w:ascii="Calibri" w:hAnsi="Calibri" w:eastAsia="Noto Sans CJK SC"/>
          <w:b/>
          <w:color w:val="365F91"/>
          <w:sz w:val="26"/>
        </w:rPr>
        <w:t>7.4 信息安全与运维要求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rHeight w:hRule="atLeast"/>
        </w:trPr>
        <w:tc>
          <w:tcPr>
            <w:tcW w:type="dxa" w:w="2268"/>
            <w:vAlign w:val="center"/>
            <w:shd w:fill="1F4E79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7"/>
              </w:rPr>
              <w:t>安全/运维要求</w:t>
            </w:r>
          </w:p>
        </w:tc>
        <w:tc>
          <w:tcPr>
            <w:tcW w:type="dxa" w:w="7370"/>
            <w:vAlign w:val="center"/>
            <w:shd w:fill="1F4E79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7"/>
              </w:rPr>
              <w:t>具体内容</w:t>
            </w:r>
          </w:p>
        </w:tc>
      </w:tr>
      <w:tr>
        <w:tc>
          <w:tcPr>
            <w:tcW w:type="dxa" w:w="226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身份认证</w:t>
            </w:r>
          </w:p>
        </w:tc>
        <w:tc>
          <w:tcPr>
            <w:tcW w:type="dxa" w:w="7370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支持账号密码、短信/企业微信/钉钉等二次验证扩展；禁止共享管理员账号。</w:t>
            </w:r>
          </w:p>
        </w:tc>
      </w:tr>
      <w:tr>
        <w:tc>
          <w:tcPr>
            <w:tcW w:type="dxa" w:w="226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权限控制</w:t>
            </w:r>
          </w:p>
        </w:tc>
        <w:tc>
          <w:tcPr>
            <w:tcW w:type="dxa" w:w="7370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基于角色和数据范围授权，高层、运营、招商、财务、物业、安全、租户权限分离。</w:t>
            </w:r>
          </w:p>
        </w:tc>
      </w:tr>
      <w:tr>
        <w:tc>
          <w:tcPr>
            <w:tcW w:type="dxa" w:w="226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日志审计</w:t>
            </w:r>
          </w:p>
        </w:tc>
        <w:tc>
          <w:tcPr>
            <w:tcW w:type="dxa" w:w="7370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登录、导出、审批、金额修改、合同修改、权限修改、设备控制等关键操作必须记录。</w:t>
            </w:r>
          </w:p>
        </w:tc>
      </w:tr>
      <w:tr>
        <w:tc>
          <w:tcPr>
            <w:tcW w:type="dxa" w:w="226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数据备份</w:t>
            </w:r>
          </w:p>
        </w:tc>
        <w:tc>
          <w:tcPr>
            <w:tcW w:type="dxa" w:w="7370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至少支持每日自动备份、异地备份、备份恢复测试和历史版本保留。</w:t>
            </w:r>
          </w:p>
        </w:tc>
      </w:tr>
      <w:tr>
        <w:tc>
          <w:tcPr>
            <w:tcW w:type="dxa" w:w="226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接口安全</w:t>
            </w:r>
          </w:p>
        </w:tc>
        <w:tc>
          <w:tcPr>
            <w:tcW w:type="dxa" w:w="7370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API鉴权、签名、限流、IP白名单、访问日志和异常告警。</w:t>
            </w:r>
          </w:p>
        </w:tc>
      </w:tr>
      <w:tr>
        <w:tc>
          <w:tcPr>
            <w:tcW w:type="dxa" w:w="226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系统可用性</w:t>
            </w:r>
          </w:p>
        </w:tc>
        <w:tc>
          <w:tcPr>
            <w:tcW w:type="dxa" w:w="7370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核心业务系统应具备故障恢复方案，关键设备接入应考虑断网和本地缓存。</w:t>
            </w:r>
          </w:p>
        </w:tc>
      </w:tr>
      <w:tr>
        <w:tc>
          <w:tcPr>
            <w:tcW w:type="dxa" w:w="226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隐私与合规</w:t>
            </w:r>
          </w:p>
        </w:tc>
        <w:tc>
          <w:tcPr>
            <w:tcW w:type="dxa" w:w="7370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企业资料、联系人、合同、财务、视频和门禁数据应限制访问和导出。涉及更高等级安全要求时，应另行开展等保和专项合规工作。</w:t>
            </w:r>
          </w:p>
        </w:tc>
      </w:tr>
    </w:tbl>
    <w:p>
      <w:pPr>
        <w:spacing w:after="40"/>
      </w:pPr>
    </w:p>
    <w:p>
      <w:pPr>
        <w:pStyle w:val="Heading1"/>
        <w:spacing w:before="280" w:after="160"/>
      </w:pPr>
      <w:r>
        <w:rPr>
          <w:rFonts w:ascii="Calibri" w:hAnsi="Calibri" w:eastAsia="Noto Sans CJK SC"/>
          <w:b/>
          <w:color w:val="1F4E79"/>
          <w:sz w:val="32"/>
        </w:rPr>
        <w:t>第八章 开发任务书建议</w:t>
      </w:r>
    </w:p>
    <w:p>
      <w:pPr>
        <w:pStyle w:val="Heading2"/>
        <w:spacing w:before="200" w:after="120"/>
      </w:pPr>
      <w:r>
        <w:rPr>
          <w:rFonts w:ascii="Calibri" w:hAnsi="Calibri" w:eastAsia="Noto Sans CJK SC"/>
          <w:b/>
          <w:color w:val="365F91"/>
          <w:sz w:val="26"/>
        </w:rPr>
        <w:t>8.1 项目名称</w:t>
      </w:r>
    </w:p>
    <w:p>
      <w:pPr>
        <w:pStyle w:val="BodyTextClean"/>
        <w:spacing w:before="0" w:after="120" w:line="348" w:lineRule="auto"/>
      </w:pPr>
      <w:r>
        <w:rPr>
          <w:rFonts w:ascii="Calibri" w:hAnsi="Calibri" w:eastAsia="Noto Serif CJK SC"/>
          <w:b w:val="0"/>
          <w:sz w:val="21"/>
        </w:rPr>
        <w:t>金湖科创产业园智慧园区管理系统建设项目。</w:t>
      </w:r>
    </w:p>
    <w:p>
      <w:pPr>
        <w:pStyle w:val="Heading2"/>
        <w:spacing w:before="200" w:after="120"/>
      </w:pPr>
      <w:r>
        <w:rPr>
          <w:rFonts w:ascii="Calibri" w:hAnsi="Calibri" w:eastAsia="Noto Sans CJK SC"/>
          <w:b/>
          <w:color w:val="365F91"/>
          <w:sz w:val="26"/>
        </w:rPr>
        <w:t>8.2 开发范围</w:t>
      </w:r>
    </w:p>
    <w:p>
      <w:pPr>
        <w:pStyle w:val="BodyTextClean"/>
        <w:spacing w:before="0" w:after="120" w:line="348" w:lineRule="auto"/>
      </w:pPr>
      <w:r>
        <w:rPr>
          <w:rFonts w:ascii="Calibri" w:hAnsi="Calibri" w:eastAsia="Noto Serif CJK SC"/>
          <w:b w:val="0"/>
          <w:sz w:val="21"/>
        </w:rPr>
        <w:t>开发范围应包括管理后台、移动端/租户端、数据驾驶舱、基础数据管理、核心业务模块、系统权限、接口对接和实施培训。建议按照分期交付，避免一次性承诺全部复杂功能导致工期、成本和质量失控。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rHeight w:hRule="atLeast"/>
        </w:trPr>
        <w:tc>
          <w:tcPr>
            <w:tcW w:type="dxa" w:w="1247"/>
            <w:vAlign w:val="center"/>
            <w:shd w:fill="1F4E79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5669"/>
            <w:vAlign w:val="center"/>
            <w:shd w:fill="1F4E79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6"/>
              </w:rPr>
              <w:t>必须建设模块</w:t>
            </w:r>
          </w:p>
        </w:tc>
        <w:tc>
          <w:tcPr>
            <w:tcW w:type="dxa" w:w="3402"/>
            <w:vAlign w:val="center"/>
            <w:shd w:fill="1F4E79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6"/>
              </w:rPr>
              <w:t>可选/预留模块</w:t>
            </w:r>
          </w:p>
        </w:tc>
      </w:tr>
      <w:tr>
        <w:tc>
          <w:tcPr>
            <w:tcW w:type="dxa" w:w="1247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一期</w:t>
            </w:r>
          </w:p>
        </w:tc>
        <w:tc>
          <w:tcPr>
            <w:tcW w:type="dxa" w:w="5669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资产房源、租户档案、招商CRM、合同租金、应收欠费、工单报修、安全巡检、隐患整改、基础驾驶舱。</w:t>
            </w:r>
          </w:p>
        </w:tc>
        <w:tc>
          <w:tcPr>
            <w:tcW w:type="dxa" w:w="34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二维房源图、短信/微信通知、ERP财务接口。</w:t>
            </w:r>
          </w:p>
        </w:tc>
      </w:tr>
      <w:tr>
        <w:tc>
          <w:tcPr>
            <w:tcW w:type="dxa" w:w="1247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二期</w:t>
            </w:r>
          </w:p>
        </w:tc>
        <w:tc>
          <w:tcPr>
            <w:tcW w:type="dxa" w:w="5669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设备台账、维保计划、消防管理、提升平台专项、能耗采集、充电桩、停车门禁、视频接入。</w:t>
            </w:r>
          </w:p>
        </w:tc>
        <w:tc>
          <w:tcPr>
            <w:tcW w:type="dxa" w:w="34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设备远程控制、AI识别、综合安防平台。</w:t>
            </w:r>
          </w:p>
        </w:tc>
      </w:tr>
      <w:tr>
        <w:tc>
          <w:tcPr>
            <w:tcW w:type="dxa" w:w="1247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三期</w:t>
            </w:r>
          </w:p>
        </w:tc>
        <w:tc>
          <w:tcPr>
            <w:tcW w:type="dxa" w:w="5669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企业服务、政策服务、会议室预约、展厅/直播间预约、招商活动、企业产品展示。</w:t>
            </w:r>
          </w:p>
        </w:tc>
        <w:tc>
          <w:tcPr>
            <w:tcW w:type="dxa" w:w="34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数字贸易、直播电商服务、融资/招聘/法律财税服务接口。</w:t>
            </w:r>
          </w:p>
        </w:tc>
      </w:tr>
      <w:tr>
        <w:tc>
          <w:tcPr>
            <w:tcW w:type="dxa" w:w="1247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四期</w:t>
            </w:r>
          </w:p>
        </w:tc>
        <w:tc>
          <w:tcPr>
            <w:tcW w:type="dxa" w:w="5669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AI助手、经营月报自动化、多园区管理、轻量数字孪生。</w:t>
            </w:r>
          </w:p>
        </w:tc>
        <w:tc>
          <w:tcPr>
            <w:tcW w:type="dxa" w:w="34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SaaS产品化、数据中台、高级预测分析。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Calibri" w:hAnsi="Calibri" w:eastAsia="Noto Sans CJK SC"/>
          <w:b/>
          <w:color w:val="365F91"/>
          <w:sz w:val="26"/>
        </w:rPr>
        <w:t>8.3 功能交付要求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开发单位应在需求确认阶段提交原型图、流程图、数据字段表、角色权限表和接口清单。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每个模块应提供新增、编辑、查询、筛选、导入、导出、审批、日志、报表等基础能力。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关键流程必须支持状态流转和责任人追踪，如招商阶段、合同审批、工单处理、隐患整改、维保计划等。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系统应支持移动端操作，特别是物业接单、安全巡检、隐患拍照、维修反馈和租户申请。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系统应支持消息提醒，包括合同到期、租金到期、欠费、工单超时、隐患超期、维保到期、设备故障等。</w:t>
      </w:r>
    </w:p>
    <w:p>
      <w:pPr>
        <w:pStyle w:val="Heading2"/>
        <w:spacing w:before="200" w:after="120"/>
      </w:pPr>
      <w:r>
        <w:rPr>
          <w:rFonts w:ascii="Calibri" w:hAnsi="Calibri" w:eastAsia="Noto Sans CJK SC"/>
          <w:b/>
          <w:color w:val="365F91"/>
          <w:sz w:val="26"/>
        </w:rPr>
        <w:t>8.4 非功能要求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rHeight w:hRule="atLeast"/>
        </w:trPr>
        <w:tc>
          <w:tcPr>
            <w:tcW w:type="dxa" w:w="1701"/>
            <w:vAlign w:val="center"/>
            <w:shd w:fill="1F4E79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7937"/>
            <w:vAlign w:val="center"/>
            <w:shd w:fill="1F4E79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7"/>
              </w:rPr>
              <w:t>要求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易用性</w:t>
            </w:r>
          </w:p>
        </w:tc>
        <w:tc>
          <w:tcPr>
            <w:tcW w:type="dxa" w:w="7937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管理后台界面清晰；一线人员移动端操作不超过必要步骤；常用操作支持批量处理。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性能</w:t>
            </w:r>
          </w:p>
        </w:tc>
        <w:tc>
          <w:tcPr>
            <w:tcW w:type="dxa" w:w="7937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常规查询响应应满足日常运营需要；大数据量报表应支持异步生成或缓存。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稳定性</w:t>
            </w:r>
          </w:p>
        </w:tc>
        <w:tc>
          <w:tcPr>
            <w:tcW w:type="dxa" w:w="7937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系统应具备异常处理、日志记录、备份恢复和故障排查能力。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扩展性</w:t>
            </w:r>
          </w:p>
        </w:tc>
        <w:tc>
          <w:tcPr>
            <w:tcW w:type="dxa" w:w="7937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模块可配置，接口可扩展，支持后续接入新楼栋、新设备、新业务和多园区。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安全性</w:t>
            </w:r>
          </w:p>
        </w:tc>
        <w:tc>
          <w:tcPr>
            <w:tcW w:type="dxa" w:w="7937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分级权限、数据权限、操作审计、接口鉴权、敏感数据保护。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可维护性</w:t>
            </w:r>
          </w:p>
        </w:tc>
        <w:tc>
          <w:tcPr>
            <w:tcW w:type="dxa" w:w="7937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提供源代码或约定可维护权益；提供数据库结构、接口文档、部署文档和运维手册。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兼容性</w:t>
            </w:r>
          </w:p>
        </w:tc>
        <w:tc>
          <w:tcPr>
            <w:tcW w:type="dxa" w:w="7937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支持主流浏览器；移动端支持微信小程序/H5或企业内部应用。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Calibri" w:hAnsi="Calibri" w:eastAsia="Noto Sans CJK SC"/>
          <w:b/>
          <w:color w:val="365F91"/>
          <w:sz w:val="26"/>
        </w:rPr>
        <w:t>8.5 交付成果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rHeight w:hRule="atLeast"/>
        </w:trPr>
        <w:tc>
          <w:tcPr>
            <w:tcW w:type="dxa" w:w="2268"/>
            <w:vAlign w:val="center"/>
            <w:shd w:fill="1F4E79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7"/>
              </w:rPr>
              <w:t>交付物</w:t>
            </w:r>
          </w:p>
        </w:tc>
        <w:tc>
          <w:tcPr>
            <w:tcW w:type="dxa" w:w="7370"/>
            <w:vAlign w:val="center"/>
            <w:shd w:fill="1F4E79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7"/>
              </w:rPr>
              <w:t>内容要求</w:t>
            </w:r>
          </w:p>
        </w:tc>
      </w:tr>
      <w:tr>
        <w:tc>
          <w:tcPr>
            <w:tcW w:type="dxa" w:w="226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需求规格说明书</w:t>
            </w:r>
          </w:p>
        </w:tc>
        <w:tc>
          <w:tcPr>
            <w:tcW w:type="dxa" w:w="7370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包含业务流程、功能清单、角色权限、数据字段、报表指标和验收标准。</w:t>
            </w:r>
          </w:p>
        </w:tc>
      </w:tr>
      <w:tr>
        <w:tc>
          <w:tcPr>
            <w:tcW w:type="dxa" w:w="226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系统原型</w:t>
            </w:r>
          </w:p>
        </w:tc>
        <w:tc>
          <w:tcPr>
            <w:tcW w:type="dxa" w:w="7370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包含核心页面、操作流程、移动端页面和驾驶舱页面。</w:t>
            </w:r>
          </w:p>
        </w:tc>
      </w:tr>
      <w:tr>
        <w:tc>
          <w:tcPr>
            <w:tcW w:type="dxa" w:w="226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技术方案</w:t>
            </w:r>
          </w:p>
        </w:tc>
        <w:tc>
          <w:tcPr>
            <w:tcW w:type="dxa" w:w="7370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包含架构设计、数据库设计、接口设计、部署方案、安全方案和扩展方案。</w:t>
            </w:r>
          </w:p>
        </w:tc>
      </w:tr>
      <w:tr>
        <w:tc>
          <w:tcPr>
            <w:tcW w:type="dxa" w:w="226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系统软件</w:t>
            </w:r>
          </w:p>
        </w:tc>
        <w:tc>
          <w:tcPr>
            <w:tcW w:type="dxa" w:w="7370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管理后台、移动端/租户端、数据驾驶舱、接口服务、后台管理工具。</w:t>
            </w:r>
          </w:p>
        </w:tc>
      </w:tr>
      <w:tr>
        <w:tc>
          <w:tcPr>
            <w:tcW w:type="dxa" w:w="226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接口文档</w:t>
            </w:r>
          </w:p>
        </w:tc>
        <w:tc>
          <w:tcPr>
            <w:tcW w:type="dxa" w:w="7370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所有内部接口、第三方设备接口、数据导入导出接口说明。</w:t>
            </w:r>
          </w:p>
        </w:tc>
      </w:tr>
      <w:tr>
        <w:tc>
          <w:tcPr>
            <w:tcW w:type="dxa" w:w="226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数据迁移成果</w:t>
            </w:r>
          </w:p>
        </w:tc>
        <w:tc>
          <w:tcPr>
            <w:tcW w:type="dxa" w:w="7370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资产、租户、合同、租金、设备、安全等基础数据导入并通过核验。</w:t>
            </w:r>
          </w:p>
        </w:tc>
      </w:tr>
      <w:tr>
        <w:tc>
          <w:tcPr>
            <w:tcW w:type="dxa" w:w="226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测试报告</w:t>
            </w:r>
          </w:p>
        </w:tc>
        <w:tc>
          <w:tcPr>
            <w:tcW w:type="dxa" w:w="7370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功能测试、流程测试、权限测试、接口测试、性能测试、安全测试结果。</w:t>
            </w:r>
          </w:p>
        </w:tc>
      </w:tr>
      <w:tr>
        <w:tc>
          <w:tcPr>
            <w:tcW w:type="dxa" w:w="226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培训材料</w:t>
            </w:r>
          </w:p>
        </w:tc>
        <w:tc>
          <w:tcPr>
            <w:tcW w:type="dxa" w:w="7370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管理员手册、操作手册、移动端使用指南、常见问题。</w:t>
            </w:r>
          </w:p>
        </w:tc>
      </w:tr>
      <w:tr>
        <w:tc>
          <w:tcPr>
            <w:tcW w:type="dxa" w:w="226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验收报告</w:t>
            </w:r>
          </w:p>
        </w:tc>
        <w:tc>
          <w:tcPr>
            <w:tcW w:type="dxa" w:w="7370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按阶段列明交付范围、缺陷修复、试运行结果和验收结论。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Calibri" w:hAnsi="Calibri" w:eastAsia="Noto Sans CJK SC"/>
          <w:b/>
          <w:color w:val="365F91"/>
          <w:sz w:val="26"/>
        </w:rPr>
        <w:t>8.6 开发单位职责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完成需求调研、流程梳理、系统设计、软件开发、接口对接、数据导入、测试上线和培训。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配合园区整理基础数据，提供标准导入模板和数据质量校验工具。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根据分期计划提交里程碑成果，并接受园区项目组评审。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提供至少一个试运行周期的现场或远程支持，及时修复系统缺陷。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保证数据所有权归属园区或公司，未经许可不得复制、外泄或用于其他商业用途。</w:t>
      </w:r>
    </w:p>
    <w:p>
      <w:pPr>
        <w:pStyle w:val="Heading2"/>
        <w:spacing w:before="200" w:after="120"/>
      </w:pPr>
      <w:r>
        <w:rPr>
          <w:rFonts w:ascii="Calibri" w:hAnsi="Calibri" w:eastAsia="Noto Sans CJK SC"/>
          <w:b/>
          <w:color w:val="365F91"/>
          <w:sz w:val="26"/>
        </w:rPr>
        <w:t>8.7 园区方职责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明确项目总负责人、业务负责人、产品负责人和各部门关键用户。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提供房源、租户、合同、租金、设备、工单、安全等基础资料。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确认业务流程、审批规则、角色权限、报表指标和验收标准。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协调物业、招商、财务、安全、设备、信息化等部门参与测试和培训。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推动系统上线后的制度执行，避免继续使用分散Excel和微信群替代系统流程。</w:t>
      </w:r>
    </w:p>
    <w:p>
      <w:pPr>
        <w:pStyle w:val="Heading1"/>
        <w:spacing w:before="280" w:after="160"/>
      </w:pPr>
      <w:r>
        <w:rPr>
          <w:rFonts w:ascii="Calibri" w:hAnsi="Calibri" w:eastAsia="Noto Sans CJK SC"/>
          <w:b/>
          <w:color w:val="1F4E79"/>
          <w:sz w:val="32"/>
        </w:rPr>
        <w:t>第九章 实施步骤、实施计划与阶段验收</w:t>
      </w:r>
    </w:p>
    <w:p>
      <w:pPr>
        <w:pStyle w:val="Heading2"/>
        <w:spacing w:before="200" w:after="120"/>
      </w:pPr>
      <w:r>
        <w:rPr>
          <w:rFonts w:ascii="Calibri" w:hAnsi="Calibri" w:eastAsia="Noto Sans CJK SC"/>
          <w:b/>
          <w:color w:val="365F91"/>
          <w:sz w:val="26"/>
        </w:rPr>
        <w:t>9.1 总体实施节奏</w:t>
      </w:r>
    </w:p>
    <w:p>
      <w:pPr>
        <w:pStyle w:val="BodyTextClean"/>
        <w:spacing w:before="0" w:after="120" w:line="348" w:lineRule="auto"/>
      </w:pPr>
      <w:r>
        <w:rPr>
          <w:rFonts w:ascii="Calibri" w:hAnsi="Calibri" w:eastAsia="Noto Serif CJK SC"/>
          <w:b w:val="0"/>
          <w:sz w:val="21"/>
        </w:rPr>
        <w:t>建议分四期推进，避免一次性大而全。第一期必须聚焦经营闭环，第二期聚焦设备与安全，第三期聚焦企业服务和展贸运营，第四期聚焦AI、数字孪生和产品化。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rHeight w:hRule="atLeast"/>
        </w:trPr>
        <w:tc>
          <w:tcPr>
            <w:tcW w:type="dxa" w:w="2041"/>
            <w:vAlign w:val="center"/>
            <w:shd w:fill="1F4E79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1304"/>
            <w:vAlign w:val="center"/>
            <w:shd w:fill="1F4E79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6"/>
              </w:rPr>
              <w:t>周期</w:t>
            </w:r>
          </w:p>
        </w:tc>
        <w:tc>
          <w:tcPr>
            <w:tcW w:type="dxa" w:w="4535"/>
            <w:vAlign w:val="center"/>
            <w:shd w:fill="1F4E79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6"/>
              </w:rPr>
              <w:t>建设重点</w:t>
            </w:r>
          </w:p>
        </w:tc>
        <w:tc>
          <w:tcPr>
            <w:tcW w:type="dxa" w:w="2835"/>
            <w:vAlign w:val="center"/>
            <w:shd w:fill="1F4E79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6"/>
              </w:rPr>
              <w:t>核心交付</w:t>
            </w:r>
          </w:p>
        </w:tc>
      </w:tr>
      <w:tr>
        <w:tc>
          <w:tcPr>
            <w:tcW w:type="dxa" w:w="204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第一期：基础经营闭环</w:t>
            </w:r>
          </w:p>
        </w:tc>
        <w:tc>
          <w:tcPr>
            <w:tcW w:type="dxa" w:w="130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0—3个月</w:t>
            </w:r>
          </w:p>
        </w:tc>
        <w:tc>
          <w:tcPr>
            <w:tcW w:type="dxa" w:w="4535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资产房源、租户、招商、合同、租金、工单、安全巡检、基础驾驶舱。</w:t>
            </w:r>
          </w:p>
        </w:tc>
        <w:tc>
          <w:tcPr>
            <w:tcW w:type="dxa" w:w="2835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经营管理基础版系统；资产/合同/应收/工单/安全数据上线。</w:t>
            </w:r>
          </w:p>
        </w:tc>
      </w:tr>
      <w:tr>
        <w:tc>
          <w:tcPr>
            <w:tcW w:type="dxa" w:w="204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第二期：物业安全与设备能耗</w:t>
            </w:r>
          </w:p>
        </w:tc>
        <w:tc>
          <w:tcPr>
            <w:tcW w:type="dxa" w:w="130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3—6个月</w:t>
            </w:r>
          </w:p>
        </w:tc>
        <w:tc>
          <w:tcPr>
            <w:tcW w:type="dxa" w:w="4535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设备台账、维保、消防、提升平台、视频、门禁、电表水表、充电桩、停车。</w:t>
            </w:r>
          </w:p>
        </w:tc>
        <w:tc>
          <w:tcPr>
            <w:tcW w:type="dxa" w:w="2835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物业安全驾驶舱；重点设备和能耗数据接入。</w:t>
            </w:r>
          </w:p>
        </w:tc>
      </w:tr>
      <w:tr>
        <w:tc>
          <w:tcPr>
            <w:tcW w:type="dxa" w:w="204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第三期：企业服务与展贸中心</w:t>
            </w:r>
          </w:p>
        </w:tc>
        <w:tc>
          <w:tcPr>
            <w:tcW w:type="dxa" w:w="130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6—12个月</w:t>
            </w:r>
          </w:p>
        </w:tc>
        <w:tc>
          <w:tcPr>
            <w:tcW w:type="dxa" w:w="4535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租户服务、政策服务、会议室/展厅/直播间预约、招商活动、企业画像。</w:t>
            </w:r>
          </w:p>
        </w:tc>
        <w:tc>
          <w:tcPr>
            <w:tcW w:type="dxa" w:w="2835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企业服务平台；展贸中心运营模块。</w:t>
            </w:r>
          </w:p>
        </w:tc>
      </w:tr>
      <w:tr>
        <w:tc>
          <w:tcPr>
            <w:tcW w:type="dxa" w:w="204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第四期：AI与产品化</w:t>
            </w:r>
          </w:p>
        </w:tc>
        <w:tc>
          <w:tcPr>
            <w:tcW w:type="dxa" w:w="130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12—18个月</w:t>
            </w:r>
          </w:p>
        </w:tc>
        <w:tc>
          <w:tcPr>
            <w:tcW w:type="dxa" w:w="4535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AI助手、经营月报、轻量数字孪生、多园区管理、SaaS产品化。</w:t>
            </w:r>
          </w:p>
        </w:tc>
        <w:tc>
          <w:tcPr>
            <w:tcW w:type="dxa" w:w="2835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智慧园区产品化版本和复制方案。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Calibri" w:hAnsi="Calibri" w:eastAsia="Noto Sans CJK SC"/>
          <w:b/>
          <w:color w:val="365F91"/>
          <w:sz w:val="26"/>
        </w:rPr>
        <w:t>9.2 第一期实施计划：0—3个月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rHeight w:hRule="atLeast"/>
        </w:trPr>
        <w:tc>
          <w:tcPr>
            <w:tcW w:type="dxa" w:w="1587"/>
            <w:vAlign w:val="center"/>
            <w:shd w:fill="1F4E79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6"/>
              </w:rPr>
              <w:t>时间</w:t>
            </w:r>
          </w:p>
        </w:tc>
        <w:tc>
          <w:tcPr>
            <w:tcW w:type="dxa" w:w="4082"/>
            <w:vAlign w:val="center"/>
            <w:shd w:fill="1F4E79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6"/>
              </w:rPr>
              <w:t>任务</w:t>
            </w:r>
          </w:p>
        </w:tc>
        <w:tc>
          <w:tcPr>
            <w:tcW w:type="dxa" w:w="2268"/>
            <w:vAlign w:val="center"/>
            <w:shd w:fill="1F4E79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6"/>
              </w:rPr>
              <w:t>责任方</w:t>
            </w:r>
          </w:p>
        </w:tc>
        <w:tc>
          <w:tcPr>
            <w:tcW w:type="dxa" w:w="3402"/>
            <w:vAlign w:val="center"/>
            <w:shd w:fill="1F4E79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6"/>
              </w:rPr>
              <w:t>验收要点</w:t>
            </w:r>
          </w:p>
        </w:tc>
      </w:tr>
      <w:tr>
        <w:tc>
          <w:tcPr>
            <w:tcW w:type="dxa" w:w="1587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第1—2周</w:t>
            </w:r>
          </w:p>
        </w:tc>
        <w:tc>
          <w:tcPr>
            <w:tcW w:type="dxa" w:w="408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项目启动、需求调研、现状流程梳理、资料清单下发。</w:t>
            </w:r>
          </w:p>
        </w:tc>
        <w:tc>
          <w:tcPr>
            <w:tcW w:type="dxa" w:w="226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园区项目组/开发单位</w:t>
            </w:r>
          </w:p>
        </w:tc>
        <w:tc>
          <w:tcPr>
            <w:tcW w:type="dxa" w:w="34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形成需求调研纪要、项目计划和基础数据模板。</w:t>
            </w:r>
          </w:p>
        </w:tc>
      </w:tr>
      <w:tr>
        <w:tc>
          <w:tcPr>
            <w:tcW w:type="dxa" w:w="1587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第3—4周</w:t>
            </w:r>
          </w:p>
        </w:tc>
        <w:tc>
          <w:tcPr>
            <w:tcW w:type="dxa" w:w="408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资产房源、租户、合同、应收、招商、工单、安全数据整理。</w:t>
            </w:r>
          </w:p>
        </w:tc>
        <w:tc>
          <w:tcPr>
            <w:tcW w:type="dxa" w:w="226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园区各部门/开发单位</w:t>
            </w:r>
          </w:p>
        </w:tc>
        <w:tc>
          <w:tcPr>
            <w:tcW w:type="dxa" w:w="34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完成数据导入前核验，明确缺失数据处理方案。</w:t>
            </w:r>
          </w:p>
        </w:tc>
      </w:tr>
      <w:tr>
        <w:tc>
          <w:tcPr>
            <w:tcW w:type="dxa" w:w="1587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第5—8周</w:t>
            </w:r>
          </w:p>
        </w:tc>
        <w:tc>
          <w:tcPr>
            <w:tcW w:type="dxa" w:w="408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核心模块开发、原型确认、基础数据导入、权限配置。</w:t>
            </w:r>
          </w:p>
        </w:tc>
        <w:tc>
          <w:tcPr>
            <w:tcW w:type="dxa" w:w="226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开发单位</w:t>
            </w:r>
          </w:p>
        </w:tc>
        <w:tc>
          <w:tcPr>
            <w:tcW w:type="dxa" w:w="34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核心流程可跑通，管理后台和移动端可测试。</w:t>
            </w:r>
          </w:p>
        </w:tc>
      </w:tr>
      <w:tr>
        <w:tc>
          <w:tcPr>
            <w:tcW w:type="dxa" w:w="1587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第9—10周</w:t>
            </w:r>
          </w:p>
        </w:tc>
        <w:tc>
          <w:tcPr>
            <w:tcW w:type="dxa" w:w="408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联调测试、缺陷修复、报表配置、驾驶舱配置。</w:t>
            </w:r>
          </w:p>
        </w:tc>
        <w:tc>
          <w:tcPr>
            <w:tcW w:type="dxa" w:w="226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开发单位/关键用户</w:t>
            </w:r>
          </w:p>
        </w:tc>
        <w:tc>
          <w:tcPr>
            <w:tcW w:type="dxa" w:w="34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出租率、应收实收、招商漏斗、工单、安全隐患报表可生成。</w:t>
            </w:r>
          </w:p>
        </w:tc>
      </w:tr>
      <w:tr>
        <w:tc>
          <w:tcPr>
            <w:tcW w:type="dxa" w:w="1587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第11—12周</w:t>
            </w:r>
          </w:p>
        </w:tc>
        <w:tc>
          <w:tcPr>
            <w:tcW w:type="dxa" w:w="408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试运行、培训、上线验收和第一轮运营复盘。</w:t>
            </w:r>
          </w:p>
        </w:tc>
        <w:tc>
          <w:tcPr>
            <w:tcW w:type="dxa" w:w="226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园区项目组/开发单位</w:t>
            </w:r>
          </w:p>
        </w:tc>
        <w:tc>
          <w:tcPr>
            <w:tcW w:type="dxa" w:w="34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系统正式启用，形成一期验收报告和改进清单。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Calibri" w:hAnsi="Calibri" w:eastAsia="Noto Sans CJK SC"/>
          <w:b/>
          <w:color w:val="365F91"/>
          <w:sz w:val="26"/>
        </w:rPr>
        <w:t>9.3 第二期实施计划：3—6个月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完成重点设备设施台账、维保计划和设备责任人配置。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完成消防巡检、提升平台专项管理和高风险企业安全管理模块。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对接重点摄像头、门禁、停车、充电桩、电表水表等设备或厂家平台。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形成设备在线率、故障率、维保完成率、能耗成本和安全隐患整改率报表。</w:t>
      </w:r>
    </w:p>
    <w:p>
      <w:pPr>
        <w:pStyle w:val="Heading2"/>
        <w:spacing w:before="200" w:after="120"/>
      </w:pPr>
      <w:r>
        <w:rPr>
          <w:rFonts w:ascii="Calibri" w:hAnsi="Calibri" w:eastAsia="Noto Sans CJK SC"/>
          <w:b/>
          <w:color w:val="365F91"/>
          <w:sz w:val="26"/>
        </w:rPr>
        <w:t>9.4 第三期实施计划：6—12个月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上线租户服务平台，支持报修、申请、预约、政策、活动等服务事项。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上线展贸中心、会议室、展厅、直播间和企业产品展示模块。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将招商活动、客户接待、企业服务和资源对接纳入系统沉淀。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形成企业画像、客户分层、租户满意度和服务价值分析。</w:t>
      </w:r>
    </w:p>
    <w:p>
      <w:pPr>
        <w:pStyle w:val="Heading2"/>
        <w:spacing w:before="200" w:after="120"/>
      </w:pPr>
      <w:r>
        <w:rPr>
          <w:rFonts w:ascii="Calibri" w:hAnsi="Calibri" w:eastAsia="Noto Sans CJK SC"/>
          <w:b/>
          <w:color w:val="365F91"/>
          <w:sz w:val="26"/>
        </w:rPr>
        <w:t>9.5 第四期实施计划：12—18个月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上线AI经营助手，支持管理层用自然语言查询经营、安全、工单、租金和设备数据。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上线经营月报自动生成能力，提高管理复盘效率。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上线轻量数字孪生或二维/三维房源设备可视化能力。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完成多园区管理和SaaS产品化评估，形成对外复制方案。</w:t>
      </w:r>
    </w:p>
    <w:p>
      <w:pPr>
        <w:pStyle w:val="Heading2"/>
        <w:spacing w:before="200" w:after="120"/>
      </w:pPr>
      <w:r>
        <w:rPr>
          <w:rFonts w:ascii="Calibri" w:hAnsi="Calibri" w:eastAsia="Noto Sans CJK SC"/>
          <w:b/>
          <w:color w:val="365F91"/>
          <w:sz w:val="26"/>
        </w:rPr>
        <w:t>9.6 阶段验收标准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rHeight w:hRule="atLeast"/>
        </w:trPr>
        <w:tc>
          <w:tcPr>
            <w:tcW w:type="dxa" w:w="1701"/>
            <w:vAlign w:val="center"/>
            <w:shd w:fill="1F4E79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8504"/>
            <w:vAlign w:val="center"/>
            <w:shd w:fill="1F4E79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7"/>
              </w:rPr>
              <w:t>验收指标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一期</w:t>
            </w:r>
          </w:p>
        </w:tc>
        <w:tc>
          <w:tcPr>
            <w:tcW w:type="dxa" w:w="850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房源数据完整率不低于95%；合同数据完整率不低于95%；应收租金可自动生成；工单和安全隐患可闭环；基础驾驶舱可使用。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二期</w:t>
            </w:r>
          </w:p>
        </w:tc>
        <w:tc>
          <w:tcPr>
            <w:tcW w:type="dxa" w:w="850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重点设备建档率100%；提升平台专项台账完整；核心能耗和充电桩数据可采集；重点摄像头可查看；维保和巡检任务可自动生成。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三期</w:t>
            </w:r>
          </w:p>
        </w:tc>
        <w:tc>
          <w:tcPr>
            <w:tcW w:type="dxa" w:w="850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租户可在线提交服务申请；会议室/展厅/直播间可预约；招商活动可记录和复盘；企业服务数据可统计。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四期</w:t>
            </w:r>
          </w:p>
        </w:tc>
        <w:tc>
          <w:tcPr>
            <w:tcW w:type="dxa" w:w="850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AI助手可查询核心经营数据；经营月报可自动生成初稿；轻量可视化可展示房源和重点设备；具备多园区复制基础。</w:t>
            </w:r>
          </w:p>
        </w:tc>
      </w:tr>
    </w:tbl>
    <w:p>
      <w:pPr>
        <w:spacing w:after="40"/>
      </w:pPr>
    </w:p>
    <w:p>
      <w:pPr>
        <w:pStyle w:val="Heading1"/>
        <w:spacing w:before="280" w:after="160"/>
      </w:pPr>
      <w:r>
        <w:rPr>
          <w:rFonts w:ascii="Calibri" w:hAnsi="Calibri" w:eastAsia="Noto Sans CJK SC"/>
          <w:b/>
          <w:color w:val="1F4E79"/>
          <w:sz w:val="32"/>
        </w:rPr>
        <w:t>第十章 组织保障、制度建设与运营机制</w:t>
      </w:r>
    </w:p>
    <w:p>
      <w:pPr>
        <w:pStyle w:val="Heading2"/>
        <w:spacing w:before="200" w:after="120"/>
      </w:pPr>
      <w:r>
        <w:rPr>
          <w:rFonts w:ascii="Calibri" w:hAnsi="Calibri" w:eastAsia="Noto Sans CJK SC"/>
          <w:b/>
          <w:color w:val="365F91"/>
          <w:sz w:val="26"/>
        </w:rPr>
        <w:t>10.1 项目组织架构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rHeight w:hRule="atLeast"/>
        </w:trPr>
        <w:tc>
          <w:tcPr>
            <w:tcW w:type="dxa" w:w="1701"/>
            <w:vAlign w:val="center"/>
            <w:shd w:fill="1F4E79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551"/>
            <w:vAlign w:val="center"/>
            <w:shd w:fill="1F4E79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7"/>
              </w:rPr>
              <w:t>建议人员/部门</w:t>
            </w:r>
          </w:p>
        </w:tc>
        <w:tc>
          <w:tcPr>
            <w:tcW w:type="dxa" w:w="5669"/>
            <w:vAlign w:val="center"/>
            <w:shd w:fill="1F4E79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7"/>
              </w:rPr>
              <w:t>主要职责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项目总负责人</w:t>
            </w:r>
          </w:p>
        </w:tc>
        <w:tc>
          <w:tcPr>
            <w:tcW w:type="dxa" w:w="255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公司或园区主要负责人</w:t>
            </w:r>
          </w:p>
        </w:tc>
        <w:tc>
          <w:tcPr>
            <w:tcW w:type="dxa" w:w="5669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统筹资源、确定目标、协调跨部门问题、审定阶段成果。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业务负责人</w:t>
            </w:r>
          </w:p>
        </w:tc>
        <w:tc>
          <w:tcPr>
            <w:tcW w:type="dxa" w:w="255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园区经营负责人</w:t>
            </w:r>
          </w:p>
        </w:tc>
        <w:tc>
          <w:tcPr>
            <w:tcW w:type="dxa" w:w="5669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负责业务流程、经营指标、部门协同和上线执行。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产品负责人</w:t>
            </w:r>
          </w:p>
        </w:tc>
        <w:tc>
          <w:tcPr>
            <w:tcW w:type="dxa" w:w="255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懂园区业务和软件逻辑的专人</w:t>
            </w:r>
          </w:p>
        </w:tc>
        <w:tc>
          <w:tcPr>
            <w:tcW w:type="dxa" w:w="5669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负责需求转化、原型确认、优先级排序和验收标准。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招商负责人</w:t>
            </w:r>
          </w:p>
        </w:tc>
        <w:tc>
          <w:tcPr>
            <w:tcW w:type="dxa" w:w="255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招商部门</w:t>
            </w:r>
          </w:p>
        </w:tc>
        <w:tc>
          <w:tcPr>
            <w:tcW w:type="dxa" w:w="5669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确认客户流程、招商漏斗、房源匹配和渠道统计。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财务负责人</w:t>
            </w:r>
          </w:p>
        </w:tc>
        <w:tc>
          <w:tcPr>
            <w:tcW w:type="dxa" w:w="255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财务部门</w:t>
            </w:r>
          </w:p>
        </w:tc>
        <w:tc>
          <w:tcPr>
            <w:tcW w:type="dxa" w:w="5669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确认合同、应收、实收、欠费、发票、对账口径。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物业负责人</w:t>
            </w:r>
          </w:p>
        </w:tc>
        <w:tc>
          <w:tcPr>
            <w:tcW w:type="dxa" w:w="255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物业/工程部门</w:t>
            </w:r>
          </w:p>
        </w:tc>
        <w:tc>
          <w:tcPr>
            <w:tcW w:type="dxa" w:w="5669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确认工单、巡检、维保、设备、保洁、保安流程。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安全负责人</w:t>
            </w:r>
          </w:p>
        </w:tc>
        <w:tc>
          <w:tcPr>
            <w:tcW w:type="dxa" w:w="255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安全管理人员</w:t>
            </w:r>
          </w:p>
        </w:tc>
        <w:tc>
          <w:tcPr>
            <w:tcW w:type="dxa" w:w="5669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确认消防、安全、隐患、应急、提升平台专项流程。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技术负责人</w:t>
            </w:r>
          </w:p>
        </w:tc>
        <w:tc>
          <w:tcPr>
            <w:tcW w:type="dxa" w:w="255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信息化/开发单位</w:t>
            </w:r>
          </w:p>
        </w:tc>
        <w:tc>
          <w:tcPr>
            <w:tcW w:type="dxa" w:w="5669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负责架构、开发、接口、安全、部署和运维。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数据管理员</w:t>
            </w:r>
          </w:p>
        </w:tc>
        <w:tc>
          <w:tcPr>
            <w:tcW w:type="dxa" w:w="255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各部门指定人员</w:t>
            </w:r>
          </w:p>
        </w:tc>
        <w:tc>
          <w:tcPr>
            <w:tcW w:type="dxa" w:w="5669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负责基础数据录入、核验、修正和持续维护。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Calibri" w:hAnsi="Calibri" w:eastAsia="Noto Sans CJK SC"/>
          <w:b/>
          <w:color w:val="365F91"/>
          <w:sz w:val="26"/>
        </w:rPr>
        <w:t>10.2 必须同步建立的制度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《园区资产编码与房源管理办法》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《招商客户跟进与成交管理办法》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《租赁合同与应收账款管理办法》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《物业工单与客户服务管理办法》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《园区安全巡检与隐患整改管理办法》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《设备设施维保管理办法》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《提升平台专项安全管理办法》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《充电桩运营管理办法》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《园区数据录入与维护责任制度》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《系统权限与数据安全管理办法》</w:t>
      </w:r>
    </w:p>
    <w:p>
      <w:pPr>
        <w:pStyle w:val="Heading2"/>
        <w:spacing w:before="200" w:after="120"/>
      </w:pPr>
      <w:r>
        <w:rPr>
          <w:rFonts w:ascii="Calibri" w:hAnsi="Calibri" w:eastAsia="Noto Sans CJK SC"/>
          <w:b/>
          <w:color w:val="365F91"/>
          <w:sz w:val="26"/>
        </w:rPr>
        <w:t>10.3 上线运营机制</w:t>
      </w:r>
    </w:p>
    <w:p>
      <w:pPr>
        <w:pStyle w:val="BodyTextClean"/>
        <w:spacing w:before="0" w:after="120" w:line="348" w:lineRule="auto"/>
      </w:pPr>
      <w:r>
        <w:rPr>
          <w:rFonts w:ascii="Calibri" w:hAnsi="Calibri" w:eastAsia="Noto Serif CJK SC"/>
          <w:b w:val="0"/>
          <w:sz w:val="21"/>
        </w:rPr>
        <w:t>系统上线后，必须形成“日常使用—数据维护—问题反馈—版本迭代—经营复盘”的运营机制。否则系统容易变成一次性建设项目，而不能成为长期管理工具。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rHeight w:hRule="atLeast"/>
        </w:trPr>
        <w:tc>
          <w:tcPr>
            <w:tcW w:type="dxa" w:w="1984"/>
            <w:vAlign w:val="center"/>
            <w:shd w:fill="1F4E79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7"/>
              </w:rPr>
              <w:t>机制</w:t>
            </w:r>
          </w:p>
        </w:tc>
        <w:tc>
          <w:tcPr>
            <w:tcW w:type="dxa" w:w="7937"/>
            <w:vAlign w:val="center"/>
            <w:shd w:fill="1F4E79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19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每日机制</w:t>
            </w:r>
          </w:p>
        </w:tc>
        <w:tc>
          <w:tcPr>
            <w:tcW w:type="dxa" w:w="7937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招商跟进、工单处理、安全巡检、设备异常和欠费提醒应在系统中完成。</w:t>
            </w:r>
          </w:p>
        </w:tc>
      </w:tr>
      <w:tr>
        <w:tc>
          <w:tcPr>
            <w:tcW w:type="dxa" w:w="19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每周机制</w:t>
            </w:r>
          </w:p>
        </w:tc>
        <w:tc>
          <w:tcPr>
            <w:tcW w:type="dxa" w:w="7937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召开运营例会，查看招商漏斗、空置房源、欠费、超时工单和安全隐患。</w:t>
            </w:r>
          </w:p>
        </w:tc>
      </w:tr>
      <w:tr>
        <w:tc>
          <w:tcPr>
            <w:tcW w:type="dxa" w:w="19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每月机制</w:t>
            </w:r>
          </w:p>
        </w:tc>
        <w:tc>
          <w:tcPr>
            <w:tcW w:type="dxa" w:w="7937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输出经营月报，复盘出租率、回款率、工单效率、安全整改、能耗成本和客户满意度。</w:t>
            </w:r>
          </w:p>
        </w:tc>
      </w:tr>
      <w:tr>
        <w:tc>
          <w:tcPr>
            <w:tcW w:type="dxa" w:w="19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每季度机制</w:t>
            </w:r>
          </w:p>
        </w:tc>
        <w:tc>
          <w:tcPr>
            <w:tcW w:type="dxa" w:w="7937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评估系统功能使用率、数据质量、供应商服务和下一阶段迭代需求。</w:t>
            </w:r>
          </w:p>
        </w:tc>
      </w:tr>
      <w:tr>
        <w:tc>
          <w:tcPr>
            <w:tcW w:type="dxa" w:w="19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年度机制</w:t>
            </w:r>
          </w:p>
        </w:tc>
        <w:tc>
          <w:tcPr>
            <w:tcW w:type="dxa" w:w="7937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结合资产经营目标和园区发展战略，评估系统对招商、收益、成本和风险管理的贡献。</w:t>
            </w:r>
          </w:p>
        </w:tc>
      </w:tr>
    </w:tbl>
    <w:p>
      <w:pPr>
        <w:spacing w:after="40"/>
      </w:pPr>
    </w:p>
    <w:p>
      <w:pPr>
        <w:pStyle w:val="Heading1"/>
        <w:spacing w:before="280" w:after="160"/>
      </w:pPr>
      <w:r>
        <w:rPr>
          <w:rFonts w:ascii="Calibri" w:hAnsi="Calibri" w:eastAsia="Noto Sans CJK SC"/>
          <w:b/>
          <w:color w:val="1F4E79"/>
          <w:sz w:val="32"/>
        </w:rPr>
        <w:t>第十一章 投资价值、经营指标与管理成效评估</w:t>
      </w:r>
    </w:p>
    <w:p>
      <w:pPr>
        <w:pStyle w:val="Heading2"/>
        <w:spacing w:before="200" w:after="120"/>
      </w:pPr>
      <w:r>
        <w:rPr>
          <w:rFonts w:ascii="Calibri" w:hAnsi="Calibri" w:eastAsia="Noto Sans CJK SC"/>
          <w:b/>
          <w:color w:val="365F91"/>
          <w:sz w:val="26"/>
        </w:rPr>
        <w:t>11.1 投资价值</w:t>
      </w:r>
    </w:p>
    <w:p>
      <w:pPr>
        <w:pStyle w:val="BodyTextClean"/>
        <w:spacing w:before="0" w:after="120" w:line="348" w:lineRule="auto"/>
      </w:pPr>
      <w:r>
        <w:rPr>
          <w:rFonts w:ascii="Calibri" w:hAnsi="Calibri" w:eastAsia="Noto Serif CJK SC"/>
          <w:b w:val="0"/>
          <w:sz w:val="21"/>
        </w:rPr>
        <w:t>智慧园区系统的投资价值不应只按软件采购费用衡量，而应从资产收益、招商效率、租金回款、物业成本、安全风险、客户满意度和未来产品化能力综合评估。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rHeight w:hRule="atLeast"/>
        </w:trPr>
        <w:tc>
          <w:tcPr>
            <w:tcW w:type="dxa" w:w="1701"/>
            <w:vAlign w:val="center"/>
            <w:shd w:fill="1F4E79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7"/>
              </w:rPr>
              <w:t>价值维度</w:t>
            </w:r>
          </w:p>
        </w:tc>
        <w:tc>
          <w:tcPr>
            <w:tcW w:type="dxa" w:w="3685"/>
            <w:vAlign w:val="center"/>
            <w:shd w:fill="1F4E79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7"/>
              </w:rPr>
              <w:t>价值说明</w:t>
            </w:r>
          </w:p>
        </w:tc>
        <w:tc>
          <w:tcPr>
            <w:tcW w:type="dxa" w:w="4535"/>
            <w:vAlign w:val="center"/>
            <w:shd w:fill="1F4E79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7"/>
              </w:rPr>
              <w:t>评估指标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资产价值</w:t>
            </w:r>
          </w:p>
        </w:tc>
        <w:tc>
          <w:tcPr>
            <w:tcW w:type="dxa" w:w="3685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提高房源清晰度和去化效率。</w:t>
            </w:r>
          </w:p>
        </w:tc>
        <w:tc>
          <w:tcPr>
            <w:tcW w:type="dxa" w:w="4535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出租率、空置率、可招商面积、单位面积收入、平均租金。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招商价值</w:t>
            </w:r>
          </w:p>
        </w:tc>
        <w:tc>
          <w:tcPr>
            <w:tcW w:type="dxa" w:w="3685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提升客户转化和团队管理能力。</w:t>
            </w:r>
          </w:p>
        </w:tc>
        <w:tc>
          <w:tcPr>
            <w:tcW w:type="dxa" w:w="4535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线索数、到访率、报价率、签约率、成交周期、流失原因。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财务价值</w:t>
            </w:r>
          </w:p>
        </w:tc>
        <w:tc>
          <w:tcPr>
            <w:tcW w:type="dxa" w:w="3685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提升应收管理和欠费控制能力。</w:t>
            </w:r>
          </w:p>
        </w:tc>
        <w:tc>
          <w:tcPr>
            <w:tcW w:type="dxa" w:w="4535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应收金额、实收金额、回款率、欠费金额、账龄结构。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服务价值</w:t>
            </w:r>
          </w:p>
        </w:tc>
        <w:tc>
          <w:tcPr>
            <w:tcW w:type="dxa" w:w="3685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提升物业响应和租户满意度。</w:t>
            </w:r>
          </w:p>
        </w:tc>
        <w:tc>
          <w:tcPr>
            <w:tcW w:type="dxa" w:w="4535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工单响应时间、处理时间、超时率、满意度、重复报修率。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安全价值</w:t>
            </w:r>
          </w:p>
        </w:tc>
        <w:tc>
          <w:tcPr>
            <w:tcW w:type="dxa" w:w="3685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降低消防、设备和生产安全风险。</w:t>
            </w:r>
          </w:p>
        </w:tc>
        <w:tc>
          <w:tcPr>
            <w:tcW w:type="dxa" w:w="4535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巡检完成率、隐患数量、整改完成率、重大风险数量。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成本价值</w:t>
            </w:r>
          </w:p>
        </w:tc>
        <w:tc>
          <w:tcPr>
            <w:tcW w:type="dxa" w:w="3685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通过能耗、维保和设备管理降低运营成本。</w:t>
            </w:r>
          </w:p>
        </w:tc>
        <w:tc>
          <w:tcPr>
            <w:tcW w:type="dxa" w:w="4535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公共能耗、维修费用、设备故障率、充电桩毛利。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平台价值</w:t>
            </w:r>
          </w:p>
        </w:tc>
        <w:tc>
          <w:tcPr>
            <w:tcW w:type="dxa" w:w="3685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形成数字园区产品化能力。</w:t>
            </w:r>
          </w:p>
        </w:tc>
        <w:tc>
          <w:tcPr>
            <w:tcW w:type="dxa" w:w="4535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可复制模块、标准化流程、对外项目机会、SaaS版本成熟度。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Calibri" w:hAnsi="Calibri" w:eastAsia="Noto Sans CJK SC"/>
          <w:b/>
          <w:color w:val="365F91"/>
          <w:sz w:val="26"/>
        </w:rPr>
        <w:t>11.2 管理层核心指标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rHeight w:hRule="atLeast"/>
        </w:trPr>
        <w:tc>
          <w:tcPr>
            <w:tcW w:type="dxa" w:w="1701"/>
            <w:vAlign w:val="center"/>
            <w:shd w:fill="1F4E79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8504"/>
            <w:vAlign w:val="center"/>
            <w:shd w:fill="1F4E79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7"/>
              </w:rPr>
              <w:t>核心指标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资产指标</w:t>
            </w:r>
          </w:p>
        </w:tc>
        <w:tc>
          <w:tcPr>
            <w:tcW w:type="dxa" w:w="850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总建筑面积、可租面积、已租面积、空置面积、出租率、空置率。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收入指标</w:t>
            </w:r>
          </w:p>
        </w:tc>
        <w:tc>
          <w:tcPr>
            <w:tcW w:type="dxa" w:w="850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月应收、月实收、回款率、欠费金额、单位面积收入。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招商指标</w:t>
            </w:r>
          </w:p>
        </w:tc>
        <w:tc>
          <w:tcPr>
            <w:tcW w:type="dxa" w:w="850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新增线索、有效客户、到访客户、报价客户、签约客户、签约面积、转化率。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客户指标</w:t>
            </w:r>
          </w:p>
        </w:tc>
        <w:tc>
          <w:tcPr>
            <w:tcW w:type="dxa" w:w="850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租户数量、行业分布、重点客户、即将到期客户、退租客户。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物业指标</w:t>
            </w:r>
          </w:p>
        </w:tc>
        <w:tc>
          <w:tcPr>
            <w:tcW w:type="dxa" w:w="850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工单数量、超时工单、平均处理时长、客户满意度、重复报修率。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安全指标</w:t>
            </w:r>
          </w:p>
        </w:tc>
        <w:tc>
          <w:tcPr>
            <w:tcW w:type="dxa" w:w="850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巡检完成率、隐患数量、整改完成率、高风险企业数量、重大隐患数量。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能耗指标</w:t>
            </w:r>
          </w:p>
        </w:tc>
        <w:tc>
          <w:tcPr>
            <w:tcW w:type="dxa" w:w="850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总用电量、公共能耗、分摊成本、异常用电、充电桩收益。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设备指标</w:t>
            </w:r>
          </w:p>
        </w:tc>
        <w:tc>
          <w:tcPr>
            <w:tcW w:type="dxa" w:w="850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设备在线率、故障数量、维保完成率、重大设备异常。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Calibri" w:hAnsi="Calibri" w:eastAsia="Noto Sans CJK SC"/>
          <w:b/>
          <w:color w:val="365F91"/>
          <w:sz w:val="26"/>
        </w:rPr>
        <w:t>11.3 系统成效评估方式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上线3个月后，评估基础数据完整率、核心流程使用率、工单闭环率、安全隐患闭环率和经营报表准确性。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上线6个月后，评估招商转化效率、回款率改善、欠费下降、设备维保执行和能耗分析效果。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上线12个月后，评估客户满意度、企业服务能力、展贸运营成果和平台化复制可能性。</w:t>
      </w:r>
    </w:p>
    <w:p>
      <w:pPr>
        <w:pStyle w:val="Heading1"/>
        <w:spacing w:before="280" w:after="160"/>
      </w:pPr>
      <w:r>
        <w:rPr>
          <w:rFonts w:ascii="Calibri" w:hAnsi="Calibri" w:eastAsia="Noto Sans CJK SC"/>
          <w:b/>
          <w:color w:val="1F4E79"/>
          <w:sz w:val="32"/>
        </w:rPr>
        <w:t>第十二章 风险识别与控制措施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rHeight w:hRule="atLeast"/>
        </w:trPr>
        <w:tc>
          <w:tcPr>
            <w:tcW w:type="dxa" w:w="1701"/>
            <w:vAlign w:val="center"/>
            <w:shd w:fill="1F4E79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6"/>
              </w:rPr>
              <w:t>风险类型</w:t>
            </w:r>
          </w:p>
        </w:tc>
        <w:tc>
          <w:tcPr>
            <w:tcW w:type="dxa" w:w="3402"/>
            <w:vAlign w:val="center"/>
            <w:shd w:fill="1F4E79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6"/>
              </w:rPr>
              <w:t>主要表现</w:t>
            </w:r>
          </w:p>
        </w:tc>
        <w:tc>
          <w:tcPr>
            <w:tcW w:type="dxa" w:w="5102"/>
            <w:vAlign w:val="center"/>
            <w:shd w:fill="1F4E79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6"/>
              </w:rPr>
              <w:t>控制措施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数据风险</w:t>
            </w:r>
          </w:p>
        </w:tc>
        <w:tc>
          <w:tcPr>
            <w:tcW w:type="dxa" w:w="34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基础数据不完整、不准确，导致系统报表失真。</w:t>
            </w:r>
          </w:p>
        </w:tc>
        <w:tc>
          <w:tcPr>
            <w:tcW w:type="dxa" w:w="51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上线前资产、合同、租户、设备、欠费数据专项清理；设置数据责任人和月度复核机制。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组织风险</w:t>
            </w:r>
          </w:p>
        </w:tc>
        <w:tc>
          <w:tcPr>
            <w:tcW w:type="dxa" w:w="34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部门不配合，一线人员继续使用微信群和Excel。</w:t>
            </w:r>
          </w:p>
        </w:tc>
        <w:tc>
          <w:tcPr>
            <w:tcW w:type="dxa" w:w="51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由高层牵头，制度要求系统为唯一业务闭环入口；设置部门使用率考核。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开发风险</w:t>
            </w:r>
          </w:p>
        </w:tc>
        <w:tc>
          <w:tcPr>
            <w:tcW w:type="dxa" w:w="34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开发单位按通用模板交付，不能贴合金湖实际流程。</w:t>
            </w:r>
          </w:p>
        </w:tc>
        <w:tc>
          <w:tcPr>
            <w:tcW w:type="dxa" w:w="51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设置产品负责人，需求确认后再开发；分阶段验收，原型先行。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接口风险</w:t>
            </w:r>
          </w:p>
        </w:tc>
        <w:tc>
          <w:tcPr>
            <w:tcW w:type="dxa" w:w="34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硬件厂家接口不开放，设备数据无法统一接入。</w:t>
            </w:r>
          </w:p>
        </w:tc>
        <w:tc>
          <w:tcPr>
            <w:tcW w:type="dxa" w:w="51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采购文件提前写明接口要求；对存量设备进行接口摸底；必要时采用网关或中间平台。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安全风险</w:t>
            </w:r>
          </w:p>
        </w:tc>
        <w:tc>
          <w:tcPr>
            <w:tcW w:type="dxa" w:w="34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合同、财务、视频、门禁和企业资料泄露。</w:t>
            </w:r>
          </w:p>
        </w:tc>
        <w:tc>
          <w:tcPr>
            <w:tcW w:type="dxa" w:w="51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角色权限、数据权限、日志审计、接口鉴权、备份恢复和供应商保密条款。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成本风险</w:t>
            </w:r>
          </w:p>
        </w:tc>
        <w:tc>
          <w:tcPr>
            <w:tcW w:type="dxa" w:w="34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一次性建设过大，投入高但使用效果不明确。</w:t>
            </w:r>
          </w:p>
        </w:tc>
        <w:tc>
          <w:tcPr>
            <w:tcW w:type="dxa" w:w="51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先做一期MVP，按经营价值排序，复杂功能后置。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供应商锁定</w:t>
            </w:r>
          </w:p>
        </w:tc>
        <w:tc>
          <w:tcPr>
            <w:tcW w:type="dxa" w:w="34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源代码、数据、接口受制于单一供应商。</w:t>
            </w:r>
          </w:p>
        </w:tc>
        <w:tc>
          <w:tcPr>
            <w:tcW w:type="dxa" w:w="51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合同中明确数据所有权、接口开放、源码或可维护权益、退出和迁移机制。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运维风险</w:t>
            </w:r>
          </w:p>
        </w:tc>
        <w:tc>
          <w:tcPr>
            <w:tcW w:type="dxa" w:w="34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上线后缺少持续维护，系统逐步失效。</w:t>
            </w:r>
          </w:p>
        </w:tc>
        <w:tc>
          <w:tcPr>
            <w:tcW w:type="dxa" w:w="51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明确运维SLA、版本迭代机制、培训机制和内部数据管理员。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Calibri" w:hAnsi="Calibri" w:eastAsia="Noto Sans CJK SC"/>
          <w:b/>
          <w:color w:val="365F91"/>
          <w:sz w:val="26"/>
        </w:rPr>
        <w:t>12.1 需要避免的典型错误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先做大屏，后补数据。没有真实业务数据的大屏只具备展示价值，不具备管理价值。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先买封闭平台，再适配业务。封闭平台往往难以满足招商、合同、租金、安全专项等深度需求。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让硬件厂家决定系统架构。摄像头、门禁、充电桩、电表只是数据来源，不能成为平台架构的中心。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一次性开发过多功能。应先跑通资产、招商、合同、租金、工单和安全闭环。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忽视制度和数据治理。没有制度，数据会变脏；数据变脏，系统就会失去价值。</w:t>
      </w:r>
    </w:p>
    <w:p>
      <w:pPr>
        <w:pStyle w:val="ListBullet"/>
        <w:spacing w:after="60" w:line="300" w:lineRule="auto"/>
      </w:pPr>
      <w:r>
        <w:rPr>
          <w:rFonts w:ascii="Calibri" w:hAnsi="Calibri" w:eastAsia="Noto Serif CJK SC"/>
          <w:sz w:val="20"/>
        </w:rPr>
        <w:t>只给领导看，不给一线用。一线不用，系统就没有真实数据。</w:t>
      </w:r>
    </w:p>
    <w:p>
      <w:pPr>
        <w:pStyle w:val="Heading1"/>
        <w:spacing w:before="280" w:after="160"/>
      </w:pPr>
      <w:r>
        <w:rPr>
          <w:rFonts w:ascii="Calibri" w:hAnsi="Calibri" w:eastAsia="Noto Sans CJK SC"/>
          <w:b/>
          <w:color w:val="1F4E79"/>
          <w:sz w:val="32"/>
        </w:rPr>
        <w:t>第十三章 近期启动工作清单</w:t>
      </w:r>
    </w:p>
    <w:p>
      <w:pPr>
        <w:pStyle w:val="BodyTextClean"/>
        <w:spacing w:before="0" w:after="120" w:line="348" w:lineRule="auto"/>
      </w:pPr>
      <w:r>
        <w:rPr>
          <w:rFonts w:ascii="Calibri" w:hAnsi="Calibri" w:eastAsia="Noto Serif CJK SC"/>
          <w:b w:val="0"/>
          <w:sz w:val="21"/>
        </w:rPr>
        <w:t>为尽快推动系统开发，建议公司立即启动以下准备工作。该部分也可作为开发单位进场前的资料准备清单。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rHeight w:hRule="atLeast"/>
        </w:trPr>
        <w:tc>
          <w:tcPr>
            <w:tcW w:type="dxa" w:w="850"/>
            <w:vAlign w:val="center"/>
            <w:shd w:fill="1F4E79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6"/>
              </w:rPr>
              <w:t>序号</w:t>
            </w:r>
          </w:p>
        </w:tc>
        <w:tc>
          <w:tcPr>
            <w:tcW w:type="dxa" w:w="4819"/>
            <w:vAlign w:val="center"/>
            <w:shd w:fill="1F4E79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6"/>
              </w:rPr>
              <w:t>工作事项</w:t>
            </w:r>
          </w:p>
        </w:tc>
        <w:tc>
          <w:tcPr>
            <w:tcW w:type="dxa" w:w="1984"/>
            <w:vAlign w:val="center"/>
            <w:shd w:fill="1F4E79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6"/>
              </w:rPr>
              <w:t>责任部门</w:t>
            </w:r>
          </w:p>
        </w:tc>
        <w:tc>
          <w:tcPr>
            <w:tcW w:type="dxa" w:w="2835"/>
            <w:vAlign w:val="center"/>
            <w:shd w:fill="1F4E79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6"/>
              </w:rPr>
              <w:t>成果文件</w:t>
            </w:r>
          </w:p>
        </w:tc>
      </w:tr>
      <w:tr>
        <w:tc>
          <w:tcPr>
            <w:tcW w:type="dxa" w:w="850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1</w:t>
            </w:r>
          </w:p>
        </w:tc>
        <w:tc>
          <w:tcPr>
            <w:tcW w:type="dxa" w:w="4819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园区资产与房源普查：楼栋、楼层、房间、面积、状态、照片、平面图、出租情况。</w:t>
            </w:r>
          </w:p>
        </w:tc>
        <w:tc>
          <w:tcPr>
            <w:tcW w:type="dxa" w:w="19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运营/资产管理</w:t>
            </w:r>
          </w:p>
        </w:tc>
        <w:tc>
          <w:tcPr>
            <w:tcW w:type="dxa" w:w="2835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《园区资产房源台账》</w:t>
            </w:r>
          </w:p>
        </w:tc>
      </w:tr>
      <w:tr>
        <w:tc>
          <w:tcPr>
            <w:tcW w:type="dxa" w:w="850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2</w:t>
            </w:r>
          </w:p>
        </w:tc>
        <w:tc>
          <w:tcPr>
            <w:tcW w:type="dxa" w:w="4819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合同与应收账款清理：租户、租期、租金、押金、付款周期、欠费、优惠期。</w:t>
            </w:r>
          </w:p>
        </w:tc>
        <w:tc>
          <w:tcPr>
            <w:tcW w:type="dxa" w:w="19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财务/运营</w:t>
            </w:r>
          </w:p>
        </w:tc>
        <w:tc>
          <w:tcPr>
            <w:tcW w:type="dxa" w:w="2835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《合同与应收台账》</w:t>
            </w:r>
          </w:p>
        </w:tc>
      </w:tr>
      <w:tr>
        <w:tc>
          <w:tcPr>
            <w:tcW w:type="dxa" w:w="850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3</w:t>
            </w:r>
          </w:p>
        </w:tc>
        <w:tc>
          <w:tcPr>
            <w:tcW w:type="dxa" w:w="4819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招商客户与空置房源匹配：线索、需求、意向、跟进阶段、可匹配房源。</w:t>
            </w:r>
          </w:p>
        </w:tc>
        <w:tc>
          <w:tcPr>
            <w:tcW w:type="dxa" w:w="19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招商部门</w:t>
            </w:r>
          </w:p>
        </w:tc>
        <w:tc>
          <w:tcPr>
            <w:tcW w:type="dxa" w:w="2835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《招商客户台账》</w:t>
            </w:r>
          </w:p>
        </w:tc>
      </w:tr>
      <w:tr>
        <w:tc>
          <w:tcPr>
            <w:tcW w:type="dxa" w:w="850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4</w:t>
            </w:r>
          </w:p>
        </w:tc>
        <w:tc>
          <w:tcPr>
            <w:tcW w:type="dxa" w:w="4819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安全风险清单：锂电池类租户、消防通道、配电室、提升平台、施工装修、仓储堆放。</w:t>
            </w:r>
          </w:p>
        </w:tc>
        <w:tc>
          <w:tcPr>
            <w:tcW w:type="dxa" w:w="19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安全/物业</w:t>
            </w:r>
          </w:p>
        </w:tc>
        <w:tc>
          <w:tcPr>
            <w:tcW w:type="dxa" w:w="2835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《园区安全风险清单》</w:t>
            </w:r>
          </w:p>
        </w:tc>
      </w:tr>
      <w:tr>
        <w:tc>
          <w:tcPr>
            <w:tcW w:type="dxa" w:w="850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5</w:t>
            </w:r>
          </w:p>
        </w:tc>
        <w:tc>
          <w:tcPr>
            <w:tcW w:type="dxa" w:w="4819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设备设施盘点：电梯、消防、配电、空调、门禁、监控、道闸、充电桩、电表水表。</w:t>
            </w:r>
          </w:p>
        </w:tc>
        <w:tc>
          <w:tcPr>
            <w:tcW w:type="dxa" w:w="19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物业/工程</w:t>
            </w:r>
          </w:p>
        </w:tc>
        <w:tc>
          <w:tcPr>
            <w:tcW w:type="dxa" w:w="2835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《设备设施台账》</w:t>
            </w:r>
          </w:p>
        </w:tc>
      </w:tr>
      <w:tr>
        <w:tc>
          <w:tcPr>
            <w:tcW w:type="dxa" w:w="850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6</w:t>
            </w:r>
          </w:p>
        </w:tc>
        <w:tc>
          <w:tcPr>
            <w:tcW w:type="dxa" w:w="4819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接口摸底：充电桩、停车、门禁、视频、电表水表、财务系统、ERP系统。</w:t>
            </w:r>
          </w:p>
        </w:tc>
        <w:tc>
          <w:tcPr>
            <w:tcW w:type="dxa" w:w="19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信息化/开发单位</w:t>
            </w:r>
          </w:p>
        </w:tc>
        <w:tc>
          <w:tcPr>
            <w:tcW w:type="dxa" w:w="2835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《系统接口摸底表》</w:t>
            </w:r>
          </w:p>
        </w:tc>
      </w:tr>
      <w:tr>
        <w:tc>
          <w:tcPr>
            <w:tcW w:type="dxa" w:w="850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7</w:t>
            </w:r>
          </w:p>
        </w:tc>
        <w:tc>
          <w:tcPr>
            <w:tcW w:type="dxa" w:w="4819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流程确认：招商、合同审批、收款、工单、安全巡检、隐患整改、维保。</w:t>
            </w:r>
          </w:p>
        </w:tc>
        <w:tc>
          <w:tcPr>
            <w:tcW w:type="dxa" w:w="19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项目组</w:t>
            </w:r>
          </w:p>
        </w:tc>
        <w:tc>
          <w:tcPr>
            <w:tcW w:type="dxa" w:w="2835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《业务流程确认表》</w:t>
            </w:r>
          </w:p>
        </w:tc>
      </w:tr>
      <w:tr>
        <w:tc>
          <w:tcPr>
            <w:tcW w:type="dxa" w:w="850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8</w:t>
            </w:r>
          </w:p>
        </w:tc>
        <w:tc>
          <w:tcPr>
            <w:tcW w:type="dxa" w:w="4819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权限确认：高层、运营、招商、财务、物业、安全、租户、开发商。</w:t>
            </w:r>
          </w:p>
        </w:tc>
        <w:tc>
          <w:tcPr>
            <w:tcW w:type="dxa" w:w="19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项目组</w:t>
            </w:r>
          </w:p>
        </w:tc>
        <w:tc>
          <w:tcPr>
            <w:tcW w:type="dxa" w:w="2835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《角色权限矩阵》</w:t>
            </w:r>
          </w:p>
        </w:tc>
      </w:tr>
      <w:tr>
        <w:tc>
          <w:tcPr>
            <w:tcW w:type="dxa" w:w="850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9</w:t>
            </w:r>
          </w:p>
        </w:tc>
        <w:tc>
          <w:tcPr>
            <w:tcW w:type="dxa" w:w="4819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需求确认会：根据本报告形成一期开发范围和商务报价边界。</w:t>
            </w:r>
          </w:p>
        </w:tc>
        <w:tc>
          <w:tcPr>
            <w:tcW w:type="dxa" w:w="19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项目组/开发单位</w:t>
            </w:r>
          </w:p>
        </w:tc>
        <w:tc>
          <w:tcPr>
            <w:tcW w:type="dxa" w:w="2835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《一期需求确认书》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80" w:after="160"/>
      </w:pPr>
      <w:r>
        <w:rPr>
          <w:rFonts w:ascii="Calibri" w:hAnsi="Calibri" w:eastAsia="Noto Sans CJK SC"/>
          <w:b/>
          <w:color w:val="1F4E79"/>
          <w:sz w:val="32"/>
        </w:rPr>
        <w:t>附录一 功能模块优先级清单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rHeight w:hRule="atLeast"/>
        </w:trPr>
        <w:tc>
          <w:tcPr>
            <w:tcW w:type="dxa" w:w="1134"/>
            <w:vAlign w:val="center"/>
            <w:shd w:fill="1F4E79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3118"/>
            <w:vAlign w:val="center"/>
            <w:shd w:fill="1F4E79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1587"/>
            <w:vAlign w:val="center"/>
            <w:shd w:fill="1F4E79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6"/>
              </w:rPr>
              <w:t>建议阶段</w:t>
            </w:r>
          </w:p>
        </w:tc>
        <w:tc>
          <w:tcPr>
            <w:tcW w:type="dxa" w:w="5102"/>
            <w:vAlign w:val="center"/>
            <w:shd w:fill="1F4E79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13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P0</w:t>
            </w:r>
          </w:p>
        </w:tc>
        <w:tc>
          <w:tcPr>
            <w:tcW w:type="dxa" w:w="311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资产房源、租户档案、合同租金、应收欠费</w:t>
            </w:r>
          </w:p>
        </w:tc>
        <w:tc>
          <w:tcPr>
            <w:tcW w:type="dxa" w:w="1587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一期</w:t>
            </w:r>
          </w:p>
        </w:tc>
        <w:tc>
          <w:tcPr>
            <w:tcW w:type="dxa" w:w="51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经营闭环基础，必须优先建设。</w:t>
            </w:r>
          </w:p>
        </w:tc>
      </w:tr>
      <w:tr>
        <w:tc>
          <w:tcPr>
            <w:tcW w:type="dxa" w:w="113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P0</w:t>
            </w:r>
          </w:p>
        </w:tc>
        <w:tc>
          <w:tcPr>
            <w:tcW w:type="dxa" w:w="311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招商CRM、客户漏斗、看房报价、签约回款</w:t>
            </w:r>
          </w:p>
        </w:tc>
        <w:tc>
          <w:tcPr>
            <w:tcW w:type="dxa" w:w="1587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一期</w:t>
            </w:r>
          </w:p>
        </w:tc>
        <w:tc>
          <w:tcPr>
            <w:tcW w:type="dxa" w:w="51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直接影响招商转化和资产去化。</w:t>
            </w:r>
          </w:p>
        </w:tc>
      </w:tr>
      <w:tr>
        <w:tc>
          <w:tcPr>
            <w:tcW w:type="dxa" w:w="113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P0</w:t>
            </w:r>
          </w:p>
        </w:tc>
        <w:tc>
          <w:tcPr>
            <w:tcW w:type="dxa" w:w="311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工单报修、安全巡检、隐患整改</w:t>
            </w:r>
          </w:p>
        </w:tc>
        <w:tc>
          <w:tcPr>
            <w:tcW w:type="dxa" w:w="1587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一期</w:t>
            </w:r>
          </w:p>
        </w:tc>
        <w:tc>
          <w:tcPr>
            <w:tcW w:type="dxa" w:w="51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关系客户体验和安全责任。</w:t>
            </w:r>
          </w:p>
        </w:tc>
      </w:tr>
      <w:tr>
        <w:tc>
          <w:tcPr>
            <w:tcW w:type="dxa" w:w="113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P1</w:t>
            </w:r>
          </w:p>
        </w:tc>
        <w:tc>
          <w:tcPr>
            <w:tcW w:type="dxa" w:w="311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基础驾驶舱、经营报表、欠费预警、到期提醒</w:t>
            </w:r>
          </w:p>
        </w:tc>
        <w:tc>
          <w:tcPr>
            <w:tcW w:type="dxa" w:w="1587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一期</w:t>
            </w:r>
          </w:p>
        </w:tc>
        <w:tc>
          <w:tcPr>
            <w:tcW w:type="dxa" w:w="51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支撑管理层决策和运营复盘。</w:t>
            </w:r>
          </w:p>
        </w:tc>
      </w:tr>
      <w:tr>
        <w:tc>
          <w:tcPr>
            <w:tcW w:type="dxa" w:w="113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P1</w:t>
            </w:r>
          </w:p>
        </w:tc>
        <w:tc>
          <w:tcPr>
            <w:tcW w:type="dxa" w:w="311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设备台账、维保计划、消防管理、提升平台专项</w:t>
            </w:r>
          </w:p>
        </w:tc>
        <w:tc>
          <w:tcPr>
            <w:tcW w:type="dxa" w:w="1587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二期</w:t>
            </w:r>
          </w:p>
        </w:tc>
        <w:tc>
          <w:tcPr>
            <w:tcW w:type="dxa" w:w="51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支撑物业安全和设备全生命周期管理。</w:t>
            </w:r>
          </w:p>
        </w:tc>
      </w:tr>
      <w:tr>
        <w:tc>
          <w:tcPr>
            <w:tcW w:type="dxa" w:w="113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P1</w:t>
            </w:r>
          </w:p>
        </w:tc>
        <w:tc>
          <w:tcPr>
            <w:tcW w:type="dxa" w:w="311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充电桩、停车、门禁、视频、电表水表接入</w:t>
            </w:r>
          </w:p>
        </w:tc>
        <w:tc>
          <w:tcPr>
            <w:tcW w:type="dxa" w:w="1587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二期</w:t>
            </w:r>
          </w:p>
        </w:tc>
        <w:tc>
          <w:tcPr>
            <w:tcW w:type="dxa" w:w="51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根据硬件接口成熟度推进。</w:t>
            </w:r>
          </w:p>
        </w:tc>
      </w:tr>
      <w:tr>
        <w:tc>
          <w:tcPr>
            <w:tcW w:type="dxa" w:w="113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P2</w:t>
            </w:r>
          </w:p>
        </w:tc>
        <w:tc>
          <w:tcPr>
            <w:tcW w:type="dxa" w:w="311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企业服务、政策服务、会议室/展厅/直播间预约</w:t>
            </w:r>
          </w:p>
        </w:tc>
        <w:tc>
          <w:tcPr>
            <w:tcW w:type="dxa" w:w="1587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三期</w:t>
            </w:r>
          </w:p>
        </w:tc>
        <w:tc>
          <w:tcPr>
            <w:tcW w:type="dxa" w:w="51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提升园区服务能力和客户黏性。</w:t>
            </w:r>
          </w:p>
        </w:tc>
      </w:tr>
      <w:tr>
        <w:tc>
          <w:tcPr>
            <w:tcW w:type="dxa" w:w="113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P2</w:t>
            </w:r>
          </w:p>
        </w:tc>
        <w:tc>
          <w:tcPr>
            <w:tcW w:type="dxa" w:w="311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展贸中心、招商活动、产品展示、客户接待</w:t>
            </w:r>
          </w:p>
        </w:tc>
        <w:tc>
          <w:tcPr>
            <w:tcW w:type="dxa" w:w="1587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三期</w:t>
            </w:r>
          </w:p>
        </w:tc>
        <w:tc>
          <w:tcPr>
            <w:tcW w:type="dxa" w:w="51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支撑产业服务和数字贸易场景。</w:t>
            </w:r>
          </w:p>
        </w:tc>
      </w:tr>
      <w:tr>
        <w:tc>
          <w:tcPr>
            <w:tcW w:type="dxa" w:w="113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P3</w:t>
            </w:r>
          </w:p>
        </w:tc>
        <w:tc>
          <w:tcPr>
            <w:tcW w:type="dxa" w:w="311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AI助手、经营月报自动化、轻量数字孪生</w:t>
            </w:r>
          </w:p>
        </w:tc>
        <w:tc>
          <w:tcPr>
            <w:tcW w:type="dxa" w:w="1587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四期</w:t>
            </w:r>
          </w:p>
        </w:tc>
        <w:tc>
          <w:tcPr>
            <w:tcW w:type="dxa" w:w="51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依赖基础数据和设备数据成熟。</w:t>
            </w:r>
          </w:p>
        </w:tc>
      </w:tr>
      <w:tr>
        <w:tc>
          <w:tcPr>
            <w:tcW w:type="dxa" w:w="113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P3</w:t>
            </w:r>
          </w:p>
        </w:tc>
        <w:tc>
          <w:tcPr>
            <w:tcW w:type="dxa" w:w="311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多园区管理、SaaS产品化</w:t>
            </w:r>
          </w:p>
        </w:tc>
        <w:tc>
          <w:tcPr>
            <w:tcW w:type="dxa" w:w="1587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四期</w:t>
            </w:r>
          </w:p>
        </w:tc>
        <w:tc>
          <w:tcPr>
            <w:tcW w:type="dxa" w:w="510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6"/>
              </w:rPr>
              <w:t>用于对外复制和数字化业务拓展。</w:t>
            </w:r>
          </w:p>
        </w:tc>
      </w:tr>
    </w:tbl>
    <w:p>
      <w:pPr>
        <w:spacing w:after="40"/>
      </w:pPr>
    </w:p>
    <w:p>
      <w:pPr>
        <w:pStyle w:val="Heading1"/>
        <w:spacing w:before="280" w:after="160"/>
      </w:pPr>
      <w:r>
        <w:rPr>
          <w:rFonts w:ascii="Calibri" w:hAnsi="Calibri" w:eastAsia="Noto Sans CJK SC"/>
          <w:b/>
          <w:color w:val="1F4E79"/>
          <w:sz w:val="32"/>
        </w:rPr>
        <w:t>附录二 基础数据字典示例</w:t>
      </w:r>
    </w:p>
    <w:p>
      <w:pPr>
        <w:pStyle w:val="BodyTextClean"/>
        <w:spacing w:before="0" w:after="120" w:line="348" w:lineRule="auto"/>
      </w:pPr>
      <w:r>
        <w:rPr>
          <w:rFonts w:ascii="Calibri" w:hAnsi="Calibri" w:eastAsia="Noto Serif CJK SC"/>
          <w:b w:val="0"/>
          <w:sz w:val="21"/>
        </w:rPr>
        <w:t>以下为开发单位深化设计时应展开的数据字典示例。正式开发前，应由开发单位与业务部门逐项确认字段名称、字段类型、是否必填、校验规则、关联关系和权限范围。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rHeight w:hRule="atLeast"/>
        </w:trPr>
        <w:tc>
          <w:tcPr>
            <w:tcW w:type="dxa" w:w="1701"/>
            <w:vAlign w:val="center"/>
            <w:shd w:fill="1F4E79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5"/>
              </w:rPr>
              <w:t>数据表</w:t>
            </w:r>
          </w:p>
        </w:tc>
        <w:tc>
          <w:tcPr>
            <w:tcW w:type="dxa" w:w="3969"/>
            <w:vAlign w:val="center"/>
            <w:shd w:fill="1F4E79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5"/>
              </w:rPr>
              <w:t>核心字段</w:t>
            </w:r>
          </w:p>
        </w:tc>
        <w:tc>
          <w:tcPr>
            <w:tcW w:type="dxa" w:w="2268"/>
            <w:vAlign w:val="center"/>
            <w:shd w:fill="1F4E79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5"/>
              </w:rPr>
              <w:t>关联对象</w:t>
            </w:r>
          </w:p>
        </w:tc>
        <w:tc>
          <w:tcPr>
            <w:tcW w:type="dxa" w:w="3118"/>
            <w:vAlign w:val="center"/>
            <w:shd w:fill="1F4E79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5"/>
              </w:rPr>
              <w:t>备注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5"/>
              </w:rPr>
              <w:t>资产房源表</w:t>
            </w:r>
          </w:p>
        </w:tc>
        <w:tc>
          <w:tcPr>
            <w:tcW w:type="dxa" w:w="3969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5"/>
              </w:rPr>
              <w:t>资产编码、楼栋、楼层、房号、面积、用途、状态、租金单价、照片、平面图。</w:t>
            </w:r>
          </w:p>
        </w:tc>
        <w:tc>
          <w:tcPr>
            <w:tcW w:type="dxa" w:w="226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5"/>
              </w:rPr>
              <w:t>合同、租户、工单、设备。</w:t>
            </w:r>
          </w:p>
        </w:tc>
        <w:tc>
          <w:tcPr>
            <w:tcW w:type="dxa" w:w="311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5"/>
              </w:rPr>
              <w:t>作为房源管理和招商匹配基础。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5"/>
              </w:rPr>
              <w:t>租户企业表</w:t>
            </w:r>
          </w:p>
        </w:tc>
        <w:tc>
          <w:tcPr>
            <w:tcW w:type="dxa" w:w="3969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5"/>
              </w:rPr>
              <w:t>企业名称、统一社会信用代码、行业、法人、联系人、风险等级、入驻时间。</w:t>
            </w:r>
          </w:p>
        </w:tc>
        <w:tc>
          <w:tcPr>
            <w:tcW w:type="dxa" w:w="226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5"/>
              </w:rPr>
              <w:t>合同、工单、安全、服务。</w:t>
            </w:r>
          </w:p>
        </w:tc>
        <w:tc>
          <w:tcPr>
            <w:tcW w:type="dxa" w:w="311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5"/>
              </w:rPr>
              <w:t>需支持企业画像和客户分层。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5"/>
              </w:rPr>
              <w:t>招商客户表</w:t>
            </w:r>
          </w:p>
        </w:tc>
        <w:tc>
          <w:tcPr>
            <w:tcW w:type="dxa" w:w="3969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5"/>
              </w:rPr>
              <w:t>客户名称、来源、需求面积、预算、行业、跟进人、阶段、意向等级、流失原因。</w:t>
            </w:r>
          </w:p>
        </w:tc>
        <w:tc>
          <w:tcPr>
            <w:tcW w:type="dxa" w:w="226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5"/>
              </w:rPr>
              <w:t>房源、报价、合同。</w:t>
            </w:r>
          </w:p>
        </w:tc>
        <w:tc>
          <w:tcPr>
            <w:tcW w:type="dxa" w:w="311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5"/>
              </w:rPr>
              <w:t>需支持客户漏斗统计。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5"/>
              </w:rPr>
              <w:t>合同表</w:t>
            </w:r>
          </w:p>
        </w:tc>
        <w:tc>
          <w:tcPr>
            <w:tcW w:type="dxa" w:w="3969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5"/>
              </w:rPr>
              <w:t>合同编号、租户、房源、租期、租金、押金、付款周期、免租期、优惠期、状态。</w:t>
            </w:r>
          </w:p>
        </w:tc>
        <w:tc>
          <w:tcPr>
            <w:tcW w:type="dxa" w:w="226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5"/>
              </w:rPr>
              <w:t>应收、发票、收款。</w:t>
            </w:r>
          </w:p>
        </w:tc>
        <w:tc>
          <w:tcPr>
            <w:tcW w:type="dxa" w:w="311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5"/>
              </w:rPr>
              <w:t>合同变更必须留痕。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5"/>
              </w:rPr>
              <w:t>应收表</w:t>
            </w:r>
          </w:p>
        </w:tc>
        <w:tc>
          <w:tcPr>
            <w:tcW w:type="dxa" w:w="3969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5"/>
              </w:rPr>
              <w:t>应收编号、合同、费用类型、应收金额、应收日期、实收金额、欠费金额、账龄。</w:t>
            </w:r>
          </w:p>
        </w:tc>
        <w:tc>
          <w:tcPr>
            <w:tcW w:type="dxa" w:w="226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5"/>
              </w:rPr>
              <w:t>合同、收款、发票。</w:t>
            </w:r>
          </w:p>
        </w:tc>
        <w:tc>
          <w:tcPr>
            <w:tcW w:type="dxa" w:w="311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5"/>
              </w:rPr>
              <w:t>用于财务回款和欠费分析。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5"/>
              </w:rPr>
              <w:t>工单表</w:t>
            </w:r>
          </w:p>
        </w:tc>
        <w:tc>
          <w:tcPr>
            <w:tcW w:type="dxa" w:w="3969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5"/>
              </w:rPr>
              <w:t>工单编号、租户、位置、类型、描述、图片、派单人、处理人、状态、评价。</w:t>
            </w:r>
          </w:p>
        </w:tc>
        <w:tc>
          <w:tcPr>
            <w:tcW w:type="dxa" w:w="226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5"/>
              </w:rPr>
              <w:t>租户、房源、设备。</w:t>
            </w:r>
          </w:p>
        </w:tc>
        <w:tc>
          <w:tcPr>
            <w:tcW w:type="dxa" w:w="311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5"/>
              </w:rPr>
              <w:t>用于物业服务闭环。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5"/>
              </w:rPr>
              <w:t>安全隐患表</w:t>
            </w:r>
          </w:p>
        </w:tc>
        <w:tc>
          <w:tcPr>
            <w:tcW w:type="dxa" w:w="3969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5"/>
              </w:rPr>
              <w:t>隐患编号、位置、类型、风险等级、整改人、期限、整改结果、复查人、状态。</w:t>
            </w:r>
          </w:p>
        </w:tc>
        <w:tc>
          <w:tcPr>
            <w:tcW w:type="dxa" w:w="226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5"/>
              </w:rPr>
              <w:t>租户、房源、设备。</w:t>
            </w:r>
          </w:p>
        </w:tc>
        <w:tc>
          <w:tcPr>
            <w:tcW w:type="dxa" w:w="311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5"/>
              </w:rPr>
              <w:t>用于安全闭环和责任追踪。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5"/>
              </w:rPr>
              <w:t>设备表</w:t>
            </w:r>
          </w:p>
        </w:tc>
        <w:tc>
          <w:tcPr>
            <w:tcW w:type="dxa" w:w="3969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5"/>
              </w:rPr>
              <w:t>设备编号、设备类型、品牌型号、位置、状态、维保单位、维保周期、责任人。</w:t>
            </w:r>
          </w:p>
        </w:tc>
        <w:tc>
          <w:tcPr>
            <w:tcW w:type="dxa" w:w="226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5"/>
              </w:rPr>
              <w:t>巡检、维保、故障、工单。</w:t>
            </w:r>
          </w:p>
        </w:tc>
        <w:tc>
          <w:tcPr>
            <w:tcW w:type="dxa" w:w="311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5"/>
              </w:rPr>
              <w:t>设备全生命周期管理基础。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5"/>
              </w:rPr>
              <w:t>能耗表</w:t>
            </w:r>
          </w:p>
        </w:tc>
        <w:tc>
          <w:tcPr>
            <w:tcW w:type="dxa" w:w="3969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5"/>
              </w:rPr>
              <w:t>表计编号、位置、租户、读数、用量、费用、采集时间、异常标识。</w:t>
            </w:r>
          </w:p>
        </w:tc>
        <w:tc>
          <w:tcPr>
            <w:tcW w:type="dxa" w:w="226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5"/>
              </w:rPr>
              <w:t>租户、房源、财务。</w:t>
            </w:r>
          </w:p>
        </w:tc>
        <w:tc>
          <w:tcPr>
            <w:tcW w:type="dxa" w:w="311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5"/>
              </w:rPr>
              <w:t>用于能耗分析和费用分摊。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5"/>
              </w:rPr>
              <w:t>充电订单表</w:t>
            </w:r>
          </w:p>
        </w:tc>
        <w:tc>
          <w:tcPr>
            <w:tcW w:type="dxa" w:w="3969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5"/>
              </w:rPr>
              <w:t>订单编号、桩号、车位、用户、开始时间、结束时间、电量、金额、支付状态。</w:t>
            </w:r>
          </w:p>
        </w:tc>
        <w:tc>
          <w:tcPr>
            <w:tcW w:type="dxa" w:w="226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5"/>
              </w:rPr>
              <w:t>充电桩、财务、停车。</w:t>
            </w:r>
          </w:p>
        </w:tc>
        <w:tc>
          <w:tcPr>
            <w:tcW w:type="dxa" w:w="3118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5"/>
              </w:rPr>
              <w:t>用于充电桩经营核算。</w:t>
            </w:r>
          </w:p>
        </w:tc>
      </w:tr>
    </w:tbl>
    <w:p>
      <w:pPr>
        <w:spacing w:after="40"/>
      </w:pPr>
    </w:p>
    <w:p>
      <w:pPr>
        <w:pStyle w:val="Heading1"/>
        <w:spacing w:before="280" w:after="160"/>
      </w:pPr>
      <w:r>
        <w:rPr>
          <w:rFonts w:ascii="Calibri" w:hAnsi="Calibri" w:eastAsia="Noto Sans CJK SC"/>
          <w:b/>
          <w:color w:val="1F4E79"/>
          <w:sz w:val="32"/>
        </w:rPr>
        <w:t>附录三 开发单位商务谈判与采购要求清单</w:t>
      </w:r>
    </w:p>
    <w:p>
      <w:pPr>
        <w:pStyle w:val="BodyTextClean"/>
        <w:spacing w:before="0" w:after="120" w:line="348" w:lineRule="auto"/>
      </w:pPr>
      <w:r>
        <w:rPr>
          <w:rFonts w:ascii="Calibri" w:hAnsi="Calibri" w:eastAsia="Noto Serif CJK SC"/>
          <w:b w:val="0"/>
          <w:sz w:val="21"/>
        </w:rPr>
        <w:t>本清单建议作为与开发单位、系统集成单位和硬件厂家商务沟通时的关键条款参考。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rHeight w:hRule="atLeast"/>
        </w:trPr>
        <w:tc>
          <w:tcPr>
            <w:tcW w:type="dxa" w:w="1984"/>
            <w:vAlign w:val="center"/>
            <w:shd w:fill="1F4E79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8220"/>
            <w:vAlign w:val="center"/>
            <w:shd w:fill="1F4E79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7"/>
              </w:rPr>
              <w:t>谈判/采购要求</w:t>
            </w:r>
          </w:p>
        </w:tc>
      </w:tr>
      <w:tr>
        <w:tc>
          <w:tcPr>
            <w:tcW w:type="dxa" w:w="19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需求边界</w:t>
            </w:r>
          </w:p>
        </w:tc>
        <w:tc>
          <w:tcPr>
            <w:tcW w:type="dxa" w:w="8220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开发单位必须明确一期、二期、三期、四期范围，分别报价，避免笼统打包。</w:t>
            </w:r>
          </w:p>
        </w:tc>
      </w:tr>
      <w:tr>
        <w:tc>
          <w:tcPr>
            <w:tcW w:type="dxa" w:w="19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原型确认</w:t>
            </w:r>
          </w:p>
        </w:tc>
        <w:tc>
          <w:tcPr>
            <w:tcW w:type="dxa" w:w="8220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正式开发前必须提交可点击原型或页面样稿，由业务部门签字确认。</w:t>
            </w:r>
          </w:p>
        </w:tc>
      </w:tr>
      <w:tr>
        <w:tc>
          <w:tcPr>
            <w:tcW w:type="dxa" w:w="19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源代码/维护权</w:t>
            </w:r>
          </w:p>
        </w:tc>
        <w:tc>
          <w:tcPr>
            <w:tcW w:type="dxa" w:w="8220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明确源码交付、二次开发权、维护服务、交接文档和后续开发机制。</w:t>
            </w:r>
          </w:p>
        </w:tc>
      </w:tr>
      <w:tr>
        <w:tc>
          <w:tcPr>
            <w:tcW w:type="dxa" w:w="19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数据所有权</w:t>
            </w:r>
          </w:p>
        </w:tc>
        <w:tc>
          <w:tcPr>
            <w:tcW w:type="dxa" w:w="8220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系统产生和导入的所有数据归园区或公司所有，供应商不得擅自使用。</w:t>
            </w:r>
          </w:p>
        </w:tc>
      </w:tr>
      <w:tr>
        <w:tc>
          <w:tcPr>
            <w:tcW w:type="dxa" w:w="19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接口开放</w:t>
            </w:r>
          </w:p>
        </w:tc>
        <w:tc>
          <w:tcPr>
            <w:tcW w:type="dxa" w:w="8220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开发单位和硬件厂家必须提供接口文档，不得以封闭接口阻碍后续集成。</w:t>
            </w:r>
          </w:p>
        </w:tc>
      </w:tr>
      <w:tr>
        <w:tc>
          <w:tcPr>
            <w:tcW w:type="dxa" w:w="19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实施人员</w:t>
            </w:r>
          </w:p>
        </w:tc>
        <w:tc>
          <w:tcPr>
            <w:tcW w:type="dxa" w:w="8220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明确项目经理、产品经理、架构师、开发、测试、实施和运维人员名单。</w:t>
            </w:r>
          </w:p>
        </w:tc>
      </w:tr>
      <w:tr>
        <w:tc>
          <w:tcPr>
            <w:tcW w:type="dxa" w:w="19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里程碑付款</w:t>
            </w:r>
          </w:p>
        </w:tc>
        <w:tc>
          <w:tcPr>
            <w:tcW w:type="dxa" w:w="8220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建议与需求确认、原型确认、模块交付、试运行、验收挂钩。</w:t>
            </w:r>
          </w:p>
        </w:tc>
      </w:tr>
      <w:tr>
        <w:tc>
          <w:tcPr>
            <w:tcW w:type="dxa" w:w="19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缺陷修复</w:t>
            </w:r>
          </w:p>
        </w:tc>
        <w:tc>
          <w:tcPr>
            <w:tcW w:type="dxa" w:w="8220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明确缺陷等级、响应时间、修复时间和验收不通过的处理方式。</w:t>
            </w:r>
          </w:p>
        </w:tc>
      </w:tr>
      <w:tr>
        <w:tc>
          <w:tcPr>
            <w:tcW w:type="dxa" w:w="19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培训交付</w:t>
            </w:r>
          </w:p>
        </w:tc>
        <w:tc>
          <w:tcPr>
            <w:tcW w:type="dxa" w:w="8220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必须提供管理员、业务用户、一线人员和租户端培训材料。</w:t>
            </w:r>
          </w:p>
        </w:tc>
      </w:tr>
      <w:tr>
        <w:tc>
          <w:tcPr>
            <w:tcW w:type="dxa" w:w="19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售后服务</w:t>
            </w:r>
          </w:p>
        </w:tc>
        <w:tc>
          <w:tcPr>
            <w:tcW w:type="dxa" w:w="8220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明确免费维护期、服务响应时间、远程/现场支持、版本升级和费用标准。</w:t>
            </w:r>
          </w:p>
        </w:tc>
      </w:tr>
      <w:tr>
        <w:tc>
          <w:tcPr>
            <w:tcW w:type="dxa" w:w="19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退出机制</w:t>
            </w:r>
          </w:p>
        </w:tc>
        <w:tc>
          <w:tcPr>
            <w:tcW w:type="dxa" w:w="8220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Noto Serif CJK SC"/>
                <w:b w:val="0"/>
                <w:sz w:val="17"/>
              </w:rPr>
              <w:t>合同终止或更换供应商时，应提供数据导出、接口说明、部署文档和交接支持。</w:t>
            </w:r>
          </w:p>
        </w:tc>
      </w:tr>
    </w:tbl>
    <w:p>
      <w:pPr>
        <w:spacing w:after="40"/>
      </w:pPr>
    </w:p>
    <w:p>
      <w:pPr>
        <w:pStyle w:val="Heading1"/>
        <w:spacing w:before="280" w:after="160"/>
      </w:pPr>
      <w:r>
        <w:rPr>
          <w:rFonts w:ascii="Calibri" w:hAnsi="Calibri" w:eastAsia="Noto Sans CJK SC"/>
          <w:b/>
          <w:color w:val="1F4E79"/>
          <w:sz w:val="32"/>
        </w:rPr>
        <w:t>附录四 参考政策、标准与方法论</w:t>
      </w:r>
    </w:p>
    <w:p>
      <w:pPr>
        <w:pStyle w:val="BodyTextClean"/>
        <w:spacing w:before="0" w:after="120" w:line="348" w:lineRule="auto"/>
      </w:pPr>
      <w:r>
        <w:rPr>
          <w:rFonts w:ascii="Calibri" w:hAnsi="Calibri" w:eastAsia="Noto Serif CJK SC"/>
          <w:b w:val="0"/>
          <w:sz w:val="21"/>
        </w:rPr>
        <w:t>以下公开政策、标准和方法论用于本报告的方向判断和管理框架参考。具体实施时，应结合公司实际、项目预算、设备条件和正式法规合规意见进一步细化。</w:t>
      </w:r>
    </w:p>
    <w:p>
      <w:pPr>
        <w:pStyle w:val="SmallNote"/>
      </w:pPr>
      <w:r>
        <w:rPr>
          <w:rFonts w:ascii="Calibri" w:hAnsi="Calibri" w:eastAsia="Noto Serif CJK SC"/>
          <w:sz w:val="18"/>
        </w:rPr>
        <w:t>[1] 工业和信息化部办公厅：《高标准数字园区建设指南》，2025年11月13日印发。</w:t>
      </w:r>
    </w:p>
    <w:p>
      <w:pPr>
        <w:pStyle w:val="SmallNote"/>
      </w:pPr>
      <w:r>
        <w:rPr>
          <w:rFonts w:ascii="Calibri" w:hAnsi="Calibri" w:eastAsia="Noto Serif CJK SC"/>
          <w:sz w:val="18"/>
        </w:rPr>
        <w:t>[2] ISO 55001:2024，Asset management — Management systems — Requirements。</w:t>
      </w:r>
    </w:p>
    <w:p>
      <w:pPr>
        <w:pStyle w:val="SmallNote"/>
      </w:pPr>
      <w:r>
        <w:rPr>
          <w:rFonts w:ascii="Calibri" w:hAnsi="Calibri" w:eastAsia="Noto Serif CJK SC"/>
          <w:sz w:val="18"/>
        </w:rPr>
        <w:t>[3] ISO 41001:2018，Facility management — Management systems — Requirements with guidance for use。</w:t>
      </w:r>
    </w:p>
    <w:p>
      <w:pPr>
        <w:pStyle w:val="SmallNote"/>
      </w:pPr>
      <w:r>
        <w:rPr>
          <w:rFonts w:ascii="Calibri" w:hAnsi="Calibri" w:eastAsia="Noto Serif CJK SC"/>
          <w:sz w:val="18"/>
        </w:rPr>
        <w:t>[4] ISO 50001:2018，Energy management systems — Requirements with guidance for use。</w:t>
      </w:r>
    </w:p>
    <w:p>
      <w:pPr>
        <w:pStyle w:val="SmallNote"/>
      </w:pPr>
      <w:r>
        <w:rPr>
          <w:rFonts w:ascii="Calibri" w:hAnsi="Calibri" w:eastAsia="Noto Serif CJK SC"/>
          <w:sz w:val="18"/>
        </w:rPr>
        <w:t>[5] National Institute of Standards and Technology，The NIST Cybersecurity Framework (CSF) 2.0，2024年2月26日。</w:t>
      </w:r>
    </w:p>
    <w:p>
      <w:pPr>
        <w:pStyle w:val="SmallNote"/>
      </w:pPr>
      <w:r>
        <w:rPr>
          <w:rFonts w:ascii="Calibri" w:hAnsi="Calibri" w:eastAsia="Noto Serif CJK SC"/>
          <w:sz w:val="18"/>
        </w:rPr>
        <w:t>[6] ISACA，COBIT framework for governance and management of enterprise information and technology。</w:t>
      </w:r>
    </w:p>
    <w:p>
      <w:pPr>
        <w:pStyle w:val="SmallNote"/>
      </w:pPr>
      <w:r>
        <w:rPr>
          <w:rFonts w:ascii="Calibri" w:hAnsi="Calibri" w:eastAsia="Noto Serif CJK SC"/>
          <w:sz w:val="18"/>
        </w:rPr>
        <w:t>[7] ITIL，Digital Product and Service Management / IT Service Management best-practice framework。</w:t>
      </w:r>
    </w:p>
    <w:p>
      <w:pPr>
        <w:pStyle w:val="SmallNote"/>
      </w:pPr>
      <w:r>
        <w:rPr>
          <w:rFonts w:ascii="Calibri" w:hAnsi="Calibri" w:eastAsia="Noto Serif CJK SC"/>
          <w:sz w:val="18"/>
        </w:rPr>
        <w:t>[8] GB/T 28181-2022，公共安全视频监控联网系统信息传输、交换、控制技术要求。</w:t>
      </w:r>
    </w:p>
    <w:p>
      <w:pPr>
        <w:pStyle w:val="Heading1"/>
        <w:spacing w:before="280" w:after="160"/>
      </w:pPr>
      <w:r>
        <w:rPr>
          <w:rFonts w:ascii="Calibri" w:hAnsi="Calibri" w:eastAsia="Noto Sans CJK SC"/>
          <w:b/>
          <w:color w:val="1F4E79"/>
          <w:sz w:val="32"/>
        </w:rPr>
        <w:t>结语</w:t>
      </w:r>
    </w:p>
    <w:p>
      <w:pPr>
        <w:pStyle w:val="BodyTextClean"/>
        <w:spacing w:before="0" w:after="120" w:line="348" w:lineRule="auto"/>
      </w:pPr>
      <w:r>
        <w:rPr>
          <w:rFonts w:ascii="Calibri" w:hAnsi="Calibri" w:eastAsia="Noto Serif CJK SC"/>
          <w:b w:val="0"/>
          <w:sz w:val="21"/>
        </w:rPr>
        <w:t>金湖科创产业园智慧管理系统的正确方向，是经营数字化，而不是智慧化包装。第一阶段应先建立资产、招商、合同、租金、工单和安全的经营闭环；第二阶段接入设备、能耗、视频、门禁、充电桩和消防；第三阶段建设企业服务、展贸中心、政策服务和客户资源平台；第四阶段再推进AI助手、轻量数字孪生和SaaS产品化。</w:t>
      </w:r>
    </w:p>
    <w:p>
      <w:pPr>
        <w:pStyle w:val="BodyTextClean"/>
        <w:spacing w:before="0" w:after="120" w:line="348" w:lineRule="auto"/>
      </w:pPr>
      <w:r>
        <w:rPr>
          <w:rFonts w:ascii="Calibri" w:hAnsi="Calibri" w:eastAsia="Noto Serif CJK SC"/>
          <w:b w:val="0"/>
          <w:sz w:val="21"/>
        </w:rPr>
        <w:t>系统一旦做成，价值不仅是提高园区管理效率，更重要的是把金湖从“持有物业资产的园区业主”逐步升级为“具备数字化运营能力的产业园区平台公司”。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361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Noto Serif CJK SC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Calibri" w:hAnsi="Calibri" w:eastAsia="Noto Serif CJK SC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Noto Serif CJK SC"/>
        <w:b w:val="0"/>
        <w:color w:val="646464"/>
        <w:sz w:val="17"/>
      </w:rPr>
      <w:t>金湖科创产业园智慧园区管理系统建设研究报告暨开发任务书（建议稿）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20"/>
    </w:pPr>
    <w:rPr>
      <w:rFonts w:ascii="Calibri" w:hAnsi="Calibri" w:eastAsia="Noto Serif CJK SC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Noto Sans CJK SC"/>
      <w:b/>
      <w:bCs/>
      <w:color w:val="365F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Noto Serif CJK SC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Noto Serif CJK SC"/>
      <w:b w:val="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Noto Serif CJK SC"/>
      <w:b w:val="0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TextClean">
    <w:name w:val="Body Text Clean"/>
    <w:basedOn w:val="Normal"/>
    <w:pPr>
      <w:spacing w:line="348" w:lineRule="auto" w:after="120"/>
      <w:ind w:firstLine="420"/>
    </w:pPr>
    <w:rPr>
      <w:rFonts w:ascii="Calibri" w:hAnsi="Calibri" w:eastAsia="Noto Serif CJK SC"/>
      <w:b w:val="0"/>
      <w:sz w:val="21"/>
    </w:rPr>
  </w:style>
  <w:style w:type="paragraph" w:customStyle="1" w:styleId="SmallNote">
    <w:name w:val="Small Note"/>
    <w:pPr>
      <w:spacing w:line="288" w:lineRule="auto" w:after="60"/>
    </w:pPr>
    <w:rPr>
      <w:rFonts w:ascii="Calibri" w:hAnsi="Calibri" w:eastAsia="Noto Serif CJK SC"/>
      <w:b w:val="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金湖科创产业园智慧园区管理系统建设研究报告暨开发任务书（建议稿）</dc:title>
  <dc:subject>智慧园区管理系统；开发任务书；建设建议书</dc:subject>
  <dc:creator>python-docx</dc:creator>
  <cp:keywords>金湖科创产业园,智慧园区,资产经营,招商运营,物业安全,企业服务,数据驾驶舱</cp:keywords>
  <dc:description>Generated as a formal report and task brief.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