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采购询价及比价文件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KT-PUR-F01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pPr>
        <w:pStyle w:val="Heading1"/>
      </w:pPr>
      <w:r>
        <w:t>一、询价信息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8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询价单号</w:t>
            </w:r>
          </w:p>
        </w:tc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项目/订单</w:t>
            </w:r>
          </w:p>
        </w:tc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报价截止</w:t>
            </w:r>
          </w:p>
        </w:tc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交货地点</w:t>
            </w:r>
          </w:p>
        </w:tc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结算币种/税率</w:t>
            </w:r>
          </w:p>
        </w:tc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人民币；增值税率〔填写〕%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联系人</w:t>
            </w:r>
          </w:p>
        </w:tc>
        <w:tc>
          <w:tcPr>
            <w:tcW w:type="dxa" w:w="74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二、采购清单与技术要求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6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9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物料编码</w:t>
            </w:r>
          </w:p>
        </w:tc>
        <w:tc>
          <w:tcPr>
            <w:tcW w:type="dxa" w:w="252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名称/规格</w:t>
            </w:r>
          </w:p>
        </w:tc>
        <w:tc>
          <w:tcPr>
            <w:tcW w:type="dxa" w:w="6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86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58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质量/标准</w:t>
            </w:r>
          </w:p>
        </w:tc>
        <w:tc>
          <w:tcPr>
            <w:tcW w:type="dxa" w:w="108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要求交期</w:t>
            </w:r>
          </w:p>
        </w:tc>
        <w:tc>
          <w:tcPr>
            <w:tcW w:type="dxa" w:w="100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含税单价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RM-YARN-〔填写〕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PE人造草丝，Dtex/颜色/性能按技术附件</w:t>
            </w:r>
          </w:p>
        </w:tc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kg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COA+批次追溯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2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RM-BACK-〔填写〕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PP复合底布，幅宽/克重按图纸</w:t>
            </w:r>
          </w:p>
        </w:tc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㎡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尺寸、克重、拉力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3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RM-GLUE-〔填写〕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丁苯乳胶/PU背胶〔选定〕</w:t>
            </w:r>
          </w:p>
        </w:tc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kg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批次检测及保质期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三、供应商必须响应事项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响应项</w:t>
            </w:r>
          </w:p>
        </w:tc>
        <w:tc>
          <w:tcPr>
            <w:tcW w:type="dxa" w:w="633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供应商填写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未税/含税总价、税率及发票类型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最小起订量、包装规格、净重/毛重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承诺交期、产能及分批交货方案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付款条件及账期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质量保证期、退换货和索赔机制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样品、检测报告、材料声明及追溯资料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□随报价提供  □可在〔日期〕前提供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报价有效期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自报价日起〔填写〕日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偏离说明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无偏离/详见附件〔填写〕</w:t>
            </w:r>
          </w:p>
        </w:tc>
      </w:tr>
    </w:tbl>
    <w:p>
      <w:pPr>
        <w:pStyle w:val="Heading1"/>
      </w:pPr>
      <w:r>
        <w:t>四、内部比价与定标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158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供应商</w:t>
            </w:r>
          </w:p>
        </w:tc>
        <w:tc>
          <w:tcPr>
            <w:tcW w:type="dxa" w:w="108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价格30%</w:t>
            </w:r>
          </w:p>
        </w:tc>
        <w:tc>
          <w:tcPr>
            <w:tcW w:type="dxa" w:w="108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质量25%</w:t>
            </w:r>
          </w:p>
        </w:tc>
        <w:tc>
          <w:tcPr>
            <w:tcW w:type="dxa" w:w="108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交期20%</w:t>
            </w:r>
          </w:p>
        </w:tc>
        <w:tc>
          <w:tcPr>
            <w:tcW w:type="dxa" w:w="108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付款15%</w:t>
            </w:r>
          </w:p>
        </w:tc>
        <w:tc>
          <w:tcPr>
            <w:tcW w:type="dxa" w:w="108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服务10%</w:t>
            </w:r>
          </w:p>
        </w:tc>
        <w:tc>
          <w:tcPr>
            <w:tcW w:type="dxa" w:w="93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总分</w:t>
            </w:r>
          </w:p>
        </w:tc>
        <w:tc>
          <w:tcPr>
            <w:tcW w:type="dxa" w:w="172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A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B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C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</w:tbl>
    <w:p>
      <w:r>
        <w:rPr>
          <w:rFonts w:ascii="Heiti SC" w:hAnsi="Heiti SC" w:eastAsia="Heiti SC"/>
          <w:b w:val="0"/>
          <w:color w:val="24332C"/>
          <w:sz w:val="21"/>
        </w:rPr>
        <w:t>定标原则：不得仅按最低价定标。采购应核对合格供应商状态、样品/检测、历史质量、产能、交期、付款条件和单一来源风险，并记录未选择最低价时的理由。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KT-PUR-F01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