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人造草坪及原辅材料采购合同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KT-PUR-C01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pPr>
        <w:pStyle w:val="Heading1"/>
      </w:pPr>
      <w:r>
        <w:t>合同主体与基础信息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845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甲方</w:t>
            </w:r>
          </w:p>
        </w:tc>
        <w:tc>
          <w:tcPr>
            <w:tcW w:type="dxa" w:w="3845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乙方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名称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甲方（买方）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乙方（卖方/供应商）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统一社会信用代码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地址/联系人/电话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开户行及账号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合同编号/关联订单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第一条 标的、数量与价款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6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9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产品/物料编码</w:t>
            </w:r>
          </w:p>
        </w:tc>
        <w:tc>
          <w:tcPr>
            <w:tcW w:type="dxa" w:w="223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名称及规格</w:t>
            </w:r>
          </w:p>
        </w:tc>
        <w:tc>
          <w:tcPr>
            <w:tcW w:type="dxa" w:w="6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86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08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含税单价</w:t>
            </w:r>
          </w:p>
        </w:tc>
        <w:tc>
          <w:tcPr>
            <w:tcW w:type="dxa" w:w="201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含税金额</w:t>
            </w:r>
          </w:p>
        </w:tc>
        <w:tc>
          <w:tcPr>
            <w:tcW w:type="dxa" w:w="86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税率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详见本合同技术附件及批准样</w:t>
            </w:r>
          </w:p>
        </w:tc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〔填写〕%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合计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人民币（大写）〔填写〕；￥〔填写〕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pPr>
        <w:pStyle w:val="Heading2"/>
      </w:pPr>
      <w:r>
        <w:t>第二条 技术标准与文件优先顺序</w:t>
      </w:r>
    </w:p>
    <w:p>
      <w:r>
        <w:rPr>
          <w:rFonts w:ascii="Heiti SC" w:hAnsi="Heiti SC" w:eastAsia="Heiti SC"/>
          <w:b w:val="0"/>
          <w:color w:val="24332C"/>
          <w:sz w:val="21"/>
        </w:rPr>
        <w:t>标的物应符合本合同、技术附件、经确认的需求书/规格书、封样、图纸、订单及适用国家或行业标准。文件冲突时，双方书面确认的最新技术附件优先；任何降低质量或改变关键参数的替代均须事先书面批准。</w:t>
      </w:r>
    </w:p>
    <w:p>
      <w:pPr>
        <w:pStyle w:val="Heading2"/>
      </w:pPr>
      <w:r>
        <w:t>第三条 交付、包装与风险转移</w:t>
      </w:r>
    </w:p>
    <w:p>
      <w:r>
        <w:rPr>
          <w:rFonts w:ascii="Heiti SC" w:hAnsi="Heiti SC" w:eastAsia="Heiti SC"/>
          <w:b w:val="0"/>
          <w:color w:val="24332C"/>
          <w:sz w:val="21"/>
        </w:rPr>
        <w:t>交付地点、收货人、运输方式和交期以本合同为准。包装应满足防潮、防污、防折损和可追溯要求。风险在货物运抵约定地点并完成数量及外观签收后转移；签收不代表质量最终验收。</w:t>
      </w:r>
    </w:p>
    <w:p>
      <w:pPr>
        <w:pStyle w:val="Heading2"/>
      </w:pPr>
      <w:r>
        <w:t>第四条 验收与异议</w:t>
      </w:r>
    </w:p>
    <w:p>
      <w:r>
        <w:rPr>
          <w:rFonts w:ascii="Heiti SC" w:hAnsi="Heiti SC" w:eastAsia="Heiti SC"/>
          <w:b w:val="0"/>
          <w:color w:val="24332C"/>
          <w:sz w:val="21"/>
        </w:rPr>
        <w:t>收货方在到货后〔5〕个工作日内完成数量、包装和外观初验；隐蔽缺陷、性能或有害物质问题以检验、施工或合理使用中发现的时间起算。验收依据包括批次报告、封样、规格书和适用标准。</w:t>
      </w:r>
    </w:p>
    <w:p>
      <w:pPr>
        <w:pStyle w:val="Heading2"/>
      </w:pPr>
      <w:r>
        <w:t>第五条 价款、发票与付款</w:t>
      </w:r>
    </w:p>
    <w:p>
      <w:r>
        <w:rPr>
          <w:rFonts w:ascii="Heiti SC" w:hAnsi="Heiti SC" w:eastAsia="Heiti SC"/>
          <w:b w:val="0"/>
          <w:color w:val="24332C"/>
          <w:sz w:val="21"/>
        </w:rPr>
        <w:t>付款节点：预付款〔填写〕%；到货/验收款〔填写〕%；质保金〔填写〕%。收款方应按约定开具合法有效发票。付款不构成对质量、数量或违约责任的放弃。</w:t>
      </w:r>
    </w:p>
    <w:p>
      <w:pPr>
        <w:pStyle w:val="Heading2"/>
      </w:pPr>
      <w:r>
        <w:t>第六条 质量保证与追溯</w:t>
      </w:r>
    </w:p>
    <w:p>
      <w:r>
        <w:rPr>
          <w:rFonts w:ascii="Heiti SC" w:hAnsi="Heiti SC" w:eastAsia="Heiti SC"/>
          <w:b w:val="0"/>
          <w:color w:val="24332C"/>
          <w:sz w:val="21"/>
        </w:rPr>
        <w:t>供方保证产品为全新合格品，批次、原料、生产日期、检验、卷号/批号可追溯。质保期为验收合格后〔填写〕个月；适用法律、标准或承诺规定更长期限的，从其规定。</w:t>
      </w:r>
    </w:p>
    <w:p>
      <w:pPr>
        <w:pStyle w:val="Heading2"/>
      </w:pPr>
      <w:r>
        <w:t>第七条 变更管理</w:t>
      </w:r>
    </w:p>
    <w:p>
      <w:r>
        <w:rPr>
          <w:rFonts w:ascii="Heiti SC" w:hAnsi="Heiti SC" w:eastAsia="Heiti SC"/>
          <w:b w:val="0"/>
          <w:color w:val="24332C"/>
          <w:sz w:val="21"/>
        </w:rPr>
        <w:t>数量、规格、材料、颜色、包装、交期、地点和价格变更须由双方授权人员书面确认。未经确认的口头通知不改变合同。变更导致的成本和交期影响应在执行前明确。</w:t>
      </w:r>
    </w:p>
    <w:p>
      <w:pPr>
        <w:pStyle w:val="Heading2"/>
      </w:pPr>
      <w:r>
        <w:t>第八条 违约责任</w:t>
      </w:r>
    </w:p>
    <w:p>
      <w:r>
        <w:rPr>
          <w:rFonts w:ascii="Heiti SC" w:hAnsi="Heiti SC" w:eastAsia="Heiti SC"/>
          <w:b w:val="0"/>
          <w:color w:val="24332C"/>
          <w:sz w:val="21"/>
        </w:rPr>
        <w:t>逾期交付按逾期部分价款每日〔0.05〕%支付违约金，累计不超过合同总价〔10〕%；逾期超过〔15〕日或严重质量不合格，守约方可解除相关订单并要求赔偿可证明的损失。违约金不足以弥补损失的，违约方继续赔偿差额。</w:t>
      </w:r>
    </w:p>
    <w:p>
      <w:pPr>
        <w:pStyle w:val="Heading2"/>
      </w:pPr>
      <w:r>
        <w:t>第九条 知识产权、保密与合规</w:t>
      </w:r>
    </w:p>
    <w:p>
      <w:r>
        <w:rPr>
          <w:rFonts w:ascii="Heiti SC" w:hAnsi="Heiti SC" w:eastAsia="Heiti SC"/>
          <w:b w:val="0"/>
          <w:color w:val="24332C"/>
          <w:sz w:val="21"/>
        </w:rPr>
        <w:t>双方对在履约中知悉的价格、配方、工艺、客户、图纸和经营信息承担保密义务。供方保证交付物不侵犯第三方权利，并遵守反商业贿赂、产品质量、环境、安全和进出口合规要求。</w:t>
      </w:r>
    </w:p>
    <w:p>
      <w:pPr>
        <w:pStyle w:val="Heading2"/>
      </w:pPr>
      <w:r>
        <w:t>第十条 不可抗力</w:t>
      </w:r>
    </w:p>
    <w:p>
      <w:r>
        <w:rPr>
          <w:rFonts w:ascii="Heiti SC" w:hAnsi="Heiti SC" w:eastAsia="Heiti SC"/>
          <w:b w:val="0"/>
          <w:color w:val="24332C"/>
          <w:sz w:val="21"/>
        </w:rPr>
        <w:t>受影响方应及时通知并在合理期限内提供证明，采取措施减少损失。不可抗力持续超过〔30〕日，双方应协商变更或解除未履行部分。</w:t>
      </w:r>
    </w:p>
    <w:p>
      <w:pPr>
        <w:pStyle w:val="Heading2"/>
      </w:pPr>
      <w:r>
        <w:t>第十一条 争议解决与通知</w:t>
      </w:r>
    </w:p>
    <w:p>
      <w:r>
        <w:rPr>
          <w:rFonts w:ascii="Heiti SC" w:hAnsi="Heiti SC" w:eastAsia="Heiti SC"/>
          <w:b w:val="0"/>
          <w:color w:val="24332C"/>
          <w:sz w:val="21"/>
        </w:rPr>
        <w:t>本合同适用中华人民共和国法律。争议先协商；协商不成，向〔乙方所在地/约定地〕有管辖权的人民法院起诉。合同列明的地址、电子邮箱为有效送达地址，变更应书面通知。</w:t>
      </w:r>
    </w:p>
    <w:p>
      <w:pPr>
        <w:pStyle w:val="Heading2"/>
      </w:pPr>
      <w:r>
        <w:t>第十二条 生效、文本与附件</w:t>
      </w:r>
    </w:p>
    <w:p>
      <w:r>
        <w:rPr>
          <w:rFonts w:ascii="Heiti SC" w:hAnsi="Heiti SC" w:eastAsia="Heiti SC"/>
          <w:b w:val="0"/>
          <w:color w:val="24332C"/>
          <w:sz w:val="21"/>
        </w:rPr>
        <w:t>本合同自双方盖章或经双方认可的可靠电子签名完成之日起生效。扫描件、可靠电子签名文本与纸质盖章文本具有同等效力。附件、订单、技术确认书、封样记录和经确认的变更单均为合同组成部分。</w:t>
      </w:r>
    </w:p>
    <w:p>
      <w:pPr>
        <w:pStyle w:val="Heading1"/>
      </w:pPr>
      <w:r>
        <w:t>附件清单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86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附件</w:t>
            </w:r>
          </w:p>
        </w:tc>
        <w:tc>
          <w:tcPr>
            <w:tcW w:type="dxa" w:w="763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1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是否齐备</w:t>
            </w:r>
          </w:p>
        </w:tc>
      </w:tr>
      <w:tr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技术需求确认书/产品规格书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</w:t>
            </w:r>
          </w:p>
        </w:tc>
      </w:tr>
      <w:tr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2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报价单及订单清单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</w:t>
            </w:r>
          </w:p>
        </w:tc>
      </w:tr>
      <w:tr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3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质量标准、封样及检测要求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</w:t>
            </w:r>
          </w:p>
        </w:tc>
      </w:tr>
      <w:tr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4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交付排版/包装/标识要求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甲方（盖章）：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乙方（盖章）：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KT-PUR-C01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