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人造草坪成品检验与项目验收单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KT-QUA-F01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pPr>
        <w:pStyle w:val="Heading1"/>
      </w:pPr>
      <w:r>
        <w:t>一、批次与项目识别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34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项目/客户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合同/订单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产品型号/规格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生产批次/卷号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检验日期/地点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抽样方案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</w:tbl>
    <w:p>
      <w:pPr>
        <w:pStyle w:val="Heading1"/>
      </w:pPr>
      <w:r>
        <w:t>二、检验记录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64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656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检验项目</w:t>
            </w:r>
          </w:p>
        </w:tc>
        <w:tc>
          <w:tcPr>
            <w:tcW w:type="dxa" w:w="259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合同/标准要求</w:t>
            </w:r>
          </w:p>
        </w:tc>
        <w:tc>
          <w:tcPr>
            <w:tcW w:type="dxa" w:w="1656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实测结果</w:t>
            </w:r>
          </w:p>
        </w:tc>
        <w:tc>
          <w:tcPr>
            <w:tcW w:type="dxa" w:w="144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1656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证据编号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外观、颜色、漏针、破损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与封样一致，无影响使用缺陷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□合格 □不合格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2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草高/幅宽/卷长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按规格书及允许偏差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□合格 □不合格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3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Dtex/密度/针距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按规格书/批次报告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□合格 □不合格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4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底布与背胶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结构、附着及外观符合要求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□合格 □不合格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5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包装、标签、卷号追溯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完整、清晰、与清单一致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□合格 □不合格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6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性能及有害物质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按适用标准/第三方报告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□合格 □不合格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</w:tbl>
    <w:p>
      <w:pPr>
        <w:pStyle w:val="Heading1"/>
      </w:pPr>
      <w:r>
        <w:t>三、不合格处置与结论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56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不合格描述/位置/数量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〔填写；无则填“无”〕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处置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□接收  □返工  □挑选  □退货  □让步接收（需授权）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整改期限与责任人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最终结论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□验收合格  □有条件接收  □验收不合格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附件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照片〔 〕张；检测报告编号〔填写〕；NCR编号〔填写〕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客户/收货方：</w:t>
            </w:r>
          </w:p>
        </w:tc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检验/交付方：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KT-QUA-F01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