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rFonts w:ascii="Heiti SC" w:hAnsi="Heiti SC" w:eastAsia="Heiti SC"/>
          <w:b/>
          <w:color w:val="0B5D3B"/>
          <w:sz w:val="24"/>
        </w:rPr>
        <w:t>金 特 夫  KING TURF</w:t>
      </w:r>
    </w:p>
    <w:p>
      <w:pPr>
        <w:pStyle w:val="Title"/>
        <w:jc w:val="center"/>
      </w:pPr>
      <w:r>
        <w:t>中小学足球场人造草系统规格书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3384"/>
        <w:gridCol w:w="1440"/>
        <w:gridCol w:w="3384"/>
      </w:tblGrid>
      <w:tr>
        <w:trPr>
          <w:tblHeader w:val="true"/>
        </w:trP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文件编号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KT-PRD-S03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版本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V1.0</w:t>
            </w:r>
          </w:p>
        </w:tc>
      </w:tr>
      <w:tr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生效日期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〔填写〕</w:t>
            </w:r>
          </w:p>
        </w:tc>
        <w:tc>
          <w:tcPr>
            <w:tcW w:type="dxa" w:w="2541"/>
            <w:shd w:fill="EAF3EE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/>
                <w:color w:val="0B5D3B"/>
                <w:sz w:val="19"/>
              </w:rPr>
              <w:t>受控状态</w:t>
            </w:r>
          </w:p>
        </w:tc>
        <w:tc>
          <w:tcPr>
            <w:tcW w:type="dxa" w:w="254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rPr>
                <w:rFonts w:ascii="Heiti SC" w:hAnsi="Heiti SC" w:eastAsia="Heiti SC"/>
                <w:b w:val="0"/>
                <w:color w:val="24332C"/>
                <w:sz w:val="19"/>
              </w:rPr>
              <w:t>受控模板</w:t>
            </w:r>
          </w:p>
        </w:tc>
      </w:tr>
    </w:tbl>
    <w:p/>
    <w:p>
      <w:pPr>
        <w:pStyle w:val="Heading1"/>
      </w:pPr>
      <w:r>
        <w:t>一、标准配置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6768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标准配置/控制要求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用途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中小学人造草面层足球场地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基础型号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KT-SC50-12000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草高/Dtex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50 mm / 12,000 Dtex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密度/行距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≥10,500针/㎡ / 5/8 inch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系统材料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草坪、胶粘剂、接缝带、填充物、减震垫均须纳入材料清单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有害物质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按GB 36246及项目要求完成材料和成品场地检测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运动性能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按GB/T 43566及合同约定完成实验室/现场检验</w:t>
            </w:r>
          </w:p>
        </w:tc>
      </w:tr>
      <w:t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追溯</w:t>
            </w:r>
          </w:p>
        </w:tc>
        <w:tc>
          <w:tcPr>
            <w:tcW w:type="dxa" w:w="676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所有进场材料保留批次、报告、用量和铺装区域记录</w:t>
            </w:r>
          </w:p>
        </w:tc>
      </w:tr>
    </w:tbl>
    <w:p>
      <w:pPr>
        <w:pStyle w:val="Heading1"/>
      </w:pPr>
      <w:r>
        <w:t>二、适用标准与系统验证</w:t>
      </w:r>
    </w:p>
    <w:p>
      <w:r>
        <w:rPr>
          <w:rFonts w:ascii="Heiti SC" w:hAnsi="Heiti SC" w:eastAsia="Heiti SC"/>
          <w:b w:val="0"/>
          <w:color w:val="24332C"/>
          <w:sz w:val="21"/>
        </w:rPr>
        <w:t>适用GB/T 43566-2023、GB 36246-2018及项目所在地教育、环保和验收要求；如合同标准更严，从其规定。</w:t>
      </w:r>
    </w:p>
    <w:p>
      <w:pPr>
        <w:pStyle w:val="Heading1"/>
      </w:pPr>
      <w:r>
        <w:t>三、项目确认与放行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不得用普通景观草替代学校体育系统。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材料进场、施工配比、场地分区和检测报告必须形成追溯链。</w:t>
      </w:r>
    </w:p>
    <w:p>
      <w:pPr>
        <w:pStyle w:val="ListNumber"/>
      </w:pPr>
      <w:r>
        <w:rPr>
          <w:rFonts w:ascii="Heiti SC" w:hAnsi="Heiti SC" w:eastAsia="Heiti SC"/>
          <w:b w:val="0"/>
          <w:color w:val="24332C"/>
          <w:sz w:val="21"/>
        </w:rPr>
        <w:t>未经技术和质量批准不得替换填充物、胶粘剂、减震垫或草坪批次。</w:t>
      </w:r>
    </w:p>
    <w:p>
      <w:pPr>
        <w:pStyle w:val="Heading1"/>
      </w:pPr>
      <w:r>
        <w:t>四、批准记录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94"/>
        <w:gridCol w:w="1694"/>
        <w:gridCol w:w="1694"/>
        <w:gridCol w:w="1694"/>
        <w:gridCol w:w="1694"/>
        <w:gridCol w:w="1694"/>
      </w:tblGrid>
      <w:tr>
        <w:trPr>
          <w:tblHeader w:val="true"/>
        </w:trPr>
        <w:tc>
          <w:tcPr>
            <w:tcW w:type="dxa" w:w="1800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客户/项目</w:t>
            </w:r>
          </w:p>
        </w:tc>
        <w:tc>
          <w:tcPr>
            <w:tcW w:type="dxa" w:w="151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批准型号</w:t>
            </w:r>
          </w:p>
        </w:tc>
        <w:tc>
          <w:tcPr>
            <w:tcW w:type="dxa" w:w="151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批准样编号</w:t>
            </w:r>
          </w:p>
        </w:tc>
        <w:tc>
          <w:tcPr>
            <w:tcW w:type="dxa" w:w="1728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检测报告</w:t>
            </w:r>
          </w:p>
        </w:tc>
        <w:tc>
          <w:tcPr>
            <w:tcW w:type="dxa" w:w="1512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技术批准</w:t>
            </w:r>
          </w:p>
        </w:tc>
        <w:tc>
          <w:tcPr>
            <w:tcW w:type="dxa" w:w="1296"/>
            <w:shd w:fill="0B5D3B"/>
          </w:tcPr>
          <w:p>
            <w:r>
              <w:rPr>
                <w:rFonts w:ascii="Heiti SC" w:hAnsi="Heiti SC" w:eastAsia="Heiti SC"/>
                <w:b/>
                <w:color w:val="FFFFFF"/>
                <w:sz w:val="18"/>
              </w:rPr>
              <w:t>日期</w:t>
            </w:r>
          </w:p>
        </w:tc>
      </w:tr>
      <w:t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1728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  <w:tc>
          <w:tcPr>
            <w:tcW w:type="dxa" w:w="1512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〔签字〕</w:t>
            </w:r>
          </w:p>
        </w:tc>
        <w:tc>
          <w:tcPr>
            <w:tcW w:type="dxa" w:w="1296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r>
              <w:rPr>
                <w:rFonts w:ascii="Heiti SC" w:hAnsi="Heiti SC" w:eastAsia="Heiti SC"/>
                <w:b w:val="0"/>
                <w:color w:val="24332C"/>
                <w:sz w:val="18"/>
              </w:rPr>
              <w:t>〔填写〕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iti SC" w:hAnsi="Heiti SC" w:eastAsia="Heiti SC"/>
        <w:b w:val="0"/>
        <w:color w:val="61736A"/>
        <w:sz w:val="16"/>
      </w:rPr>
      <w:t>本模板由金特夫业务文档库统一维护；使用前应核对项目、价格、税率、交期和签署权限。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Heiti SC" w:hAnsi="Heiti SC" w:eastAsia="Heiti SC"/>
        <w:b w:val="0"/>
        <w:color w:val="61736A"/>
        <w:sz w:val="17"/>
      </w:rPr>
      <w:t>金特夫企业经营管理系统  |  KT-PRD-S03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Heiti SC" w:hAnsi="Heiti SC" w:eastAsia="Heiti SC"/>
      <w:color w:val="2433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B5D3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4E6B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Heiti SC" w:hAnsi="Heiti SC" w:eastAsia="Heiti SC"/>
      <w:b/>
      <w:color w:val="0B5D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