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景观休闲人造草产品规格书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KT-PRD-S04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一、标准配置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76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标准配置/控制要求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用途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庭院、酒店、商业、屋顶、展陈或宠物活动区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20/25/30/35/40 mm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Dtex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6,000-12,000，按触感与耐久要求选定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结构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PE直丝+PP/PE曲丝，多色仿真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密度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13,650-21,000针/㎡，按型号确认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底布/背胶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复合PP；高湿/屋顶项目优先评估PU背胶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填充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通常免填充；高频踩踏区可按方案加砂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专项确认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排水、阻燃、抗静电、宠物、屋顶荷载、反射热环境</w:t>
            </w:r>
          </w:p>
        </w:tc>
      </w:tr>
    </w:tbl>
    <w:p>
      <w:pPr>
        <w:pStyle w:val="Heading1"/>
      </w:pPr>
      <w:r>
        <w:t>二、适用标准与系统验证</w:t>
      </w:r>
    </w:p>
    <w:p>
      <w:r>
        <w:rPr>
          <w:rFonts w:ascii="Heiti SC" w:hAnsi="Heiti SC" w:eastAsia="Heiti SC"/>
          <w:b w:val="0"/>
          <w:color w:val="24332C"/>
          <w:sz w:val="21"/>
        </w:rPr>
        <w:t>执行合同、批准样、企业检验规范及适用的产品质量和消防要求；不同使用场景的阻燃、排水和环保要求须单独确认。</w:t>
      </w:r>
    </w:p>
    <w:p>
      <w:pPr>
        <w:pStyle w:val="Heading1"/>
      </w:pPr>
      <w:r>
        <w:t>三、项目确认与放行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确认视觉效果、触感、踩踏频率和排水基础。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屋顶、玻璃幕墙附近、高温或宠物场景必须专项评审。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大面积项目必须按色批排版并保留备用卷。</w:t>
      </w:r>
    </w:p>
    <w:p>
      <w:pPr>
        <w:pStyle w:val="Heading1"/>
      </w:pPr>
      <w:r>
        <w:t>四、批准记录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8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客户/项目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批准型号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批准样编号</w:t>
            </w:r>
          </w:p>
        </w:tc>
        <w:tc>
          <w:tcPr>
            <w:tcW w:type="dxa" w:w="172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检测报告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技术批准</w:t>
            </w:r>
          </w:p>
        </w:tc>
        <w:tc>
          <w:tcPr>
            <w:tcW w:type="dxa" w:w="129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〔签字〕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KT-PRD-S04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