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门球及多用途短草规格书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KT-PRD-S05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pPr>
        <w:pStyle w:val="Heading1"/>
      </w:pPr>
      <w:r>
        <w:t>一、标准配置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676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标准配置/控制要求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用途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门球、休闲运动、多功能活动区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草高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门球10-15 mm；多用途15-25 mm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Dtex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5,000-8,000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结构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曲丝或直曲混织；PP/PE按球速与耐久选择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密度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25,200-63,000针/㎡，按针距和行距换算确认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填充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门球通常石英砂填充；用量经球速试铺确认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关键性能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平整度、球滚动、摩擦、防滑、排水和耐磨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放行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必须完成小样/试铺并由客户确认球速和脚感</w:t>
            </w:r>
          </w:p>
        </w:tc>
      </w:tr>
    </w:tbl>
    <w:p>
      <w:pPr>
        <w:pStyle w:val="Heading1"/>
      </w:pPr>
      <w:r>
        <w:t>二、适用标准与系统验证</w:t>
      </w:r>
    </w:p>
    <w:p>
      <w:r>
        <w:rPr>
          <w:rFonts w:ascii="Heiti SC" w:hAnsi="Heiti SC" w:eastAsia="Heiti SC"/>
          <w:b w:val="0"/>
          <w:color w:val="24332C"/>
          <w:sz w:val="21"/>
        </w:rPr>
        <w:t>执行合同技术附件、批准样和项目运动性能要求；门球场应以试铺后的球速、方向稳定性和平整度作为关键确认依据。</w:t>
      </w:r>
    </w:p>
    <w:p>
      <w:pPr>
        <w:pStyle w:val="Heading1"/>
      </w:pPr>
      <w:r>
        <w:t>三、项目确认与放行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在量产前完成至少一组实物小样或试铺。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砂的粒径、洁净度、干燥度和填充量须作为系统参数管理。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场地基础平整度不合格时不得仅靠增加填充补偿。</w:t>
      </w:r>
    </w:p>
    <w:p>
      <w:pPr>
        <w:pStyle w:val="Heading1"/>
      </w:pPr>
      <w:r>
        <w:t>四、批准记录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8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客户/项目</w:t>
            </w:r>
          </w:p>
        </w:tc>
        <w:tc>
          <w:tcPr>
            <w:tcW w:type="dxa" w:w="151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批准型号</w:t>
            </w:r>
          </w:p>
        </w:tc>
        <w:tc>
          <w:tcPr>
            <w:tcW w:type="dxa" w:w="151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批准样编号</w:t>
            </w:r>
          </w:p>
        </w:tc>
        <w:tc>
          <w:tcPr>
            <w:tcW w:type="dxa" w:w="172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检测报告</w:t>
            </w:r>
          </w:p>
        </w:tc>
        <w:tc>
          <w:tcPr>
            <w:tcW w:type="dxa" w:w="151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技术批准</w:t>
            </w:r>
          </w:p>
        </w:tc>
        <w:tc>
          <w:tcPr>
            <w:tcW w:type="dxa" w:w="129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〔签字〕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KT-PRD-S05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