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销售/采购合同评审记录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KT-CTR-F02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r>
        <w:rPr>
          <w:rFonts w:ascii="Heiti SC" w:hAnsi="Heiti SC" w:eastAsia="Heiti SC"/>
          <w:b w:val="0"/>
          <w:color w:val="24332C"/>
          <w:sz w:val="21"/>
        </w:rPr>
        <w:t>合同签署前由销售或采购组织技术、质量、生产、供应链、财务和法务完成逐项评审。</w:t>
      </w:r>
    </w:p>
    <w:p>
      <w:pPr>
        <w:pStyle w:val="Heading1"/>
      </w:pPr>
      <w:r>
        <w:t>一、业务信息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项目/客户/供应商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关联单据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合同〔填写〕；订单〔填写〕；批次〔填写〕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责任部门/责任人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计划/发生日期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二、作业明细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评审项</w:t>
            </w:r>
          </w:p>
        </w:tc>
        <w:tc>
          <w:tcPr>
            <w:tcW w:type="dxa" w:w="2033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合同要求</w:t>
            </w:r>
          </w:p>
        </w:tc>
        <w:tc>
          <w:tcPr>
            <w:tcW w:type="dxa" w:w="2033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责任部门</w:t>
            </w:r>
          </w:p>
        </w:tc>
        <w:tc>
          <w:tcPr>
            <w:tcW w:type="dxa" w:w="2033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2033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风险/措施</w:t>
            </w:r>
          </w:p>
        </w:tc>
      </w:tr>
      <w:tr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主体与授权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主体、签署人、印章/电子签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法务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□通过 □整改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技术与标准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规格、样品、检测、验收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技术/质量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□通过 □整改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价格与税务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价格、税率、付款、信用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财务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□通过 □整改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产能与交期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物料、产能、包装、物流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生产/供应链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□通过 □整改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违约与争议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违约、质保、管辖、保密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法务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□通过 □整改</w:t>
            </w:r>
          </w:p>
        </w:tc>
        <w:tc>
          <w:tcPr>
            <w:tcW w:type="dxa" w:w="203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pPr>
        <w:pStyle w:val="Heading1"/>
      </w:pPr>
      <w:r>
        <w:t>三、控制与放行要求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所有整改项必须有责任人和关闭日期。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未通过评审的合同不得签署、收款、采购或排产。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客户版本、我方版本和最终盖章版本必须保持一致。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编制：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审核：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KT-CTR-F02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