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eiti SC" w:hAnsi="Heiti SC" w:eastAsia="Heiti SC"/>
          <w:b/>
          <w:color w:val="0B5D3B"/>
          <w:sz w:val="24"/>
        </w:rPr>
        <w:t>金 特 夫  KING TURF</w:t>
      </w:r>
    </w:p>
    <w:p>
      <w:pPr>
        <w:pStyle w:val="Title"/>
        <w:jc w:val="center"/>
      </w:pPr>
      <w:r>
        <w:t>成品入库与库位卡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1440"/>
        <w:gridCol w:w="3384"/>
      </w:tblGrid>
      <w:tr>
        <w:trPr>
          <w:tblHeader w:val="true"/>
        </w:trP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文件编号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KT-WMS-F01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版本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V1.0</w:t>
            </w:r>
          </w:p>
        </w:tc>
      </w:tr>
      <w:t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生效日期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〔填写〕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受控状态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受控模板</w:t>
            </w:r>
          </w:p>
        </w:tc>
      </w:tr>
    </w:tbl>
    <w:p/>
    <w:p>
      <w:r>
        <w:rPr>
          <w:rFonts w:ascii="Heiti SC" w:hAnsi="Heiti SC" w:eastAsia="Heiti SC"/>
          <w:b w:val="0"/>
          <w:color w:val="24332C"/>
          <w:sz w:val="21"/>
        </w:rPr>
        <w:t>完成检验放行后按卷号、批次、色批和订单办理入库。</w:t>
      </w:r>
    </w:p>
    <w:p>
      <w:pPr>
        <w:pStyle w:val="Heading1"/>
      </w:pPr>
      <w:r>
        <w:t>一、业务信息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0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项目/客户/供应商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关联单据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合同〔填写〕；订单〔填写〕；批次〔填写〕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责任部门/责任人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计划/发生日期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</w:tbl>
    <w:p>
      <w:pPr>
        <w:pStyle w:val="Heading1"/>
      </w:pPr>
      <w:r>
        <w:t>二、作业明细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145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卷号</w:t>
            </w:r>
          </w:p>
        </w:tc>
        <w:tc>
          <w:tcPr>
            <w:tcW w:type="dxa" w:w="145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产品型号</w:t>
            </w:r>
          </w:p>
        </w:tc>
        <w:tc>
          <w:tcPr>
            <w:tcW w:type="dxa" w:w="145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批次/色批</w:t>
            </w:r>
          </w:p>
        </w:tc>
        <w:tc>
          <w:tcPr>
            <w:tcW w:type="dxa" w:w="145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幅宽×卷长</w:t>
            </w:r>
          </w:p>
        </w:tc>
        <w:tc>
          <w:tcPr>
            <w:tcW w:type="dxa" w:w="145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面积</w:t>
            </w:r>
          </w:p>
        </w:tc>
        <w:tc>
          <w:tcPr>
            <w:tcW w:type="dxa" w:w="145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质量状态</w:t>
            </w:r>
          </w:p>
        </w:tc>
        <w:tc>
          <w:tcPr>
            <w:tcW w:type="dxa" w:w="145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库位</w:t>
            </w:r>
          </w:p>
        </w:tc>
      </w:tr>
      <w:tr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</w:tbl>
    <w:p>
      <w:pPr>
        <w:pStyle w:val="Heading1"/>
      </w:pPr>
      <w:r>
        <w:t>三、控制与放行要求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未放行、待判和不合格卷不得进入可用库存。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系统数量、实物标签和库位卡必须一致。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移库、拆卷、重包装或状态变更必须保留记录。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编制：</w:t>
            </w:r>
          </w:p>
        </w:tc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审核：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61736A"/>
        <w:sz w:val="16"/>
      </w:rPr>
      <w:t>本模板由金特夫业务文档库统一维护；使用前应核对项目、价格、税率、交期和签署权限。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61736A"/>
        <w:sz w:val="17"/>
      </w:rPr>
      <w:t>金特夫企业经营管理系统  |  KT-WMS-F01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eiti SC" w:hAnsi="Heiti SC" w:eastAsia="Heiti SC"/>
      <w:color w:val="24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E6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B5D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