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人造草坪铺装、使用与维护手册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KT-SVC-G01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r>
        <w:rPr>
          <w:rFonts w:ascii="Heiti SC" w:hAnsi="Heiti SC" w:eastAsia="Heiti SC"/>
          <w:b w:val="0"/>
          <w:color w:val="24332C"/>
          <w:sz w:val="21"/>
        </w:rPr>
        <w:t>交付客户的操作文件，用于降低施工、使用和维护不当造成的质量风险。</w:t>
      </w:r>
    </w:p>
    <w:p>
      <w:pPr>
        <w:pStyle w:val="Heading1"/>
      </w:pPr>
      <w:r>
        <w:t>一、业务信息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项目/客户/供应商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关联单据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合同〔填写〕；订单〔填写〕；批次〔填写〕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责任部门/责任人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  <w:tr>
        <w:tc>
          <w:tcPr>
            <w:tcW w:type="dxa" w:w="244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计划/发生日期</w:t>
            </w:r>
          </w:p>
        </w:tc>
        <w:tc>
          <w:tcPr>
            <w:tcW w:type="dxa" w:w="72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p>
      <w:pPr>
        <w:pStyle w:val="Heading1"/>
      </w:pPr>
      <w:r>
        <w:t>二、作业明细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54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4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必须执行</w:t>
            </w:r>
          </w:p>
        </w:tc>
        <w:tc>
          <w:tcPr>
            <w:tcW w:type="dxa" w:w="254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禁止事项</w:t>
            </w:r>
          </w:p>
        </w:tc>
        <w:tc>
          <w:tcPr>
            <w:tcW w:type="dxa" w:w="2541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记录</w:t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到货储存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平码、防潮、核对卷号色批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折弯、暴晒、污染、拖拽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到货照片/清单</w:t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铺装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核对基础、排版、接缝、填充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混用色批、湿地粘接、擅自换胶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施工日志</w:t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使用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控制车辆、热源、尖锐物和超负荷活动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明火、焊接、油污、未经批准设备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使用事件</w:t>
            </w:r>
          </w:p>
        </w:tc>
      </w:tr>
      <w:tr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维护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梳理、补充填充、清洁、接缝检查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高压近距冲洗、强溶剂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维护台账</w:t>
            </w:r>
          </w:p>
        </w:tc>
      </w:tr>
    </w:tbl>
    <w:p>
      <w:pPr>
        <w:pStyle w:val="Heading1"/>
      </w:pPr>
      <w:r>
        <w:t>三、控制与放行要求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体育场地按使用小时和季节制定维护频次。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异常磨损、接缝开裂、积水或填充迁移应及时停用局部区域并报修。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质保不覆盖未经批准的施工、化学污染、火烧、锐器、基础沉降和超设计用途。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编制：</w:t>
            </w:r>
          </w:p>
        </w:tc>
        <w:tc>
          <w:tcPr>
            <w:tcW w:type="dxa" w:w="4824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审核：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法定代表人/授权代表：</w:t>
            </w:r>
          </w:p>
        </w:tc>
      </w:tr>
      <w:tr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签署日期：____年__月__日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KT-SVC-G01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