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 xml:space="preserve">RFQ Flow</w:t>
      </w:r>
    </w:p>
    <w:p>
      <w:pPr>
        <w:spacing w:after="40"/>
        <w:jc w:val="center"/>
      </w:pPr>
      <w:r>
        <w:rPr>
          <w:b/>
          <w:bCs/>
          <w:color w:val="2E5395"/>
          <w:sz w:val="28"/>
          <w:szCs w:val="28"/>
        </w:rPr>
        <w:t xml:space="preserve">Step Logic Redesign — Draft Specification</w:t>
      </w:r>
    </w:p>
    <w:p>
      <w:pPr>
        <w:spacing w:after="400"/>
        <w:jc w:val="center"/>
      </w:pPr>
      <w:r>
        <w:rPr>
          <w:i/>
          <w:iCs/>
          <w:color w:val="888888"/>
          <w:sz w:val="20"/>
          <w:szCs w:val="20"/>
        </w:rPr>
        <w:t xml:space="preserve">Status: Proposed — not yet implemented. Parked pending sync-reliability work.</w:t>
      </w:r>
    </w:p>
    <w:p>
      <w:pPr>
        <w:pStyle w:val="Heading1"/>
      </w:pPr>
      <w:r>
        <w:t xml:space="preserve">1. Purpose</w:t>
      </w:r>
    </w:p>
    <w:p>
      <w:pPr>
        <w:spacing w:after="160"/>
      </w:pPr>
      <w:r>
        <w:t xml:space="preserve">This document captures a proposed redesign of the RFQ Kanban step structure and card-coloring logic. It replaces the current step set entirely and introduces a status-signal model that determines each step’s color based on the most recent meaningful email, rather than a simple presence/absence check. This is a specification only — no code has been written yet. It is intended to be picked up as a self-contained implementation task in a future session.</w:t>
      </w:r>
    </w:p>
    <w:p>
      <w:pPr>
        <w:pStyle w:val="Heading1"/>
      </w:pPr>
      <w:r>
        <w:t xml:space="preserve">2. New Step Structure (full replacement of step_assigned)</w:t>
      </w:r>
    </w:p>
    <w:p>
      <w:pPr>
        <w:spacing w:after="160"/>
      </w:pPr>
      <w:r>
        <w:t xml:space="preserve">The existing step_assigned values are replaced entirely by the following four steps. This is not a 1:1 rename — several existing steps are merged, and one step is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sz w:val="20"/>
                <w:szCs w:val="20"/>
              </w:rPr>
              <w:t xml:space="preserve">Step</w:t>
            </w:r>
          </w:p>
        </w:tc>
        <w:tc>
          <w:tcPr>
            <w:tcW w:type="dxa" w:w="57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sz w:val="20"/>
                <w:szCs w:val="20"/>
              </w:rPr>
              <w:t xml:space="preserve">Definition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Internal-only process — never supplier-facing.</w:t>
            </w:r>
          </w:p>
          <w:p>
            <w:r>
              <w:rPr>
                <w:sz w:val="20"/>
                <w:szCs w:val="20"/>
              </w:rPr>
              <w:t xml:space="preserve">Covers requests/confirmations between Boss and me (either direction) to initiate a purchase.</w:t>
            </w:r>
          </w:p>
          <w:p>
            <w:r>
              <w:rPr>
                <w:sz w:val="20"/>
                <w:szCs w:val="20"/>
              </w:rPr>
              <w:t xml:space="preserve">Frequently and legitimately empty — common when I initiate an RFQ to a supplier myself without a prior internal request. An empty PR step is normal, not an error state.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RFQ</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Merges the previous “RFQ sent” and “RFQ received” steps into one.</w:t>
            </w:r>
          </w:p>
          <w:p>
            <w:r>
              <w:rPr>
                <w:sz w:val="20"/>
                <w:szCs w:val="20"/>
              </w:rPr>
              <w:t xml:space="preserve">Green (“advances”) signal: an email from the supplier to me confirming the RFQ was sent / received on their end.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CI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Merges the previous “Negotiations”, “CI”, and “CI Approved” steps into one.</w:t>
            </w:r>
          </w:p>
          <w:p>
            <w:r>
              <w:rPr>
                <w:sz w:val="20"/>
                <w:szCs w:val="20"/>
              </w:rPr>
              <w:t xml:space="preserve">Covers all negotiation correspondence plus the final CI / PI / invoice exchange.</w:t>
            </w:r>
          </w:p>
          <w:p>
            <w:r>
              <w:rPr>
                <w:sz w:val="20"/>
                <w:szCs w:val="20"/>
              </w:rPr>
              <w:t xml:space="preserve">Green (“advances”) signal: an email from me to the supplier approving their invoice / PI / CI.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Downpayment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New step.</w:t>
            </w:r>
          </w:p>
          <w:p>
            <w:r>
              <w:rPr>
                <w:sz w:val="20"/>
                <w:szCs w:val="20"/>
              </w:rPr>
              <w:t xml:space="preserve">Green (“advances”) signal — any of the following:</w:t>
            </w:r>
          </w:p>
          <w:p>
            <w:r>
              <w:rPr>
                <w:sz w:val="20"/>
                <w:szCs w:val="20"/>
              </w:rPr>
              <w:t xml:space="preserve">  • me → supplier, confirming prepayment / downpayment has been made;</w:t>
            </w:r>
          </w:p>
          <w:p>
            <w:r>
              <w:rPr>
                <w:sz w:val="20"/>
                <w:szCs w:val="20"/>
              </w:rPr>
              <w:t xml:space="preserve">  • Boss → me, regarding prepayment to this supplier;</w:t>
            </w:r>
          </w:p>
          <w:p>
            <w:r>
              <w:rPr>
                <w:sz w:val="20"/>
                <w:szCs w:val="20"/>
              </w:rPr>
              <w:t xml:space="preserve">  • supplier → me, confirming prepayment has been received.</w:t>
            </w:r>
          </w:p>
        </w:tc>
      </w:tr>
    </w:tbl>
    <w:p>
      <w:pPr>
        <w:pStyle w:val="Heading1"/>
      </w:pPr>
      <w:r>
        <w:t xml:space="preserve">3. Card Color Logic</w:t>
      </w:r>
    </w:p>
    <w:p>
      <w:pPr>
        <w:spacing w:after="160"/>
      </w:pPr>
      <w:r>
        <w:t xml:space="preserve">Color is a property of the step’s current email set as a whole, recomputed fresh on every view — it is not a flag frozen onto a single email at ingestion time. This is deliberate: a later hold/cancel email must be able to override an earlier success signal, and a later success signal must be able to override an earlier hold once a situation is resolved.</w:t>
      </w:r>
    </w:p>
    <w:p>
      <w:pPr>
        <w:pStyle w:val="Heading2"/>
      </w:pPr>
      <w:r>
        <w:t xml:space="preserve">3.1 Per-email signal classification</w:t>
      </w:r>
    </w:p>
    <w:p>
      <w:pPr>
        <w:spacing w:after="160"/>
      </w:pPr>
      <w:r>
        <w:t xml:space="preserve">Each email is classified by the NLP pipeline, relative to the step it belongs to, into exactly one of three signal types:</w:t>
      </w:r>
    </w:p>
    <w:p>
      <w:pPr>
        <w:pStyle w:val="ListParagraph"/>
        <w:numPr>
          <w:ilvl w:val="0"/>
          <w:numId w:val="2"/>
        </w:numPr>
        <w:spacing w:after="80"/>
      </w:pPr>
      <w:r>
        <w:t xml:space="preserve">advances — this email represents the step’s defined success condition (see Section 2 per-step definitions).</w:t>
      </w:r>
    </w:p>
    <w:p>
      <w:pPr>
        <w:pStyle w:val="ListParagraph"/>
        <w:numPr>
          <w:ilvl w:val="0"/>
          <w:numId w:val="2"/>
        </w:numPr>
        <w:spacing w:after="80"/>
      </w:pPr>
      <w:r>
        <w:t xml:space="preserve">holds — this email represents an explicit hold, postponement, or cancellation relevant to this step.</w:t>
      </w:r>
    </w:p>
    <w:p>
      <w:pPr>
        <w:pStyle w:val="ListParagraph"/>
        <w:numPr>
          <w:ilvl w:val="0"/>
          <w:numId w:val="2"/>
        </w:numPr>
        <w:spacing w:after="80"/>
      </w:pPr>
      <w:r>
        <w:t xml:space="preserve">neutral — routine correspondence; neither advances nor holds anything. The large majority of emails (including ordinary back-and-forth supplier chatter) fall here.</w:t>
      </w:r>
    </w:p>
    <w:p>
      <w:pPr>
        <w:spacing w:after="160"/>
      </w:pPr>
      <w:r>
        <w:t xml:space="preserve">This classification is in addition to the existing step_assigned classification already produced by the NLP pipeline — it does not replace it.</w:t>
      </w:r>
    </w:p>
    <w:p>
      <w:pPr>
        <w:pStyle w:val="Heading2"/>
      </w:pPr>
      <w:r>
        <w:t xml:space="preserve">3.2 Color determination rule</w:t>
      </w:r>
    </w:p>
    <w:p>
      <w:pPr>
        <w:spacing w:after="160"/>
      </w:pPr>
      <w:r>
        <w:t xml:space="preserve">For a given step within a given RFQ:</w:t>
      </w:r>
    </w:p>
    <w:p>
      <w:pPr>
        <w:pStyle w:val="ListParagraph"/>
        <w:numPr>
          <w:ilvl w:val="0"/>
          <w:numId w:val="3"/>
        </w:numPr>
        <w:spacing w:after="80"/>
      </w:pPr>
      <w:r>
        <w:t xml:space="preserve">If the step contains zero emails → White.</w:t>
      </w:r>
    </w:p>
    <w:p>
      <w:pPr>
        <w:pStyle w:val="ListParagraph"/>
        <w:numPr>
          <w:ilvl w:val="0"/>
          <w:numId w:val="3"/>
        </w:numPr>
        <w:spacing w:after="80"/>
      </w:pPr>
      <w:r>
        <w:t xml:space="preserve">Otherwise, consider only emails classified advances or holds (ignore all neutral emails entirely for this purpose).</w:t>
      </w:r>
    </w:p>
    <w:p>
      <w:pPr>
        <w:pStyle w:val="ListParagraph"/>
        <w:numPr>
          <w:ilvl w:val="0"/>
          <w:numId w:val="3"/>
        </w:numPr>
        <w:spacing w:after="80"/>
      </w:pPr>
      <w:r>
        <w:t xml:space="preserve">If no advances/holds emails exist (i.e. every email in the step is neutral) → Yellow (“no signal yet” — needs attention).</w:t>
      </w:r>
    </w:p>
    <w:p>
      <w:pPr>
        <w:pStyle w:val="ListParagraph"/>
        <w:numPr>
          <w:ilvl w:val="0"/>
          <w:numId w:val="3"/>
        </w:numPr>
        <w:spacing w:after="80"/>
      </w:pPr>
      <w:r>
        <w:t xml:space="preserve">Otherwise, take the single most recent email among the advances/holds set:</w:t>
      </w:r>
    </w:p>
    <w:p>
      <w:pPr>
        <w:pStyle w:val="ListParagraph"/>
        <w:numPr>
          <w:ilvl w:val="0"/>
          <w:numId w:val="2"/>
        </w:numPr>
        <w:spacing w:after="80"/>
      </w:pPr>
      <w:r>
        <w:rPr>
          <w:i/>
          <w:iCs/>
        </w:rPr>
        <w:t xml:space="preserve">If it is advances → Green.</w:t>
      </w:r>
    </w:p>
    <w:p>
      <w:pPr>
        <w:pStyle w:val="ListParagraph"/>
        <w:numPr>
          <w:ilvl w:val="0"/>
          <w:numId w:val="2"/>
        </w:numPr>
        <w:spacing w:after="80"/>
      </w:pPr>
      <w:r>
        <w:rPr>
          <w:i/>
          <w:iCs/>
        </w:rPr>
        <w:t xml:space="preserve">If it is holds → Yellow.</w:t>
      </w:r>
    </w:p>
    <w:p>
      <w:pPr>
        <w:spacing w:after="160"/>
      </w:pPr>
      <w:r>
        <w:t xml:space="preserve">Color is sticky by design: once a step is Green, ordinary neutral correspondence (including a high volume of routine supplier emails) cannot move it back to Yellow. Only a new holds email can do that — and conversely, a new advances email arriving after a hold was lifted correctly flips the step back to Green. This sticky behavior is the explicit reason colour is computed from the most recent signal email rather than “any hold ever seen.”</w:t>
      </w:r>
    </w:p>
    <w:p>
      <w:pPr>
        <w:pStyle w:val="Heading2"/>
      </w:pPr>
      <w:r>
        <w:t xml:space="preserve">3.3 List ordering within a step</w:t>
      </w:r>
    </w:p>
    <w:p>
      <w:pPr>
        <w:spacing w:after="160"/>
      </w:pPr>
      <w:r>
        <w:t xml:space="preserve">Within each step’s email list, ordering is two-tiered:</w:t>
      </w:r>
    </w:p>
    <w:p>
      <w:pPr>
        <w:pStyle w:val="ListParagraph"/>
        <w:numPr>
          <w:ilvl w:val="0"/>
          <w:numId w:val="3"/>
        </w:numPr>
        <w:spacing w:after="80"/>
      </w:pPr>
      <w:r>
        <w:t xml:space="preserve">Signal stack (top of list): all advances/holds emails, most recent first. If a step’s status has flipped back and forth multiple times (e.g. hold → resumed → hold again), all of those signal emails remain stacked at the top in reverse-chronological order — not just the single most recent one.</w:t>
      </w:r>
    </w:p>
    <w:p>
      <w:pPr>
        <w:pStyle w:val="ListParagraph"/>
        <w:numPr>
          <w:ilvl w:val="0"/>
          <w:numId w:val="3"/>
        </w:numPr>
        <w:spacing w:after="80"/>
      </w:pPr>
      <w:r>
        <w:t xml:space="preserve">Remainder (below the signal stack): all neutral emails, in the existing default chronological sort.</w:t>
      </w:r>
    </w:p>
    <w:p>
      <w:pPr>
        <w:spacing w:after="160"/>
      </w:pPr>
      <w:r>
        <w:t xml:space="preserve">The single most recent signal email (the one determining the current color) is always the very top email in the list.</w:t>
      </w:r>
    </w:p>
    <w:p>
      <w:pPr>
        <w:pStyle w:val="Heading1"/>
      </w:pPr>
      <w:r>
        <w:t xml:space="preserve">4. The “Boss” Concept</w:t>
      </w:r>
    </w:p>
    <w:p>
      <w:pPr>
        <w:spacing w:after="160"/>
      </w:pPr>
      <w:r>
        <w:t xml:space="preserve">“Boss” is a new, single, global identity (not per-supplier) used to recognize internal authorization emails for the PR step and the Boss→me condition of the Downpayment step.</w:t>
      </w:r>
    </w:p>
    <w:p>
      <w:pPr>
        <w:pStyle w:val="ListParagraph"/>
        <w:numPr>
          <w:ilvl w:val="0"/>
          <w:numId w:val="2"/>
        </w:numPr>
        <w:spacing w:after="80"/>
      </w:pPr>
      <w:r>
        <w:t xml:space="preserve">Configuration: a new “Boss” card on the Supplier pane, where one or more email addresses can be added to identify Boss’s correspondence.</w:t>
      </w:r>
    </w:p>
    <w:p>
      <w:pPr>
        <w:pStyle w:val="ListParagraph"/>
        <w:numPr>
          <w:ilvl w:val="0"/>
          <w:numId w:val="2"/>
        </w:numPr>
        <w:spacing w:after="80"/>
      </w:pPr>
      <w:r>
        <w:t xml:space="preserve">Scope: global — one Boss configuration applies across all suppliers and all RFQs. Not configurable per-supplier.</w:t>
      </w:r>
    </w:p>
    <w:p>
      <w:pPr>
        <w:pStyle w:val="ListParagraph"/>
        <w:numPr>
          <w:ilvl w:val="0"/>
          <w:numId w:val="2"/>
        </w:numPr>
        <w:spacing w:after="80"/>
      </w:pPr>
      <w:r>
        <w:t xml:space="preserve">Usage: any email where the sender matches a configured Boss address is recognized distinctly from generic internal/auxiliary senders, enabling the PR step and the Downpayment “Boss → me” condition to be detected reliably.</w:t>
      </w:r>
    </w:p>
    <w:p>
      <w:pPr>
        <w:pStyle w:val="Heading1"/>
      </w:pPr>
      <w:r>
        <w:t xml:space="preserve">5. Implementation Touchpoints (for future scoping)</w:t>
      </w:r>
    </w:p>
    <w:p>
      <w:pPr>
        <w:spacing w:after="160"/>
      </w:pPr>
      <w:r>
        <w:t xml:space="preserve">Not yet designed in detail — listed here only to flag the surface area for the session that picks this up:</w:t>
      </w:r>
    </w:p>
    <w:p>
      <w:pPr>
        <w:pStyle w:val="ListParagraph"/>
        <w:numPr>
          <w:ilvl w:val="0"/>
          <w:numId w:val="2"/>
        </w:numPr>
        <w:spacing w:after="80"/>
      </w:pPr>
      <w:r>
        <w:t xml:space="preserve">Database: redefinition of step_assigned values; new column for per-email signal_type (advances / holds / neutral); new Boss-address config table or extension of an existing trusted-sender-style table.</w:t>
      </w:r>
    </w:p>
    <w:p>
      <w:pPr>
        <w:pStyle w:val="ListParagraph"/>
        <w:numPr>
          <w:ilvl w:val="0"/>
          <w:numId w:val="2"/>
        </w:numPr>
        <w:spacing w:after="80"/>
      </w:pPr>
      <w:r>
        <w:t xml:space="preserve">NLP pipeline (ai/pipeline.py, ai/boost_pipeline.py): classifier prompt updated to additionally output signal_type per the per-step definitions in Section 2; needs the step’s own definition of “advances”/“holds” passed into the prompt context so the model judges against the correct condition for that step.</w:t>
      </w:r>
    </w:p>
    <w:p>
      <w:pPr>
        <w:pStyle w:val="ListParagraph"/>
        <w:numPr>
          <w:ilvl w:val="0"/>
          <w:numId w:val="2"/>
        </w:numPr>
        <w:spacing w:after="80"/>
      </w:pPr>
      <w:r>
        <w:t xml:space="preserve">FastAPI (main.py / database.py): a color-computation function implementing the Section 3.2 rule, likely computed at read-time per RFQ/step rather than stored, to stay correct as new emails arrive without needing retroactive updates.</w:t>
      </w:r>
    </w:p>
    <w:p>
      <w:pPr>
        <w:pStyle w:val="ListParagraph"/>
        <w:numPr>
          <w:ilvl w:val="0"/>
          <w:numId w:val="2"/>
        </w:numPr>
        <w:spacing w:after="80"/>
      </w:pPr>
      <w:r>
        <w:t xml:space="preserve">Frontend (KanbanBoard.tsx): card rendering updated for the three-color model and the two-tier list ordering; SupplierPane.tsx gains the Boss card; AppContext.tsx gains Boss-address state.</w:t>
      </w:r>
    </w:p>
    <w:p>
      <w:pPr>
        <w:pStyle w:val="ListParagraph"/>
        <w:numPr>
          <w:ilvl w:val="0"/>
          <w:numId w:val="2"/>
        </w:numPr>
        <w:spacing w:after="80"/>
      </w:pPr>
      <w:r>
        <w:t xml:space="preserve">Migration: existing data under the old step_assigned values will need a one-time mapping pass onto the new four-step structure before this can go live.</w:t>
      </w:r>
    </w:p>
    <w:p>
      <w:pPr>
        <w:pStyle w:val="Heading1"/>
      </w:pPr>
      <w:r>
        <w:t xml:space="preserve">6. Open Items / Not Yet Decided</w:t>
      </w:r>
    </w:p>
    <w:p>
      <w:pPr>
        <w:pStyle w:val="ListParagraph"/>
        <w:numPr>
          <w:ilvl w:val="0"/>
          <w:numId w:val="2"/>
        </w:numPr>
        <w:spacing w:after="80"/>
      </w:pPr>
      <w:r>
        <w:t xml:space="preserve">Exact prompt wording for the NLP classifier to reliably distinguish advances vs. holds vs. neutral per step — needs iteration once implementation starts, similar to how step_assigned classification itself was tuned.</w:t>
      </w:r>
    </w:p>
    <w:p>
      <w:pPr>
        <w:pStyle w:val="ListParagraph"/>
        <w:numPr>
          <w:ilvl w:val="0"/>
          <w:numId w:val="2"/>
        </w:numPr>
        <w:spacing w:after="80"/>
      </w:pPr>
      <w:r>
        <w:t xml:space="preserve">Whether the existing learned_rules / rule_corrections tables (used for BOOST-tier corrections) should also learn signal_type corrections, or whether this is tracked separately.</w:t>
      </w:r>
    </w:p>
    <w:p>
      <w:pPr>
        <w:pStyle w:val="ListParagraph"/>
        <w:numPr>
          <w:ilvl w:val="0"/>
          <w:numId w:val="2"/>
        </w:numPr>
        <w:spacing w:after="80"/>
      </w:pPr>
      <w:r>
        <w:t xml:space="preserve">Migration mapping table from old step_assigned values to the new PR/RFQ/CI/Downpayment structure for existing historical data.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RFQ Flow — Step Logic Redesign (Draft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2026-06-22T06:51:32.590Z</dcterms:created>
  <dcterms:modified xsi:type="dcterms:W3CDTF">2026-06-22T06:51:32.591Z</dcterms:modified>
</cp:coreProperties>
</file>

<file path=docProps/custom.xml><?xml version="1.0" encoding="utf-8"?>
<Properties xmlns="http://schemas.openxmlformats.org/officeDocument/2006/custom-properties" xmlns:vt="http://schemas.openxmlformats.org/officeDocument/2006/docPropsVTypes"/>
</file>