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00" w:after="80" w:line="336" w:lineRule="auto"/>
        <w:jc w:val="center"/>
      </w:pPr>
      <w:r>
        <w:rPr>
          <w:rFonts w:ascii="微软雅黑" w:hAnsi="微软雅黑" w:eastAsia="微软雅黑"/>
          <w:b/>
          <w:color w:val="1A3A5C"/>
          <w:sz w:val="44"/>
        </w:rPr>
        <w:t>上市公司财报阅读指南</w:t>
      </w:r>
    </w:p>
    <w:p>
      <w:pPr>
        <w:spacing w:before="0" w:after="40" w:line="336" w:lineRule="auto"/>
        <w:jc w:val="center"/>
      </w:pPr>
      <w:r>
        <w:rPr>
          <w:rFonts w:ascii="微软雅黑" w:hAnsi="微软雅黑" w:eastAsia="微软雅黑"/>
          <w:b w:val="0"/>
          <w:color w:val="666666"/>
          <w:sz w:val="24"/>
        </w:rPr>
        <w:t>拿到一份财报，翻到哪页、看什么数、什么标准算好</w:t>
      </w:r>
    </w:p>
    <w:p>
      <w:pPr>
        <w:spacing w:before="0" w:after="240" w:line="336" w:lineRule="auto"/>
        <w:jc w:val="center"/>
      </w:pPr>
      <w:r>
        <w:rPr>
          <w:rFonts w:ascii="微软雅黑" w:hAnsi="微软雅黑" w:eastAsia="微软雅黑"/>
          <w:b w:val="0"/>
          <w:color w:val="666666"/>
          <w:sz w:val="20"/>
        </w:rPr>
        <w:t>—— 客户投教系列 ——</w:t>
      </w:r>
    </w:p>
    <w:p>
      <w:pPr>
        <w:spacing w:before="80" w:after="200" w:line="360" w:lineRule="auto"/>
      </w:pPr>
      <w:r>
        <w:rPr>
          <w:rFonts w:ascii="微软雅黑" w:hAnsi="微软雅黑" w:eastAsia="微软雅黑"/>
          <w:b w:val="0"/>
          <w:color w:val="333333"/>
          <w:sz w:val="21"/>
        </w:rPr>
        <w:t>本指南教你拿到一份上市公司财报后，翻到哪页、看什么数、什么标准算好、什么信号要跑。无需财务背景，跟着3步走即可。文中所有指标分档标准均标注了来源类型（法规标准 / 投教参考 / 市场经验），便于核实。</w:t>
      </w:r>
    </w:p>
    <w:tbl>
      <w:tblPr>
        <w:tblStyle w:val="32"/>
        <w:tblW w:w="0" w:type="auto"/>
        <w:tblInd w:w="0" w:type="dxa"/>
        <w:tblLayout w:type="autofit"/>
        <w:tblCellMar>
          <w:top w:w="0" w:type="dxa"/>
          <w:left w:w="108" w:type="dxa"/>
          <w:bottom w:w="0" w:type="dxa"/>
          <w:right w:w="108" w:type="dxa"/>
        </w:tblCellMar>
      </w:tblPr>
      <w:tblGrid>
        <w:gridCol w:w="9406"/>
      </w:tblGrid>
      <w:tr>
        <w:tblPrEx>
          <w:tblCellMar>
            <w:top w:w="0" w:type="dxa"/>
            <w:left w:w="108" w:type="dxa"/>
            <w:bottom w:w="0" w:type="dxa"/>
            <w:right w:w="108" w:type="dxa"/>
          </w:tblCellMar>
        </w:tblPrEx>
        <w:tc>
          <w:tcPr>
            <w:tcW w:w="9406" w:type="dxa"/>
            <w:tcBorders>
              <w:top w:val="single" w:color="CE93D8" w:sz="6" w:space="0"/>
              <w:left w:val="single" w:color="CE93D8" w:sz="6" w:space="0"/>
              <w:bottom w:val="single" w:color="CE93D8" w:sz="6" w:space="0"/>
              <w:right w:val="single" w:color="CE93D8" w:sz="6" w:space="0"/>
            </w:tcBorders>
            <w:shd w:val="clear" w:color="auto" w:fill="F3E5F5"/>
            <w:tcMar>
              <w:top w:w="100" w:type="dxa"/>
              <w:left w:w="150" w:type="dxa"/>
              <w:bottom w:w="100" w:type="dxa"/>
              <w:right w:w="150" w:type="dxa"/>
            </w:tcMar>
          </w:tcPr>
          <w:p>
            <w:pPr>
              <w:spacing w:after="80"/>
            </w:pPr>
            <w:r>
              <w:rPr>
                <w:rFonts w:ascii="微软雅黑" w:hAnsi="微软雅黑" w:eastAsia="微软雅黑"/>
                <w:b/>
                <w:color w:val="6A1B9A"/>
                <w:sz w:val="26"/>
              </w:rPr>
              <w:t>📋 3步看懂一份财报</w:t>
            </w:r>
          </w:p>
          <w:p>
            <w:pPr>
              <w:spacing w:before="40" w:after="40"/>
              <w:ind w:left="160"/>
            </w:pPr>
            <w:r>
              <w:rPr>
                <w:rFonts w:ascii="微软雅黑" w:hAnsi="微软雅黑" w:eastAsia="微软雅黑"/>
                <w:b/>
                <w:color w:val="6A1B9A"/>
                <w:sz w:val="22"/>
              </w:rPr>
              <w:t>第1步  看赚钱：</w:t>
            </w:r>
            <w:r>
              <w:rPr>
                <w:rFonts w:ascii="微软雅黑" w:hAnsi="微软雅黑" w:eastAsia="微软雅黑"/>
                <w:b w:val="0"/>
                <w:color w:val="333333"/>
                <w:sz w:val="21"/>
              </w:rPr>
              <w:t>利润表 → 毛利率 / 净利率 / ROE</w:t>
            </w:r>
          </w:p>
          <w:p>
            <w:pPr>
              <w:spacing w:before="40" w:after="40"/>
              <w:ind w:left="160"/>
            </w:pPr>
            <w:r>
              <w:rPr>
                <w:rFonts w:ascii="微软雅黑" w:hAnsi="微软雅黑" w:eastAsia="微软雅黑"/>
                <w:b/>
                <w:color w:val="6A1B9A"/>
                <w:sz w:val="22"/>
              </w:rPr>
              <w:t>第2步  看真假：</w:t>
            </w:r>
            <w:r>
              <w:rPr>
                <w:rFonts w:ascii="微软雅黑" w:hAnsi="微软雅黑" w:eastAsia="微软雅黑"/>
                <w:b w:val="0"/>
                <w:color w:val="333333"/>
                <w:sz w:val="21"/>
              </w:rPr>
              <w:t>现金流 + 排雷 → 净现比 / 负债率 / 商誉 / 质押</w:t>
            </w:r>
          </w:p>
          <w:p>
            <w:pPr>
              <w:spacing w:before="40" w:after="40"/>
              <w:ind w:left="160"/>
            </w:pPr>
            <w:r>
              <w:rPr>
                <w:rFonts w:ascii="微软雅黑" w:hAnsi="微软雅黑" w:eastAsia="微软雅黑"/>
                <w:b/>
                <w:color w:val="6A1B9A"/>
                <w:sz w:val="22"/>
              </w:rPr>
              <w:t>第3步  看贵不贵：</w:t>
            </w:r>
            <w:r>
              <w:rPr>
                <w:rFonts w:ascii="微软雅黑" w:hAnsi="微软雅黑" w:eastAsia="微软雅黑"/>
                <w:b w:val="0"/>
                <w:color w:val="333333"/>
                <w:sz w:val="21"/>
              </w:rPr>
              <w:t>估值 → PE / PB / 股息率 + 科技公司怎么看</w:t>
            </w:r>
          </w:p>
        </w:tc>
      </w:tr>
    </w:tbl>
    <w:p>
      <w:pPr>
        <w:spacing w:before="0" w:after="160" w:line="240" w:lineRule="auto"/>
      </w:pPr>
    </w:p>
    <w:p/>
    <w:tbl>
      <w:tblPr>
        <w:tblStyle w:val="32"/>
        <w:tblW w:w="0" w:type="auto"/>
        <w:tblInd w:w="0" w:type="dxa"/>
        <w:tblLayout w:type="autofit"/>
        <w:tblCellMar>
          <w:top w:w="0" w:type="dxa"/>
          <w:left w:w="108" w:type="dxa"/>
          <w:bottom w:w="0" w:type="dxa"/>
          <w:right w:w="108" w:type="dxa"/>
        </w:tblCellMar>
      </w:tblPr>
      <w:tblGrid>
        <w:gridCol w:w="9406"/>
      </w:tblGrid>
      <w:tr>
        <w:tc>
          <w:tcPr>
            <w:tcW w:w="9406" w:type="dxa"/>
            <w:tcBorders>
              <w:top w:val="single" w:color="2D6A9F" w:sz="0" w:space="0"/>
              <w:left w:val="single" w:color="2D6A9F" w:sz="0" w:space="0"/>
              <w:bottom w:val="single" w:color="2D6A9F" w:sz="0" w:space="0"/>
              <w:right w:val="single" w:color="2D6A9F" w:sz="0" w:space="0"/>
            </w:tcBorders>
            <w:shd w:val="clear" w:color="auto" w:fill="2D6A9F"/>
            <w:tcMar>
              <w:top w:w="80" w:type="dxa"/>
              <w:left w:w="120" w:type="dxa"/>
              <w:bottom w:w="80" w:type="dxa"/>
              <w:right w:w="120" w:type="dxa"/>
            </w:tcMar>
          </w:tcPr>
          <w:p>
            <w:pPr>
              <w:spacing w:before="0" w:after="0"/>
              <w:jc w:val="left"/>
            </w:pPr>
            <w:r>
              <w:rPr>
                <w:rFonts w:ascii="微软雅黑" w:hAnsi="微软雅黑" w:eastAsia="微软雅黑"/>
                <w:b/>
                <w:color w:val="FFFFFF"/>
                <w:sz w:val="30"/>
              </w:rPr>
              <w:t>一、利润表怎么看</w:t>
            </w:r>
          </w:p>
        </w:tc>
      </w:tr>
    </w:tbl>
    <w:p>
      <w:pPr>
        <w:spacing w:before="0" w:after="80" w:line="240" w:lineRule="auto"/>
      </w:pPr>
    </w:p>
    <w:p>
      <w:pPr>
        <w:spacing w:before="0" w:after="160" w:line="336" w:lineRule="auto"/>
      </w:pPr>
      <w:r>
        <w:rPr>
          <w:rFonts w:ascii="微软雅黑" w:hAnsi="微软雅黑" w:eastAsia="微软雅黑"/>
          <w:b w:val="0"/>
          <w:color w:val="333333"/>
          <w:sz w:val="22"/>
        </w:rPr>
        <w:t>翻开利润表（也叫损益表），找这3个数</w:t>
      </w:r>
    </w:p>
    <w:p>
      <w:pPr>
        <w:spacing w:before="120" w:after="80" w:line="336" w:lineRule="auto"/>
      </w:pPr>
      <w:r>
        <w:rPr>
          <w:rFonts w:ascii="微软雅黑" w:hAnsi="微软雅黑" w:eastAsia="微软雅黑"/>
          <w:b/>
          <w:color w:val="2D6A9F"/>
          <w:sz w:val="26"/>
        </w:rPr>
        <w:t>指标1：毛利率</w:t>
      </w:r>
    </w:p>
    <w:tbl>
      <w:tblPr>
        <w:tblStyle w:val="32"/>
        <w:tblW w:w="0" w:type="auto"/>
        <w:tblInd w:w="0" w:type="dxa"/>
        <w:tblLayout w:type="autofit"/>
        <w:tblCellMar>
          <w:top w:w="0" w:type="dxa"/>
          <w:left w:w="108" w:type="dxa"/>
          <w:bottom w:w="0" w:type="dxa"/>
          <w:right w:w="108" w:type="dxa"/>
        </w:tblCellMar>
      </w:tblPr>
      <w:tblGrid>
        <w:gridCol w:w="9406"/>
      </w:tblGrid>
      <w:tr>
        <w:tblPrEx>
          <w:tblCellMar>
            <w:top w:w="0" w:type="dxa"/>
            <w:left w:w="108" w:type="dxa"/>
            <w:bottom w:w="0" w:type="dxa"/>
            <w:right w:w="108" w:type="dxa"/>
          </w:tblCellMar>
        </w:tblPrEx>
        <w:tc>
          <w:tcPr>
            <w:tcW w:w="9406" w:type="dxa"/>
            <w:tcBorders>
              <w:top w:val="single" w:color="90CAF9" w:sz="6" w:space="0"/>
              <w:left w:val="single" w:color="90CAF9" w:sz="6" w:space="0"/>
              <w:bottom w:val="single" w:color="90CAF9" w:sz="6" w:space="0"/>
              <w:right w:val="single" w:color="90CAF9" w:sz="6" w:space="0"/>
            </w:tcBorders>
            <w:shd w:val="clear" w:color="auto" w:fill="E8F0FE"/>
            <w:tcMar>
              <w:top w:w="80" w:type="dxa"/>
              <w:left w:w="120" w:type="dxa"/>
              <w:bottom w:w="80" w:type="dxa"/>
              <w:right w:w="120" w:type="dxa"/>
            </w:tcMar>
          </w:tcPr>
          <w:p>
            <w:pPr>
              <w:spacing w:before="0" w:after="60"/>
            </w:pPr>
            <w:r>
              <w:rPr>
                <w:rFonts w:ascii="微软雅黑" w:hAnsi="微软雅黑" w:eastAsia="微软雅黑"/>
                <w:b/>
                <w:color w:val="1A3A5C"/>
                <w:sz w:val="24"/>
              </w:rPr>
              <w:t>毛利率 = (营业收入 - 营业成本) ÷ 营业收入</w:t>
            </w:r>
          </w:p>
          <w:p>
            <w:pPr>
              <w:spacing w:before="0" w:after="0"/>
            </w:pPr>
            <w:r>
              <w:rPr>
                <w:rFonts w:ascii="微软雅黑" w:hAnsi="微软雅黑" w:eastAsia="微软雅黑"/>
                <w:b w:val="0"/>
                <w:color w:val="666666"/>
                <w:sz w:val="21"/>
              </w:rPr>
              <w:t>大白话：每卖100块钱，扣掉直接成本还剩多少。</w:t>
            </w:r>
          </w:p>
        </w:tc>
      </w:tr>
    </w:tbl>
    <w:p>
      <w:pPr>
        <w:spacing w:before="0" w:after="60" w:line="240" w:lineRule="auto"/>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E3F2FD"/>
            <w:tcMar>
              <w:top w:w="60" w:type="dxa"/>
              <w:left w:w="100" w:type="dxa"/>
              <w:bottom w:w="60" w:type="dxa"/>
              <w:right w:w="100" w:type="dxa"/>
            </w:tcMar>
          </w:tcPr>
          <w:p>
            <w:pPr>
              <w:spacing w:before="40" w:after="40" w:line="240" w:lineRule="auto"/>
            </w:pPr>
            <w:r>
              <w:rPr>
                <w:rFonts w:ascii="微软雅黑" w:hAnsi="微软雅黑" w:eastAsia="微软雅黑"/>
                <w:b/>
                <w:color w:val="1A3A5C"/>
                <w:sz w:val="21"/>
              </w:rPr>
              <w:t>毛利率</w:t>
            </w:r>
          </w:p>
        </w:tc>
        <w:tc>
          <w:tcPr>
            <w:tcW w:w="7087" w:type="dxa"/>
            <w:shd w:val="clear" w:color="auto" w:fill="E3F2FD"/>
            <w:tcMar>
              <w:top w:w="60" w:type="dxa"/>
              <w:left w:w="100" w:type="dxa"/>
              <w:bottom w:w="60" w:type="dxa"/>
              <w:right w:w="100" w:type="dxa"/>
            </w:tcMar>
          </w:tcPr>
          <w:p>
            <w:pPr>
              <w:spacing w:before="40" w:after="40" w:line="240" w:lineRule="auto"/>
            </w:pPr>
            <w:r>
              <w:rPr>
                <w:rFonts w:ascii="微软雅黑" w:hAnsi="微软雅黑" w:eastAsia="微软雅黑"/>
                <w:b/>
                <w:color w:val="1A3A5C"/>
                <w:sz w:val="21"/>
              </w:rPr>
              <w:t>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 60%</w:t>
            </w:r>
          </w:p>
        </w:tc>
        <w:tc>
          <w:tcPr>
            <w:tcW w:w="7087"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赚钱能力强（市场经验参考）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 40%</w:t>
            </w:r>
          </w:p>
        </w:tc>
        <w:tc>
          <w:tcPr>
            <w:tcW w:w="7087"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中等水平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&lt; 20%</w:t>
            </w:r>
          </w:p>
        </w:tc>
        <w:tc>
          <w:tcPr>
            <w:tcW w:w="7087"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低毛利模式（如零售/制造），需结合周转率综合判断</w:t>
            </w:r>
          </w:p>
        </w:tc>
      </w:tr>
    </w:tbl>
    <w:p>
      <w:pPr>
        <w:spacing w:before="40" w:after="160" w:line="312" w:lineRule="auto"/>
      </w:pPr>
      <w:r>
        <w:rPr>
          <w:rFonts w:ascii="微软雅黑" w:hAnsi="微软雅黑" w:eastAsia="微软雅黑"/>
          <w:b w:val="0"/>
          <w:color w:val="666666"/>
          <w:sz w:val="18"/>
        </w:rPr>
        <w:t>来源：毛利率分档标准为市场经验参考值，非强制标准。</w:t>
      </w:r>
    </w:p>
    <w:p>
      <w:pPr>
        <w:spacing w:before="40" w:after="160" w:line="336" w:lineRule="auto"/>
        <w:ind w:left="80"/>
      </w:pPr>
      <w:r>
        <w:rPr>
          <w:rFonts w:ascii="微软雅黑" w:hAnsi="微软雅黑" w:eastAsia="微软雅黑"/>
          <w:b w:val="0"/>
          <w:color w:val="333333"/>
          <w:sz w:val="21"/>
        </w:rPr>
        <w:t>看3年趋势：持续上升 = 产品溢价能力强；持续下降 = 竞争加剧或成本上升。</w:t>
      </w:r>
    </w:p>
    <w:p>
      <w:pPr>
        <w:spacing w:before="120" w:after="80" w:line="336" w:lineRule="auto"/>
      </w:pPr>
      <w:r>
        <w:rPr>
          <w:rFonts w:ascii="微软雅黑" w:hAnsi="微软雅黑" w:eastAsia="微软雅黑"/>
          <w:b/>
          <w:color w:val="2D6A9F"/>
          <w:sz w:val="26"/>
        </w:rPr>
        <w:t>指标2：净利率</w:t>
      </w:r>
    </w:p>
    <w:tbl>
      <w:tblPr>
        <w:tblStyle w:val="32"/>
        <w:tblW w:w="0" w:type="auto"/>
        <w:tblInd w:w="0" w:type="dxa"/>
        <w:tblLayout w:type="autofit"/>
        <w:tblCellMar>
          <w:top w:w="0" w:type="dxa"/>
          <w:left w:w="108" w:type="dxa"/>
          <w:bottom w:w="0" w:type="dxa"/>
          <w:right w:w="108" w:type="dxa"/>
        </w:tblCellMar>
      </w:tblPr>
      <w:tblGrid>
        <w:gridCol w:w="9406"/>
      </w:tblGrid>
      <w:tr>
        <w:tblPrEx>
          <w:tblCellMar>
            <w:top w:w="0" w:type="dxa"/>
            <w:left w:w="108" w:type="dxa"/>
            <w:bottom w:w="0" w:type="dxa"/>
            <w:right w:w="108" w:type="dxa"/>
          </w:tblCellMar>
        </w:tblPrEx>
        <w:tc>
          <w:tcPr>
            <w:tcW w:w="9406" w:type="dxa"/>
            <w:tcBorders>
              <w:top w:val="single" w:color="90CAF9" w:sz="6" w:space="0"/>
              <w:left w:val="single" w:color="90CAF9" w:sz="6" w:space="0"/>
              <w:bottom w:val="single" w:color="90CAF9" w:sz="6" w:space="0"/>
              <w:right w:val="single" w:color="90CAF9" w:sz="6" w:space="0"/>
            </w:tcBorders>
            <w:shd w:val="clear" w:color="auto" w:fill="E8F0FE"/>
            <w:tcMar>
              <w:top w:w="80" w:type="dxa"/>
              <w:left w:w="120" w:type="dxa"/>
              <w:bottom w:w="80" w:type="dxa"/>
              <w:right w:w="120" w:type="dxa"/>
            </w:tcMar>
          </w:tcPr>
          <w:p>
            <w:pPr>
              <w:spacing w:before="0" w:after="60"/>
            </w:pPr>
            <w:r>
              <w:rPr>
                <w:rFonts w:ascii="微软雅黑" w:hAnsi="微软雅黑" w:eastAsia="微软雅黑"/>
                <w:b/>
                <w:color w:val="1A3A5C"/>
                <w:sz w:val="24"/>
              </w:rPr>
              <w:t>净利率 = 净利润 ÷ 营业收入</w:t>
            </w:r>
          </w:p>
          <w:p>
            <w:pPr>
              <w:spacing w:before="0" w:after="0"/>
            </w:pPr>
            <w:r>
              <w:rPr>
                <w:rFonts w:ascii="微软雅黑" w:hAnsi="微软雅黑" w:eastAsia="微软雅黑"/>
                <w:b w:val="0"/>
                <w:color w:val="666666"/>
                <w:sz w:val="21"/>
              </w:rPr>
              <w:t>大白话：扣完所有费用（工资、税费、利息等），100块钱真正落袋多少。</w:t>
            </w:r>
          </w:p>
        </w:tc>
      </w:tr>
    </w:tbl>
    <w:p>
      <w:pPr>
        <w:spacing w:before="0" w:after="60" w:line="240" w:lineRule="auto"/>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E3F2FD"/>
            <w:tcMar>
              <w:top w:w="60" w:type="dxa"/>
              <w:left w:w="100" w:type="dxa"/>
              <w:bottom w:w="60" w:type="dxa"/>
              <w:right w:w="100" w:type="dxa"/>
            </w:tcMar>
          </w:tcPr>
          <w:p>
            <w:pPr>
              <w:spacing w:before="40" w:after="40" w:line="240" w:lineRule="auto"/>
            </w:pPr>
            <w:r>
              <w:rPr>
                <w:rFonts w:ascii="微软雅黑" w:hAnsi="微软雅黑" w:eastAsia="微软雅黑"/>
                <w:b/>
                <w:color w:val="1A3A5C"/>
                <w:sz w:val="21"/>
              </w:rPr>
              <w:t>净利率</w:t>
            </w:r>
          </w:p>
        </w:tc>
        <w:tc>
          <w:tcPr>
            <w:tcW w:w="7087" w:type="dxa"/>
            <w:shd w:val="clear" w:color="auto" w:fill="E3F2FD"/>
            <w:tcMar>
              <w:top w:w="60" w:type="dxa"/>
              <w:left w:w="100" w:type="dxa"/>
              <w:bottom w:w="60" w:type="dxa"/>
              <w:right w:w="100" w:type="dxa"/>
            </w:tcMar>
          </w:tcPr>
          <w:p>
            <w:pPr>
              <w:spacing w:before="40" w:after="40" w:line="240" w:lineRule="auto"/>
            </w:pPr>
            <w:r>
              <w:rPr>
                <w:rFonts w:ascii="微软雅黑" w:hAnsi="微软雅黑" w:eastAsia="微软雅黑"/>
                <w:b/>
                <w:color w:val="1A3A5C"/>
                <w:sz w:val="21"/>
              </w:rPr>
              <w:t>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 20%</w:t>
            </w:r>
          </w:p>
        </w:tc>
        <w:tc>
          <w:tcPr>
            <w:tcW w:w="7087"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优秀（市场经验参考）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 10%</w:t>
            </w:r>
          </w:p>
        </w:tc>
        <w:tc>
          <w:tcPr>
            <w:tcW w:w="7087"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良好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&lt; 5%</w:t>
            </w:r>
          </w:p>
        </w:tc>
        <w:tc>
          <w:tcPr>
            <w:tcW w:w="7087"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利润较薄</w:t>
            </w:r>
          </w:p>
        </w:tc>
      </w:tr>
    </w:tbl>
    <w:p>
      <w:pPr>
        <w:spacing w:before="40" w:after="160" w:line="312" w:lineRule="auto"/>
      </w:pPr>
      <w:r>
        <w:rPr>
          <w:rFonts w:ascii="微软雅黑" w:hAnsi="微软雅黑" w:eastAsia="微软雅黑"/>
          <w:b w:val="0"/>
          <w:color w:val="666666"/>
          <w:sz w:val="18"/>
        </w:rPr>
        <w:t>来源：净利率分档标准为市场经验参考值，非强制标准。</w:t>
      </w:r>
    </w:p>
    <w:p>
      <w:pPr>
        <w:spacing w:before="40" w:after="160" w:line="336" w:lineRule="auto"/>
        <w:ind w:left="80"/>
      </w:pPr>
      <w:r>
        <w:rPr>
          <w:rFonts w:ascii="微软雅黑" w:hAnsi="微软雅黑" w:eastAsia="微软雅黑"/>
          <w:b w:val="0"/>
          <w:color w:val="333333"/>
          <w:sz w:val="21"/>
        </w:rPr>
        <w:t>净利率和毛利率要结合看——毛利率高但净利率低，通常说明期间费用占比过大，需深挖费用结构。</w:t>
      </w:r>
    </w:p>
    <w:p>
      <w:pPr>
        <w:spacing w:before="120" w:after="80" w:line="336" w:lineRule="auto"/>
      </w:pPr>
      <w:r>
        <w:rPr>
          <w:rFonts w:ascii="微软雅黑" w:hAnsi="微软雅黑" w:eastAsia="微软雅黑"/>
          <w:b/>
          <w:color w:val="2D6A9F"/>
          <w:sz w:val="26"/>
        </w:rPr>
        <w:t>指标3：ROE（净资产收益率）</w:t>
      </w:r>
    </w:p>
    <w:tbl>
      <w:tblPr>
        <w:tblStyle w:val="32"/>
        <w:tblW w:w="0" w:type="auto"/>
        <w:tblInd w:w="0" w:type="dxa"/>
        <w:tblLayout w:type="autofit"/>
        <w:tblCellMar>
          <w:top w:w="0" w:type="dxa"/>
          <w:left w:w="108" w:type="dxa"/>
          <w:bottom w:w="0" w:type="dxa"/>
          <w:right w:w="108" w:type="dxa"/>
        </w:tblCellMar>
      </w:tblPr>
      <w:tblGrid>
        <w:gridCol w:w="9406"/>
      </w:tblGrid>
      <w:tr>
        <w:tblPrEx>
          <w:tblCellMar>
            <w:top w:w="0" w:type="dxa"/>
            <w:left w:w="108" w:type="dxa"/>
            <w:bottom w:w="0" w:type="dxa"/>
            <w:right w:w="108" w:type="dxa"/>
          </w:tblCellMar>
        </w:tblPrEx>
        <w:tc>
          <w:tcPr>
            <w:tcW w:w="9406" w:type="dxa"/>
            <w:tcBorders>
              <w:top w:val="single" w:color="90CAF9" w:sz="6" w:space="0"/>
              <w:left w:val="single" w:color="90CAF9" w:sz="6" w:space="0"/>
              <w:bottom w:val="single" w:color="90CAF9" w:sz="6" w:space="0"/>
              <w:right w:val="single" w:color="90CAF9" w:sz="6" w:space="0"/>
            </w:tcBorders>
            <w:shd w:val="clear" w:color="auto" w:fill="E8F0FE"/>
            <w:tcMar>
              <w:top w:w="80" w:type="dxa"/>
              <w:left w:w="120" w:type="dxa"/>
              <w:bottom w:w="80" w:type="dxa"/>
              <w:right w:w="120" w:type="dxa"/>
            </w:tcMar>
          </w:tcPr>
          <w:p>
            <w:pPr>
              <w:spacing w:before="0" w:after="60"/>
            </w:pPr>
            <w:r>
              <w:rPr>
                <w:rFonts w:ascii="微软雅黑" w:hAnsi="微软雅黑" w:eastAsia="微软雅黑"/>
                <w:b/>
                <w:color w:val="1A3A5C"/>
                <w:sz w:val="24"/>
              </w:rPr>
              <w:t>ROE = 净利润 ÷ 净资产</w:t>
            </w:r>
          </w:p>
          <w:p>
            <w:pPr>
              <w:spacing w:before="0" w:after="0"/>
            </w:pPr>
            <w:r>
              <w:rPr>
                <w:rFonts w:ascii="微软雅黑" w:hAnsi="微软雅黑" w:eastAsia="微软雅黑"/>
                <w:b w:val="0"/>
                <w:color w:val="666666"/>
                <w:sz w:val="21"/>
              </w:rPr>
              <w:t>大白话：股东每投100块能赚多少。价值投资中广泛关注的指标。</w:t>
            </w:r>
          </w:p>
        </w:tc>
      </w:tr>
    </w:tbl>
    <w:p>
      <w:pPr>
        <w:spacing w:before="0" w:after="60" w:line="240" w:lineRule="auto"/>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E3F2FD"/>
            <w:tcMar>
              <w:top w:w="60" w:type="dxa"/>
              <w:left w:w="100" w:type="dxa"/>
              <w:bottom w:w="60" w:type="dxa"/>
              <w:right w:w="100" w:type="dxa"/>
            </w:tcMar>
          </w:tcPr>
          <w:p>
            <w:pPr>
              <w:spacing w:before="40" w:after="40" w:line="240" w:lineRule="auto"/>
            </w:pPr>
            <w:r>
              <w:rPr>
                <w:rFonts w:ascii="微软雅黑" w:hAnsi="微软雅黑" w:eastAsia="微软雅黑"/>
                <w:b/>
                <w:color w:val="1A3A5C"/>
                <w:sz w:val="21"/>
              </w:rPr>
              <w:t>ROE</w:t>
            </w:r>
          </w:p>
        </w:tc>
        <w:tc>
          <w:tcPr>
            <w:tcW w:w="7087" w:type="dxa"/>
            <w:shd w:val="clear" w:color="auto" w:fill="E3F2FD"/>
            <w:tcMar>
              <w:top w:w="60" w:type="dxa"/>
              <w:left w:w="100" w:type="dxa"/>
              <w:bottom w:w="60" w:type="dxa"/>
              <w:right w:w="100" w:type="dxa"/>
            </w:tcMar>
          </w:tcPr>
          <w:p>
            <w:pPr>
              <w:spacing w:before="40" w:after="40" w:line="240" w:lineRule="auto"/>
            </w:pPr>
            <w:r>
              <w:rPr>
                <w:rFonts w:ascii="微软雅黑" w:hAnsi="微软雅黑" w:eastAsia="微软雅黑"/>
                <w:b/>
                <w:color w:val="1A3A5C"/>
                <w:sz w:val="21"/>
              </w:rPr>
              <w:t>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 15%</w:t>
            </w:r>
          </w:p>
        </w:tc>
        <w:tc>
          <w:tcPr>
            <w:tcW w:w="7087"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优秀（市场经验参考，连续多年 &gt; 15% 常被价值投资者关注）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 10%</w:t>
            </w:r>
          </w:p>
        </w:tc>
        <w:tc>
          <w:tcPr>
            <w:tcW w:w="7087"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良好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 6%</w:t>
            </w:r>
          </w:p>
        </w:tc>
        <w:tc>
          <w:tcPr>
            <w:tcW w:w="7087"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证监会增发要求底线（法规标准，非投资筛选标准）</w:t>
            </w:r>
          </w:p>
        </w:tc>
      </w:tr>
    </w:tbl>
    <w:p>
      <w:pPr>
        <w:spacing w:before="40" w:after="160" w:line="312" w:lineRule="auto"/>
      </w:pPr>
      <w:r>
        <w:rPr>
          <w:rFonts w:ascii="微软雅黑" w:hAnsi="微软雅黑" w:eastAsia="微软雅黑"/>
          <w:b w:val="0"/>
          <w:color w:val="666666"/>
          <w:sz w:val="18"/>
        </w:rPr>
        <w:t>来源：ROE ≥ 6% 出自证监会《上市公司证券发行管理办法》第十三条（增发条件）；15%/10% 分档为市场经验参考。</w:t>
      </w:r>
    </w:p>
    <w:p>
      <w:pPr>
        <w:spacing w:before="40" w:after="160" w:line="336" w:lineRule="auto"/>
        <w:ind w:left="80"/>
      </w:pPr>
      <w:r>
        <w:rPr>
          <w:rFonts w:ascii="微软雅黑" w:hAnsi="微软雅黑" w:eastAsia="微软雅黑"/>
          <w:b w:val="0"/>
          <w:color w:val="333333"/>
          <w:sz w:val="21"/>
        </w:rPr>
        <w:t>ROE 高但有息负债也高 = 可能靠杠杆堆出来的，需打折扣看。</w:t>
      </w:r>
    </w:p>
    <w:tbl>
      <w:tblPr>
        <w:tblStyle w:val="32"/>
        <w:tblW w:w="0" w:type="auto"/>
        <w:tblInd w:w="0" w:type="dxa"/>
        <w:tblLayout w:type="autofit"/>
        <w:tblCellMar>
          <w:top w:w="0" w:type="dxa"/>
          <w:left w:w="108" w:type="dxa"/>
          <w:bottom w:w="0" w:type="dxa"/>
          <w:right w:w="108" w:type="dxa"/>
        </w:tblCellMar>
      </w:tblPr>
      <w:tblGrid>
        <w:gridCol w:w="9406"/>
      </w:tblGrid>
      <w:tr>
        <w:tblPrEx>
          <w:tblCellMar>
            <w:top w:w="0" w:type="dxa"/>
            <w:left w:w="108" w:type="dxa"/>
            <w:bottom w:w="0" w:type="dxa"/>
            <w:right w:w="108" w:type="dxa"/>
          </w:tblCellMar>
        </w:tblPrEx>
        <w:tc>
          <w:tcPr>
            <w:tcW w:w="9406" w:type="dxa"/>
            <w:tcBorders>
              <w:top w:val="single" w:color="F9A825" w:sz="6" w:space="0"/>
              <w:left w:val="single" w:color="F9A825" w:sz="6" w:space="0"/>
              <w:bottom w:val="single" w:color="F9A825" w:sz="6" w:space="0"/>
              <w:right w:val="single" w:color="F9A825" w:sz="6" w:space="0"/>
            </w:tcBorders>
            <w:shd w:val="clear" w:color="auto" w:fill="FFF8E1"/>
            <w:tcMar>
              <w:top w:w="80" w:type="dxa"/>
              <w:left w:w="120" w:type="dxa"/>
              <w:bottom w:w="80" w:type="dxa"/>
              <w:right w:w="120" w:type="dxa"/>
            </w:tcMar>
          </w:tcPr>
          <w:p>
            <w:pPr>
              <w:spacing w:before="0" w:after="0"/>
            </w:pPr>
            <w:r>
              <w:rPr>
                <w:rFonts w:ascii="微软雅黑" w:hAnsi="微软雅黑" w:eastAsia="微软雅黑"/>
                <w:b w:val="0"/>
                <w:color w:val="333333"/>
                <w:sz w:val="21"/>
              </w:rPr>
              <w:t>🔑 实操要点：3个指标必须连在一起看 + 至少看3年趋势，单看1年会被误导。</w:t>
            </w:r>
          </w:p>
        </w:tc>
      </w:tr>
    </w:tbl>
    <w:p>
      <w:pPr>
        <w:spacing w:before="0" w:after="160" w:line="240" w:lineRule="auto"/>
      </w:pPr>
    </w:p>
    <w:p/>
    <w:tbl>
      <w:tblPr>
        <w:tblStyle w:val="32"/>
        <w:tblW w:w="0" w:type="auto"/>
        <w:tblInd w:w="0" w:type="dxa"/>
        <w:tblLayout w:type="autofit"/>
        <w:tblCellMar>
          <w:top w:w="0" w:type="dxa"/>
          <w:left w:w="108" w:type="dxa"/>
          <w:bottom w:w="0" w:type="dxa"/>
          <w:right w:w="108" w:type="dxa"/>
        </w:tblCellMar>
      </w:tblPr>
      <w:tblGrid>
        <w:gridCol w:w="9406"/>
      </w:tblGrid>
      <w:tr>
        <w:tblPrEx>
          <w:tblCellMar>
            <w:top w:w="0" w:type="dxa"/>
            <w:left w:w="108" w:type="dxa"/>
            <w:bottom w:w="0" w:type="dxa"/>
            <w:right w:w="108" w:type="dxa"/>
          </w:tblCellMar>
        </w:tblPrEx>
        <w:tc>
          <w:tcPr>
            <w:tcW w:w="9406" w:type="dxa"/>
            <w:tcBorders>
              <w:top w:val="single" w:color="2E7D32" w:sz="0" w:space="0"/>
              <w:left w:val="single" w:color="2E7D32" w:sz="0" w:space="0"/>
              <w:bottom w:val="single" w:color="2E7D32" w:sz="0" w:space="0"/>
              <w:right w:val="single" w:color="2E7D32" w:sz="0" w:space="0"/>
            </w:tcBorders>
            <w:shd w:val="clear" w:color="auto" w:fill="2E7D32"/>
            <w:tcMar>
              <w:top w:w="80" w:type="dxa"/>
              <w:left w:w="120" w:type="dxa"/>
              <w:bottom w:w="80" w:type="dxa"/>
              <w:right w:w="120" w:type="dxa"/>
            </w:tcMar>
          </w:tcPr>
          <w:p>
            <w:pPr>
              <w:spacing w:before="0" w:after="0"/>
              <w:jc w:val="left"/>
            </w:pPr>
            <w:r>
              <w:rPr>
                <w:rFonts w:ascii="微软雅黑" w:hAnsi="微软雅黑" w:eastAsia="微软雅黑"/>
                <w:b/>
                <w:color w:val="FFFFFF"/>
                <w:sz w:val="30"/>
              </w:rPr>
              <w:t>二、现金流 + 排雷怎么看</w:t>
            </w:r>
          </w:p>
        </w:tc>
      </w:tr>
    </w:tbl>
    <w:p>
      <w:pPr>
        <w:spacing w:before="0" w:after="80" w:line="240" w:lineRule="auto"/>
      </w:pPr>
    </w:p>
    <w:p>
      <w:pPr>
        <w:spacing w:before="120" w:after="80" w:line="336" w:lineRule="auto"/>
      </w:pPr>
      <w:r>
        <w:rPr>
          <w:rFonts w:ascii="微软雅黑" w:hAnsi="微软雅黑" w:eastAsia="微软雅黑"/>
          <w:b/>
          <w:color w:val="2E7D32"/>
          <w:sz w:val="26"/>
        </w:rPr>
        <w:t>1. 现金流量表 —— 利润含金量</w:t>
      </w:r>
    </w:p>
    <w:tbl>
      <w:tblPr>
        <w:tblStyle w:val="32"/>
        <w:tblW w:w="0" w:type="auto"/>
        <w:tblInd w:w="0" w:type="dxa"/>
        <w:tblLayout w:type="autofit"/>
        <w:tblCellMar>
          <w:top w:w="0" w:type="dxa"/>
          <w:left w:w="108" w:type="dxa"/>
          <w:bottom w:w="0" w:type="dxa"/>
          <w:right w:w="108" w:type="dxa"/>
        </w:tblCellMar>
      </w:tblPr>
      <w:tblGrid>
        <w:gridCol w:w="9406"/>
      </w:tblGrid>
      <w:tr>
        <w:tblPrEx>
          <w:tblCellMar>
            <w:top w:w="0" w:type="dxa"/>
            <w:left w:w="108" w:type="dxa"/>
            <w:bottom w:w="0" w:type="dxa"/>
            <w:right w:w="108" w:type="dxa"/>
          </w:tblCellMar>
        </w:tblPrEx>
        <w:tc>
          <w:tcPr>
            <w:tcW w:w="9406" w:type="dxa"/>
            <w:tcBorders>
              <w:top w:val="single" w:color="90CAF9" w:sz="6" w:space="0"/>
              <w:left w:val="single" w:color="90CAF9" w:sz="6" w:space="0"/>
              <w:bottom w:val="single" w:color="90CAF9" w:sz="6" w:space="0"/>
              <w:right w:val="single" w:color="90CAF9" w:sz="6" w:space="0"/>
            </w:tcBorders>
            <w:shd w:val="clear" w:color="auto" w:fill="E8F0FE"/>
            <w:tcMar>
              <w:top w:w="80" w:type="dxa"/>
              <w:left w:w="120" w:type="dxa"/>
              <w:bottom w:w="80" w:type="dxa"/>
              <w:right w:w="120" w:type="dxa"/>
            </w:tcMar>
          </w:tcPr>
          <w:p>
            <w:pPr>
              <w:spacing w:before="0" w:after="60"/>
            </w:pPr>
            <w:r>
              <w:rPr>
                <w:rFonts w:ascii="微软雅黑" w:hAnsi="微软雅黑" w:eastAsia="微软雅黑"/>
                <w:b/>
                <w:color w:val="1A3A5C"/>
                <w:sz w:val="24"/>
              </w:rPr>
              <w:t>净现比 = 经营现金流 ÷ 净利润</w:t>
            </w:r>
          </w:p>
          <w:p>
            <w:pPr>
              <w:spacing w:before="0" w:after="0"/>
            </w:pPr>
            <w:r>
              <w:rPr>
                <w:rFonts w:ascii="微软雅黑" w:hAnsi="微软雅黑" w:eastAsia="微软雅黑"/>
                <w:b w:val="0"/>
                <w:color w:val="666666"/>
                <w:sz w:val="21"/>
              </w:rPr>
              <w:t>大白话：利润可以"纸上富贵"（赊账也算收入），现金流更难造假。</w:t>
            </w:r>
          </w:p>
        </w:tc>
      </w:tr>
    </w:tbl>
    <w:p>
      <w:pPr>
        <w:spacing w:before="0" w:after="60" w:line="240" w:lineRule="auto"/>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E3F2FD"/>
            <w:tcMar>
              <w:top w:w="60" w:type="dxa"/>
              <w:left w:w="100" w:type="dxa"/>
              <w:bottom w:w="60" w:type="dxa"/>
              <w:right w:w="100" w:type="dxa"/>
            </w:tcMar>
          </w:tcPr>
          <w:p>
            <w:pPr>
              <w:spacing w:before="40" w:after="40" w:line="240" w:lineRule="auto"/>
            </w:pPr>
            <w:r>
              <w:rPr>
                <w:rFonts w:ascii="微软雅黑" w:hAnsi="微软雅黑" w:eastAsia="微软雅黑"/>
                <w:b/>
                <w:color w:val="1A3A5C"/>
                <w:sz w:val="21"/>
              </w:rPr>
              <w:t>净现比</w:t>
            </w:r>
          </w:p>
        </w:tc>
        <w:tc>
          <w:tcPr>
            <w:tcW w:w="7087" w:type="dxa"/>
            <w:shd w:val="clear" w:color="auto" w:fill="E3F2FD"/>
            <w:tcMar>
              <w:top w:w="60" w:type="dxa"/>
              <w:left w:w="100" w:type="dxa"/>
              <w:bottom w:w="60" w:type="dxa"/>
              <w:right w:w="100" w:type="dxa"/>
            </w:tcMar>
          </w:tcPr>
          <w:p>
            <w:pPr>
              <w:spacing w:before="40" w:after="40" w:line="240" w:lineRule="auto"/>
            </w:pPr>
            <w:r>
              <w:rPr>
                <w:rFonts w:ascii="微软雅黑" w:hAnsi="微软雅黑" w:eastAsia="微软雅黑"/>
                <w:b/>
                <w:color w:val="1A3A5C"/>
                <w:sz w:val="21"/>
              </w:rPr>
              <w:t>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长期 &gt; 1</w:t>
            </w:r>
          </w:p>
        </w:tc>
        <w:tc>
          <w:tcPr>
            <w:tcW w:w="7087"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回款扎实（市场经验）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0.7 ~ 1</w:t>
            </w:r>
          </w:p>
        </w:tc>
        <w:tc>
          <w:tcPr>
            <w:tcW w:w="7087"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基本匹配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长期 &lt; 0.5</w:t>
            </w:r>
          </w:p>
        </w:tc>
        <w:tc>
          <w:tcPr>
            <w:tcW w:w="7087"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盈利含金量存疑</w:t>
            </w:r>
          </w:p>
        </w:tc>
      </w:tr>
    </w:tbl>
    <w:p>
      <w:pPr>
        <w:spacing w:before="40" w:after="160" w:line="312" w:lineRule="auto"/>
      </w:pPr>
      <w:r>
        <w:rPr>
          <w:rFonts w:ascii="微软雅黑" w:hAnsi="微软雅黑" w:eastAsia="微软雅黑"/>
          <w:b w:val="0"/>
          <w:color w:val="666666"/>
          <w:sz w:val="18"/>
        </w:rPr>
        <w:t>来源：净现比分档为市场经验参考；深交所投教提示现金流分析需结合应收、存货交叉验证。</w:t>
      </w:r>
    </w:p>
    <w:p>
      <w:pPr>
        <w:spacing w:before="40" w:after="200" w:line="336" w:lineRule="auto"/>
        <w:ind w:left="80"/>
      </w:pPr>
      <w:r>
        <w:rPr>
          <w:rFonts w:ascii="微软雅黑" w:hAnsi="微软雅黑" w:eastAsia="微软雅黑"/>
          <w:b w:val="0"/>
          <w:color w:val="333333"/>
          <w:sz w:val="21"/>
        </w:rPr>
        <w:t>利润表按权责发生制编制，存在应收虚增空间；现金流调节成本更高，但也要结合应收账款、存货交叉看。</w:t>
      </w:r>
    </w:p>
    <w:p>
      <w:pPr>
        <w:spacing w:before="120" w:after="80" w:line="336" w:lineRule="auto"/>
      </w:pPr>
      <w:r>
        <w:rPr>
          <w:rFonts w:ascii="微软雅黑" w:hAnsi="微软雅黑" w:eastAsia="微软雅黑"/>
          <w:b/>
          <w:color w:val="2E7D32"/>
          <w:sz w:val="26"/>
        </w:rPr>
        <w:t>2. 资产负债表 —— 4个关注信号</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62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color="auto" w:fill="E8F5E9"/>
            <w:tcMar>
              <w:top w:w="60" w:type="dxa"/>
              <w:left w:w="100" w:type="dxa"/>
              <w:bottom w:w="60" w:type="dxa"/>
              <w:right w:w="100" w:type="dxa"/>
            </w:tcMar>
          </w:tcPr>
          <w:p>
            <w:pPr>
              <w:spacing w:before="40" w:after="40" w:line="240" w:lineRule="auto"/>
            </w:pPr>
            <w:r>
              <w:rPr>
                <w:rFonts w:ascii="微软雅黑" w:hAnsi="微软雅黑" w:eastAsia="微软雅黑"/>
                <w:b/>
                <w:color w:val="1A3A5C"/>
                <w:sz w:val="21"/>
              </w:rPr>
              <w:t>信号</w:t>
            </w:r>
          </w:p>
        </w:tc>
        <w:tc>
          <w:tcPr>
            <w:tcW w:w="6239" w:type="dxa"/>
            <w:shd w:val="clear" w:color="auto" w:fill="E8F5E9"/>
            <w:tcMar>
              <w:top w:w="60" w:type="dxa"/>
              <w:left w:w="100" w:type="dxa"/>
              <w:bottom w:w="60" w:type="dxa"/>
              <w:right w:w="100" w:type="dxa"/>
            </w:tcMar>
          </w:tcPr>
          <w:p>
            <w:pPr>
              <w:spacing w:before="40" w:after="40" w:line="240" w:lineRule="auto"/>
            </w:pPr>
            <w:r>
              <w:rPr>
                <w:rFonts w:ascii="微软雅黑" w:hAnsi="微软雅黑" w:eastAsia="微软雅黑"/>
                <w:b/>
                <w:color w:val="1A3A5C"/>
                <w:sz w:val="21"/>
              </w:rPr>
              <w:t>关注标准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① 负债率</w:t>
            </w:r>
          </w:p>
        </w:tc>
        <w:tc>
          <w:tcPr>
            <w:tcW w:w="6239"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&lt; 30% 低杠杆（经验）</w:t>
            </w:r>
            <w:r>
              <w:rPr>
                <w:rFonts w:ascii="微软雅黑" w:hAnsi="微软雅黑" w:eastAsia="微软雅黑"/>
                <w:b w:val="0"/>
                <w:color w:val="333333"/>
                <w:sz w:val="21"/>
              </w:rPr>
              <w:br w:type="textWrapping"/>
            </w:r>
            <w:r>
              <w:rPr>
                <w:rFonts w:ascii="微软雅黑" w:hAnsi="微软雅黑" w:eastAsia="微软雅黑"/>
                <w:b w:val="0"/>
                <w:color w:val="333333"/>
                <w:sz w:val="21"/>
              </w:rPr>
              <w:t>30-60% 常态</w:t>
            </w:r>
            <w:r>
              <w:rPr>
                <w:rFonts w:ascii="微软雅黑" w:hAnsi="微软雅黑" w:eastAsia="微软雅黑"/>
                <w:b w:val="0"/>
                <w:color w:val="333333"/>
                <w:sz w:val="21"/>
              </w:rPr>
              <w:br w:type="textWrapping"/>
            </w:r>
            <w:r>
              <w:rPr>
                <w:rFonts w:ascii="微软雅黑" w:hAnsi="微软雅黑" w:eastAsia="微软雅黑"/>
                <w:b w:val="0"/>
                <w:color w:val="333333"/>
                <w:sz w:val="21"/>
              </w:rPr>
              <w:t>&gt; 70% 需结合行业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② 流动比率</w:t>
            </w:r>
          </w:p>
        </w:tc>
        <w:tc>
          <w:tcPr>
            <w:tcW w:w="6239"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传统参考 2:1</w:t>
            </w:r>
            <w:r>
              <w:rPr>
                <w:rFonts w:ascii="微软雅黑" w:hAnsi="微软雅黑" w:eastAsia="微软雅黑"/>
                <w:b w:val="0"/>
                <w:color w:val="333333"/>
                <w:sz w:val="21"/>
              </w:rPr>
              <w:br w:type="textWrapping"/>
            </w:r>
            <w:r>
              <w:rPr>
                <w:rFonts w:ascii="微软雅黑" w:hAnsi="微软雅黑" w:eastAsia="微软雅黑"/>
                <w:b w:val="0"/>
                <w:color w:val="333333"/>
                <w:sz w:val="21"/>
              </w:rPr>
              <w:t>&lt; 1 短期偿债压力大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③ 商誉 / 净资产</w:t>
            </w:r>
          </w:p>
        </w:tc>
        <w:tc>
          <w:tcPr>
            <w:tcW w:w="6239"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市场常以 30% 为关注线（非强制）</w:t>
            </w:r>
            <w:r>
              <w:rPr>
                <w:rFonts w:ascii="微软雅黑" w:hAnsi="微软雅黑" w:eastAsia="微软雅黑"/>
                <w:b w:val="0"/>
                <w:color w:val="333333"/>
                <w:sz w:val="21"/>
              </w:rPr>
              <w:br w:type="textWrapping"/>
            </w:r>
            <w:r>
              <w:rPr>
                <w:rFonts w:ascii="微软雅黑" w:hAnsi="微软雅黑" w:eastAsia="微软雅黑"/>
                <w:b w:val="0"/>
                <w:color w:val="333333"/>
                <w:sz w:val="21"/>
              </w:rPr>
              <w:t>高溢价并购减值会一次性冲利润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④ 大股东质押</w:t>
            </w:r>
          </w:p>
        </w:tc>
        <w:tc>
          <w:tcPr>
            <w:tcW w:w="6239"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50%、80% 为沪深披露分层节点</w:t>
            </w:r>
            <w:r>
              <w:rPr>
                <w:rFonts w:ascii="微软雅黑" w:hAnsi="微软雅黑" w:eastAsia="微软雅黑"/>
                <w:b w:val="0"/>
                <w:color w:val="333333"/>
                <w:sz w:val="21"/>
              </w:rPr>
              <w:br w:type="textWrapping"/>
            </w:r>
            <w:r>
              <w:rPr>
                <w:rFonts w:ascii="微软雅黑" w:hAnsi="微软雅黑" w:eastAsia="微软雅黑"/>
                <w:b w:val="0"/>
                <w:color w:val="333333"/>
                <w:sz w:val="21"/>
              </w:rPr>
              <w:t>高比例关联资金占用风险</w:t>
            </w:r>
          </w:p>
        </w:tc>
      </w:tr>
    </w:tbl>
    <w:p>
      <w:pPr>
        <w:spacing w:before="40" w:after="160" w:line="312" w:lineRule="auto"/>
      </w:pPr>
      <w:r>
        <w:rPr>
          <w:rFonts w:ascii="微软雅黑" w:hAnsi="微软雅黑" w:eastAsia="微软雅黑"/>
          <w:b w:val="0"/>
          <w:color w:val="666666"/>
          <w:sz w:val="18"/>
        </w:rPr>
        <w:t>来源分类：🔴 证监会法规 / 🟢 交易所投教 / 🟠 市场经验参考。以上标准非强制，不同行业差异大，请勿简单套用。</w:t>
      </w:r>
    </w:p>
    <w:p>
      <w:pPr>
        <w:spacing w:before="0" w:after="160" w:line="240" w:lineRule="auto"/>
      </w:pPr>
    </w:p>
    <w:p/>
    <w:tbl>
      <w:tblPr>
        <w:tblStyle w:val="32"/>
        <w:tblW w:w="0" w:type="auto"/>
        <w:tblInd w:w="0" w:type="dxa"/>
        <w:tblLayout w:type="autofit"/>
        <w:tblCellMar>
          <w:top w:w="0" w:type="dxa"/>
          <w:left w:w="108" w:type="dxa"/>
          <w:bottom w:w="0" w:type="dxa"/>
          <w:right w:w="108" w:type="dxa"/>
        </w:tblCellMar>
      </w:tblPr>
      <w:tblGrid>
        <w:gridCol w:w="9406"/>
      </w:tblGrid>
      <w:tr>
        <w:tblPrEx>
          <w:tblCellMar>
            <w:top w:w="0" w:type="dxa"/>
            <w:left w:w="108" w:type="dxa"/>
            <w:bottom w:w="0" w:type="dxa"/>
            <w:right w:w="108" w:type="dxa"/>
          </w:tblCellMar>
        </w:tblPrEx>
        <w:tc>
          <w:tcPr>
            <w:tcW w:w="9406" w:type="dxa"/>
            <w:tcBorders>
              <w:top w:val="single" w:color="D84315" w:sz="0" w:space="0"/>
              <w:left w:val="single" w:color="D84315" w:sz="0" w:space="0"/>
              <w:bottom w:val="single" w:color="D84315" w:sz="0" w:space="0"/>
              <w:right w:val="single" w:color="D84315" w:sz="0" w:space="0"/>
            </w:tcBorders>
            <w:shd w:val="clear" w:color="auto" w:fill="D84315"/>
            <w:tcMar>
              <w:top w:w="80" w:type="dxa"/>
              <w:left w:w="120" w:type="dxa"/>
              <w:bottom w:w="80" w:type="dxa"/>
              <w:right w:w="120" w:type="dxa"/>
            </w:tcMar>
          </w:tcPr>
          <w:p>
            <w:pPr>
              <w:spacing w:before="0" w:after="0"/>
              <w:jc w:val="left"/>
            </w:pPr>
            <w:r>
              <w:rPr>
                <w:rFonts w:ascii="微软雅黑" w:hAnsi="微软雅黑" w:eastAsia="微软雅黑"/>
                <w:b/>
                <w:color w:val="FFFFFF"/>
                <w:sz w:val="30"/>
              </w:rPr>
              <w:t>三、估值 + 科技公司怎么看</w:t>
            </w:r>
          </w:p>
        </w:tc>
      </w:tr>
    </w:tbl>
    <w:p>
      <w:pPr>
        <w:spacing w:before="0" w:after="80" w:line="240" w:lineRule="auto"/>
      </w:pPr>
    </w:p>
    <w:p>
      <w:pPr>
        <w:spacing w:before="120" w:after="80" w:line="336" w:lineRule="auto"/>
      </w:pPr>
      <w:r>
        <w:rPr>
          <w:rFonts w:ascii="微软雅黑" w:hAnsi="微软雅黑" w:eastAsia="微软雅黑"/>
          <w:b/>
          <w:color w:val="D84315"/>
          <w:sz w:val="26"/>
        </w:rPr>
        <w:t>1. 估值 —— 好公司买贵了也亏钱</w:t>
      </w:r>
    </w:p>
    <w:tbl>
      <w:tblPr>
        <w:tblStyle w:val="32"/>
        <w:tblW w:w="0" w:type="auto"/>
        <w:tblInd w:w="0" w:type="dxa"/>
        <w:tblLayout w:type="autofit"/>
        <w:tblCellMar>
          <w:top w:w="0" w:type="dxa"/>
          <w:left w:w="108" w:type="dxa"/>
          <w:bottom w:w="0" w:type="dxa"/>
          <w:right w:w="108" w:type="dxa"/>
        </w:tblCellMar>
      </w:tblPr>
      <w:tblGrid>
        <w:gridCol w:w="9406"/>
      </w:tblGrid>
      <w:tr>
        <w:tblPrEx>
          <w:tblCellMar>
            <w:top w:w="0" w:type="dxa"/>
            <w:left w:w="108" w:type="dxa"/>
            <w:bottom w:w="0" w:type="dxa"/>
            <w:right w:w="108" w:type="dxa"/>
          </w:tblCellMar>
        </w:tblPrEx>
        <w:tc>
          <w:tcPr>
            <w:tcW w:w="9406" w:type="dxa"/>
            <w:tcBorders>
              <w:top w:val="single" w:color="90CAF9" w:sz="6" w:space="0"/>
              <w:left w:val="single" w:color="90CAF9" w:sz="6" w:space="0"/>
              <w:bottom w:val="single" w:color="90CAF9" w:sz="6" w:space="0"/>
              <w:right w:val="single" w:color="90CAF9" w:sz="6" w:space="0"/>
            </w:tcBorders>
            <w:shd w:val="clear" w:color="auto" w:fill="E8F0FE"/>
            <w:tcMar>
              <w:top w:w="80" w:type="dxa"/>
              <w:left w:w="120" w:type="dxa"/>
              <w:bottom w:w="80" w:type="dxa"/>
              <w:right w:w="120" w:type="dxa"/>
            </w:tcMar>
          </w:tcPr>
          <w:p>
            <w:pPr>
              <w:spacing w:before="0" w:after="60"/>
            </w:pPr>
            <w:r>
              <w:rPr>
                <w:rFonts w:ascii="微软雅黑" w:hAnsi="微软雅黑" w:eastAsia="微软雅黑"/>
                <w:b/>
                <w:color w:val="1A3A5C"/>
                <w:sz w:val="24"/>
              </w:rPr>
              <w:t>PE = 股价 ÷ 每股收益</w:t>
            </w:r>
          </w:p>
          <w:p>
            <w:pPr>
              <w:spacing w:before="0" w:after="0"/>
            </w:pPr>
            <w:r>
              <w:rPr>
                <w:rFonts w:ascii="微软雅黑" w:hAnsi="微软雅黑" w:eastAsia="微软雅黑"/>
                <w:b w:val="0"/>
                <w:color w:val="666666"/>
                <w:sz w:val="21"/>
              </w:rPr>
              <w:t>看历史分位比看绝对值有用。处于自身5年低位参考为便宜、高位参考为贵（市场经验）。</w:t>
            </w:r>
          </w:p>
        </w:tc>
      </w:tr>
    </w:tbl>
    <w:p>
      <w:pPr>
        <w:spacing w:before="0" w:after="60" w:line="240" w:lineRule="auto"/>
      </w:pPr>
    </w:p>
    <w:tbl>
      <w:tblPr>
        <w:tblStyle w:val="32"/>
        <w:tblW w:w="0" w:type="auto"/>
        <w:tblInd w:w="0" w:type="dxa"/>
        <w:tblLayout w:type="autofit"/>
        <w:tblCellMar>
          <w:top w:w="0" w:type="dxa"/>
          <w:left w:w="108" w:type="dxa"/>
          <w:bottom w:w="0" w:type="dxa"/>
          <w:right w:w="108" w:type="dxa"/>
        </w:tblCellMar>
      </w:tblPr>
      <w:tblGrid>
        <w:gridCol w:w="9406"/>
      </w:tblGrid>
      <w:tr>
        <w:tc>
          <w:tcPr>
            <w:tcW w:w="9406" w:type="dxa"/>
            <w:tcBorders>
              <w:top w:val="single" w:color="90CAF9" w:sz="6" w:space="0"/>
              <w:left w:val="single" w:color="90CAF9" w:sz="6" w:space="0"/>
              <w:bottom w:val="single" w:color="90CAF9" w:sz="6" w:space="0"/>
              <w:right w:val="single" w:color="90CAF9" w:sz="6" w:space="0"/>
            </w:tcBorders>
            <w:shd w:val="clear" w:color="auto" w:fill="E8F0FE"/>
            <w:tcMar>
              <w:top w:w="80" w:type="dxa"/>
              <w:left w:w="120" w:type="dxa"/>
              <w:bottom w:w="80" w:type="dxa"/>
              <w:right w:w="120" w:type="dxa"/>
            </w:tcMar>
          </w:tcPr>
          <w:p>
            <w:pPr>
              <w:spacing w:before="0" w:after="60"/>
            </w:pPr>
            <w:r>
              <w:rPr>
                <w:rFonts w:ascii="微软雅黑" w:hAnsi="微软雅黑" w:eastAsia="微软雅黑"/>
                <w:b/>
                <w:color w:val="1A3A5C"/>
                <w:sz w:val="24"/>
              </w:rPr>
              <w:t>PB = 股价 ÷ 每股净资产</w:t>
            </w:r>
          </w:p>
          <w:p>
            <w:pPr>
              <w:spacing w:before="0" w:after="0"/>
            </w:pPr>
            <w:r>
              <w:rPr>
                <w:rFonts w:ascii="微软雅黑" w:hAnsi="微软雅黑" w:eastAsia="微软雅黑"/>
                <w:b w:val="0"/>
                <w:color w:val="666666"/>
                <w:sz w:val="21"/>
              </w:rPr>
              <w:t>&lt; 1 为破净（可能低估），1-3、&gt; 10 等分档为市场惯例，不同行业合理区间差异大。</w:t>
            </w:r>
          </w:p>
        </w:tc>
      </w:tr>
    </w:tbl>
    <w:p>
      <w:pPr>
        <w:spacing w:before="0" w:after="60" w:line="240" w:lineRule="auto"/>
      </w:pPr>
    </w:p>
    <w:tbl>
      <w:tblPr>
        <w:tblStyle w:val="32"/>
        <w:tblW w:w="0" w:type="auto"/>
        <w:tblInd w:w="0" w:type="dxa"/>
        <w:tblLayout w:type="autofit"/>
        <w:tblCellMar>
          <w:top w:w="0" w:type="dxa"/>
          <w:left w:w="108" w:type="dxa"/>
          <w:bottom w:w="0" w:type="dxa"/>
          <w:right w:w="108" w:type="dxa"/>
        </w:tblCellMar>
      </w:tblPr>
      <w:tblGrid>
        <w:gridCol w:w="9406"/>
      </w:tblGrid>
      <w:tr>
        <w:tblPrEx>
          <w:tblCellMar>
            <w:top w:w="0" w:type="dxa"/>
            <w:left w:w="108" w:type="dxa"/>
            <w:bottom w:w="0" w:type="dxa"/>
            <w:right w:w="108" w:type="dxa"/>
          </w:tblCellMar>
        </w:tblPrEx>
        <w:tc>
          <w:tcPr>
            <w:tcW w:w="9406" w:type="dxa"/>
            <w:tcBorders>
              <w:top w:val="single" w:color="90CAF9" w:sz="6" w:space="0"/>
              <w:left w:val="single" w:color="90CAF9" w:sz="6" w:space="0"/>
              <w:bottom w:val="single" w:color="90CAF9" w:sz="6" w:space="0"/>
              <w:right w:val="single" w:color="90CAF9" w:sz="6" w:space="0"/>
            </w:tcBorders>
            <w:shd w:val="clear" w:color="auto" w:fill="E8F0FE"/>
            <w:tcMar>
              <w:top w:w="80" w:type="dxa"/>
              <w:left w:w="120" w:type="dxa"/>
              <w:bottom w:w="80" w:type="dxa"/>
              <w:right w:w="120" w:type="dxa"/>
            </w:tcMar>
          </w:tcPr>
          <w:p>
            <w:pPr>
              <w:spacing w:before="0" w:after="60"/>
            </w:pPr>
            <w:r>
              <w:rPr>
                <w:rFonts w:ascii="微软雅黑" w:hAnsi="微软雅黑" w:eastAsia="微软雅黑"/>
                <w:b/>
                <w:color w:val="1A3A5C"/>
                <w:sz w:val="24"/>
              </w:rPr>
              <w:t>股息率 = 每股股利 ÷ 股价</w:t>
            </w:r>
          </w:p>
          <w:p>
            <w:pPr>
              <w:spacing w:before="0" w:after="0"/>
            </w:pPr>
            <w:r>
              <w:rPr>
                <w:rFonts w:ascii="微软雅黑" w:hAnsi="微软雅黑" w:eastAsia="微软雅黑"/>
                <w:b w:val="0"/>
                <w:color w:val="666666"/>
                <w:sz w:val="21"/>
              </w:rPr>
              <w:t>&gt; 3% 在当下利率环境属较高（经验参考，非强制）。</w:t>
            </w:r>
          </w:p>
        </w:tc>
      </w:tr>
    </w:tbl>
    <w:p>
      <w:pPr>
        <w:spacing w:before="0" w:after="80" w:line="240" w:lineRule="auto"/>
      </w:pPr>
    </w:p>
    <w:p>
      <w:pPr>
        <w:spacing w:before="40" w:after="160" w:line="312" w:lineRule="auto"/>
      </w:pPr>
      <w:r>
        <w:rPr>
          <w:rFonts w:ascii="微软雅黑" w:hAnsi="微软雅黑" w:eastAsia="微软雅黑"/>
          <w:b w:val="0"/>
          <w:color w:val="666666"/>
          <w:sz w:val="18"/>
        </w:rPr>
        <w:t>来源：PE/PB/股息率分析方法参考证监会投资者保护局官方答复及深交所投教材料；具体分档为市场经验参考。</w:t>
      </w:r>
    </w:p>
    <w:p>
      <w:pPr>
        <w:spacing w:before="0" w:after="120" w:line="240" w:lineRule="auto"/>
      </w:pPr>
    </w:p>
    <w:p>
      <w:pPr>
        <w:spacing w:before="160" w:after="80" w:line="336" w:lineRule="auto"/>
      </w:pPr>
      <w:r>
        <w:rPr>
          <w:rFonts w:ascii="微软雅黑" w:hAnsi="微软雅黑" w:eastAsia="微软雅黑"/>
          <w:b/>
          <w:color w:val="D84315"/>
          <w:sz w:val="26"/>
        </w:rPr>
        <w:t>2. 科技公司 —— 别只用 ROE / PE 卡</w:t>
      </w:r>
    </w:p>
    <w:p>
      <w:pPr>
        <w:spacing w:before="0" w:after="120" w:line="360" w:lineRule="auto"/>
      </w:pPr>
      <w:r>
        <w:rPr>
          <w:rFonts w:ascii="微软雅黑" w:hAnsi="微软雅黑" w:eastAsia="微软雅黑"/>
          <w:b w:val="0"/>
          <w:color w:val="333333"/>
          <w:sz w:val="22"/>
        </w:rPr>
        <w:t>科技公司在导入期可能 ROE 低甚至亏损，前面说的标准不适用。可参考证监会《科创属性评价指引（2024修正）》4项指标替代：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4819"/>
        <w:gridCol w:w="26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color="auto" w:fill="FFF3E0"/>
            <w:tcMar>
              <w:top w:w="60" w:type="dxa"/>
              <w:left w:w="100" w:type="dxa"/>
              <w:bottom w:w="60" w:type="dxa"/>
              <w:right w:w="100" w:type="dxa"/>
            </w:tcMar>
          </w:tcPr>
          <w:p>
            <w:pPr>
              <w:spacing w:before="40" w:after="40" w:line="240" w:lineRule="auto"/>
            </w:pPr>
            <w:r>
              <w:rPr>
                <w:rFonts w:ascii="微软雅黑" w:hAnsi="微软雅黑" w:eastAsia="微软雅黑"/>
                <w:b/>
                <w:color w:val="1A3A5C"/>
                <w:sz w:val="21"/>
              </w:rPr>
              <w:t>指标</w:t>
            </w:r>
          </w:p>
        </w:tc>
        <w:tc>
          <w:tcPr>
            <w:tcW w:w="4819" w:type="dxa"/>
            <w:shd w:val="clear" w:color="auto" w:fill="FFF3E0"/>
            <w:tcMar>
              <w:top w:w="60" w:type="dxa"/>
              <w:left w:w="100" w:type="dxa"/>
              <w:bottom w:w="60" w:type="dxa"/>
              <w:right w:w="100" w:type="dxa"/>
            </w:tcMar>
          </w:tcPr>
          <w:p>
            <w:pPr>
              <w:spacing w:before="40" w:after="40" w:line="240" w:lineRule="auto"/>
            </w:pPr>
            <w:r>
              <w:rPr>
                <w:rFonts w:ascii="微软雅黑" w:hAnsi="微软雅黑" w:eastAsia="微软雅黑"/>
                <w:b/>
                <w:color w:val="1A3A5C"/>
                <w:sz w:val="21"/>
              </w:rPr>
              <w:t>标准</w:t>
            </w:r>
          </w:p>
        </w:tc>
        <w:tc>
          <w:tcPr>
            <w:tcW w:w="2665" w:type="dxa"/>
            <w:shd w:val="clear" w:color="auto" w:fill="FFF3E0"/>
            <w:tcMar>
              <w:top w:w="60" w:type="dxa"/>
              <w:left w:w="100" w:type="dxa"/>
              <w:bottom w:w="60" w:type="dxa"/>
              <w:right w:w="100" w:type="dxa"/>
            </w:tcMar>
          </w:tcPr>
          <w:p>
            <w:pPr>
              <w:spacing w:before="40" w:after="40" w:line="240" w:lineRule="auto"/>
            </w:pPr>
            <w:r>
              <w:rPr>
                <w:rFonts w:ascii="微软雅黑" w:hAnsi="微软雅黑" w:eastAsia="微软雅黑"/>
                <w:b/>
                <w:color w:val="1A3A5C"/>
                <w:sz w:val="21"/>
              </w:rPr>
              <w:t>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研发投入</w:t>
            </w:r>
          </w:p>
        </w:tc>
        <w:tc>
          <w:tcPr>
            <w:tcW w:w="4819"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占营收 ≥ 5%，或三年累计 ≥ 8000万</w:t>
            </w:r>
          </w:p>
        </w:tc>
        <w:tc>
          <w:tcPr>
            <w:tcW w:w="2665"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科创属性评价指引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研发人员</w:t>
            </w:r>
          </w:p>
        </w:tc>
        <w:tc>
          <w:tcPr>
            <w:tcW w:w="4819"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占比 ≥ 10%</w:t>
            </w:r>
          </w:p>
        </w:tc>
        <w:tc>
          <w:tcPr>
            <w:tcW w:w="2665"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科创属性评价指引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发明专利</w:t>
            </w:r>
          </w:p>
        </w:tc>
        <w:tc>
          <w:tcPr>
            <w:tcW w:w="4819"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主营产业化发明专利 ≥ 7项</w:t>
            </w:r>
          </w:p>
        </w:tc>
        <w:tc>
          <w:tcPr>
            <w:tcW w:w="2665" w:type="dx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科创属性评价指引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营收增长</w:t>
            </w:r>
          </w:p>
        </w:tc>
        <w:tc>
          <w:tcPr>
            <w:tcW w:w="4819"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三年复合 ≥ 25%，或一年 ≥ 3亿</w:t>
            </w:r>
          </w:p>
        </w:tc>
        <w:tc>
          <w:tcPr>
            <w:tcW w:w="2665" w:type="dxa"/>
            <w:shd w:val="clear" w:color="auto" w:fill="FAFAFA"/>
            <w:tcMar>
              <w:top w:w="60" w:type="dxa"/>
              <w:left w:w="100" w:type="dxa"/>
              <w:bottom w:w="60" w:type="dxa"/>
              <w:right w:w="100" w:type="dxa"/>
            </w:tcMar>
          </w:tcPr>
          <w:p>
            <w:pPr>
              <w:spacing w:before="40" w:after="40" w:line="312" w:lineRule="auto"/>
            </w:pPr>
            <w:r>
              <w:rPr>
                <w:rFonts w:ascii="微软雅黑" w:hAnsi="微软雅黑" w:eastAsia="微软雅黑"/>
                <w:b w:val="0"/>
                <w:color w:val="333333"/>
                <w:sz w:val="21"/>
              </w:rPr>
              <w:t>科创属性评价指引</w:t>
            </w:r>
          </w:p>
        </w:tc>
      </w:tr>
    </w:tbl>
    <w:p>
      <w:pPr>
        <w:spacing w:before="0" w:after="120" w:line="240" w:lineRule="auto"/>
      </w:pPr>
    </w:p>
    <w:p>
      <w:pPr>
        <w:spacing w:before="80" w:after="80" w:line="336" w:lineRule="auto"/>
      </w:pPr>
      <w:r>
        <w:rPr>
          <w:rFonts w:ascii="微软雅黑" w:hAnsi="微软雅黑" w:eastAsia="微软雅黑"/>
          <w:b/>
          <w:color w:val="333333"/>
          <w:sz w:val="22"/>
        </w:rPr>
        <w:t>未盈利企业可走科创板第五套标准：</w:t>
      </w:r>
    </w:p>
    <w:p>
      <w:pPr>
        <w:spacing w:before="0" w:after="80" w:line="360" w:lineRule="auto"/>
        <w:ind w:left="160"/>
      </w:pPr>
      <w:r>
        <w:rPr>
          <w:rFonts w:ascii="微软雅黑" w:hAnsi="微软雅黑" w:eastAsia="微软雅黑"/>
          <w:b w:val="0"/>
          <w:color w:val="333333"/>
          <w:sz w:val="21"/>
        </w:rPr>
        <w:t>预计市值 ≥ 40亿 + 国家有关部门批准 + 市场空间大 + 阶段性成果（药品企业需至少一项核心产品获准开展二期临床试验）</w:t>
      </w:r>
    </w:p>
    <w:p>
      <w:pPr>
        <w:spacing w:before="0" w:after="80" w:line="240" w:lineRule="auto"/>
      </w:pPr>
    </w:p>
    <w:p>
      <w:pPr>
        <w:spacing w:before="80" w:after="80" w:line="336" w:lineRule="auto"/>
      </w:pPr>
      <w:r>
        <w:rPr>
          <w:rFonts w:ascii="微软雅黑" w:hAnsi="微软雅黑" w:eastAsia="微软雅黑"/>
          <w:b/>
          <w:color w:val="333333"/>
          <w:sz w:val="22"/>
        </w:rPr>
        <w:t>估值方法选择：</w:t>
      </w:r>
    </w:p>
    <w:p>
      <w:pPr>
        <w:spacing w:before="0" w:after="80" w:line="360" w:lineRule="auto"/>
        <w:ind w:left="160"/>
      </w:pPr>
      <w:r>
        <w:rPr>
          <w:rFonts w:ascii="微软雅黑" w:hAnsi="微软雅黑" w:eastAsia="微软雅黑"/>
          <w:b w:val="0"/>
          <w:color w:val="333333"/>
          <w:sz w:val="21"/>
        </w:rPr>
        <w:t>未盈利 / 成长期常用 PS、EV/GMV 看营收与市场空间；有稳定盈利后回归 PE 估值。</w:t>
      </w:r>
    </w:p>
    <w:p/>
    <w:tbl>
      <w:tblPr>
        <w:tblStyle w:val="32"/>
        <w:tblW w:w="0" w:type="auto"/>
        <w:tblInd w:w="0" w:type="dxa"/>
        <w:tblLayout w:type="autofit"/>
        <w:tblCellMar>
          <w:top w:w="0" w:type="dxa"/>
          <w:left w:w="108" w:type="dxa"/>
          <w:bottom w:w="0" w:type="dxa"/>
          <w:right w:w="108" w:type="dxa"/>
        </w:tblCellMar>
      </w:tblPr>
      <w:tblGrid>
        <w:gridCol w:w="9406"/>
      </w:tblGrid>
      <w:tr>
        <w:tblPrEx>
          <w:tblCellMar>
            <w:top w:w="0" w:type="dxa"/>
            <w:left w:w="108" w:type="dxa"/>
            <w:bottom w:w="0" w:type="dxa"/>
            <w:right w:w="108" w:type="dxa"/>
          </w:tblCellMar>
        </w:tblPrEx>
        <w:tc>
          <w:tcPr>
            <w:tcW w:w="9406" w:type="dxa"/>
            <w:tcBorders>
              <w:top w:val="single" w:color="EF9A9A" w:sz="8" w:space="0"/>
              <w:left w:val="single" w:color="EF9A9A" w:sz="8" w:space="0"/>
              <w:bottom w:val="single" w:color="EF9A9A" w:sz="8" w:space="0"/>
              <w:right w:val="single" w:color="EF9A9A" w:sz="8" w:space="0"/>
            </w:tcBorders>
            <w:shd w:val="clear" w:color="auto" w:fill="FFEBEE"/>
            <w:tcMar>
              <w:top w:w="120" w:type="dxa"/>
              <w:left w:w="150" w:type="dxa"/>
              <w:bottom w:w="120" w:type="dxa"/>
              <w:right w:w="150" w:type="dxa"/>
            </w:tcMar>
          </w:tcPr>
          <w:p>
            <w:pPr>
              <w:spacing w:after="80"/>
            </w:pPr>
            <w:r>
              <w:rPr>
                <w:rFonts w:ascii="微软雅黑" w:hAnsi="微软雅黑" w:eastAsia="微软雅黑"/>
                <w:b/>
                <w:color w:val="C62828"/>
                <w:sz w:val="24"/>
              </w:rPr>
              <w:t>⚠️ 风险提示</w:t>
            </w:r>
          </w:p>
          <w:p>
            <w:pPr>
              <w:spacing w:after="0" w:line="384" w:lineRule="auto"/>
            </w:pPr>
            <w:r>
              <w:rPr>
                <w:rFonts w:ascii="微软雅黑" w:hAnsi="微软雅黑" w:eastAsia="微软雅黑"/>
                <w:b w:val="0"/>
                <w:color w:val="333333"/>
                <w:sz w:val="20"/>
              </w:rPr>
              <w:t>以上内容仅为财务分析方法的科普与分享，不构成任何投资建议、投资承诺或收益保证。文中涉及的财务指标分档标准为市场经验参考值，非证监会或交易所强制标准，不同行业、不同发展阶段的企业差异较大，请勿简单套用。投资有风险，入市需谨慎。</w:t>
            </w:r>
          </w:p>
        </w:tc>
      </w:tr>
    </w:tbl>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60211C"/>
    <w:rsid w:val="1502586C"/>
    <w:rsid w:val="28776B74"/>
    <w:rsid w:val="2D6D0895"/>
    <w:rsid w:val="2E8A57EA"/>
    <w:rsid w:val="37763D21"/>
    <w:rsid w:val="399C2315"/>
    <w:rsid w:val="3E1746ED"/>
    <w:rsid w:val="41A041D8"/>
    <w:rsid w:val="46606805"/>
    <w:rsid w:val="487A02AD"/>
    <w:rsid w:val="4AE27AC3"/>
    <w:rsid w:val="4AEE787E"/>
    <w:rsid w:val="62AA7CF0"/>
    <w:rsid w:val="6505464C"/>
    <w:rsid w:val="680A363F"/>
    <w:rsid w:val="70F20808"/>
    <w:rsid w:val="712C543B"/>
    <w:rsid w:val="72A07026"/>
    <w:rsid w:val="75273520"/>
    <w:rsid w:val="76993924"/>
    <w:rsid w:val="78C00D2A"/>
    <w:rsid w:val="7DC73FEB"/>
    <w:rsid w:val="7F8064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Office_11.8.2.12118_F1E327BC-269C-435d-A152-05C5408002CA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2026-08-19T06:43:59Z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2052-11.8.2.12118</vt:lpwstr>
  </property>
  <property fmtid="{D5CDD505-2E9C-101B-9397-08002B2CF9AE}" pid="3" name="ICV">
    <vt:lpwstr>D3B49CA89C13495EBCAD0A72532D0A02</vt:lpwstr>
  </property>
</Properties>
</file>