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H</w:t>
      </w:r>
      <w:r>
        <w:rPr/>
        <w:t>euristic analysis</w:t>
      </w:r>
    </w:p>
    <w:p>
      <w:pPr>
        <w:pStyle w:val="TextBody"/>
        <w:rPr/>
      </w:pPr>
      <w:r>
        <w:rPr/>
        <w:t>Overview of heuristic analysis implemented as part of Game-Playing Agent project where agent is playing a game against another one on a chess like board where pieces (2 in total) move like a knight in chess.</w:t>
      </w:r>
    </w:p>
    <w:p>
      <w:pPr>
        <w:pStyle w:val="TextBody"/>
        <w:rPr/>
      </w:pPr>
      <w: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There were 3 evaluation functions that were implemented, each of those was tested in a tournament and their winning rate was measured when playing against agents with predefined basic evaluation functions.</w:t>
      </w:r>
    </w:p>
    <w:p>
      <w:pPr>
        <w:pStyle w:val="TextBody"/>
        <w:rPr/>
      </w:pPr>
      <w:r/>
      <w:r>
        <w:rPr/>
        <w:drawing>
          <wp:inline distT="0" distB="0" distL="0" distR="0">
            <wp:extent cx="5760085" cy="173799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 xml:space="preserve">Strongest </w:t>
      </w:r>
      <w:bookmarkStart w:id="0" w:name="__DdeLink__7_892657961"/>
      <w:r>
        <w:rPr>
          <w:b/>
          <w:bCs/>
        </w:rPr>
        <w:t>AB_Custom</w:t>
      </w:r>
      <w:r>
        <w:rPr/>
        <w:t xml:space="preserve"> heuristic</w:t>
      </w:r>
      <w:bookmarkEnd w:id="0"/>
      <w:r>
        <w:rPr/>
        <w:t xml:space="preserve"> </w:t>
      </w:r>
      <w:r>
        <w:rPr/>
        <w:t>(win rate 74.30%)</w:t>
      </w:r>
      <w:r>
        <w:rPr/>
        <w:t xml:space="preserve"> was implemented by counting difference between own and opponent moves and difference of center position score (in first part of the game), and added attack score which was more of experiment and needs tuning to achieve any desirable effect. Move count was used not only from existing level of the game but </w:t>
      </w:r>
      <w:r>
        <w:rPr/>
        <w:t>f</w:t>
      </w:r>
      <w:r>
        <w:rPr/>
        <w:t xml:space="preserve">rom one ply deep as well, this seemed to increase wining rate, mostly because </w:t>
      </w:r>
      <w:r>
        <w:rPr/>
        <w:t>choice was backed up with higher trust that move is going to succeed. Center position score was necessary to make sure agent tries to stay there to increase its move choices later in the game, this was measured and its impact was reduced as game moved forward. Last attack move was added to award agent when it captures positions where opponent can move, but real value of its implementation should be measured separately and currently its influence is small.</w:t>
      </w:r>
    </w:p>
    <w:p>
      <w:pPr>
        <w:pStyle w:val="TextBody"/>
        <w:rPr/>
      </w:pPr>
      <w:r>
        <w:rPr>
          <w:b/>
          <w:bCs/>
        </w:rPr>
        <w:t>AB_Custom</w:t>
      </w:r>
      <w:r>
        <w:rPr/>
        <w:t xml:space="preserve"> heuristic </w:t>
      </w:r>
      <w:r>
        <w:rPr/>
        <w:t>function was storing position scores in a basic hash table although its impact on alpha beta pruning was not measured.</w:t>
      </w:r>
    </w:p>
    <w:p>
      <w:pPr>
        <w:pStyle w:val="TextBody"/>
        <w:rPr/>
      </w:pPr>
      <w:r>
        <w:rPr/>
        <w:t xml:space="preserve">Second to strongest was quite simple </w:t>
      </w:r>
      <w:r>
        <w:rPr>
          <w:b/>
          <w:bCs/>
        </w:rPr>
        <w:t>AB_Custom_3</w:t>
      </w:r>
      <w:r>
        <w:rPr/>
        <w:t xml:space="preserve"> heuristic, its win rate was close to the first one (72.9%) although evaluation function measured only distance between 2 pieces on the board! Its success is most likely caused by the fact that distance between players gives them more space to move.</w:t>
      </w:r>
    </w:p>
    <w:p>
      <w:pPr>
        <w:pStyle w:val="TextBody"/>
        <w:spacing w:before="0" w:after="140"/>
        <w:rPr/>
      </w:pPr>
      <w:r>
        <w:rPr/>
        <w:t xml:space="preserve">Weakest evaluation function was </w:t>
      </w:r>
      <w:r>
        <w:rPr>
          <w:b/>
          <w:bCs/>
        </w:rPr>
        <w:t>AB_Custom_2</w:t>
      </w:r>
      <w:r>
        <w:rPr>
          <w:b w:val="false"/>
          <w:bCs w:val="false"/>
        </w:rPr>
        <w:t xml:space="preserve"> (61.4%) which measured difference between players distance to center, but its weakest part was the fact that in the end of the game center position does not give much value as most of the board is used already.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IE"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IE" sz="1300" spc="-1" strike="noStrike">
                <a:solidFill>
                  <a:srgbClr val="000000"/>
                </a:solidFill>
                <a:uFill>
                  <a:solidFill>
                    <a:srgbClr val="ffffff"/>
                  </a:solidFill>
                </a:uFill>
                <a:latin typeface="Arial"/>
              </a:defRPr>
            </a:pPr>
            <a:r>
              <a:rPr b="0" lang="en-IE" sz="1300" spc="-1" strike="noStrike">
                <a:solidFill>
                  <a:srgbClr val="000000"/>
                </a:solidFill>
                <a:uFill>
                  <a:solidFill>
                    <a:srgbClr val="ffffff"/>
                  </a:solidFill>
                </a:uFill>
                <a:latin typeface="Arial"/>
              </a:rPr>
              <a:t>Evaluation function performance against opponents</a:t>
            </a:r>
          </a:p>
        </c:rich>
      </c:tx>
      <c:overlay val="0"/>
    </c:title>
    <c:autoTitleDeleted val="0"/>
    <c:plotArea>
      <c:lineChart>
        <c:grouping val="standard"/>
        <c:varyColors val="0"/>
        <c:ser>
          <c:idx val="0"/>
          <c:order val="0"/>
          <c:tx>
            <c:strRef>
              <c:f>label 0</c:f>
              <c:strCache>
                <c:ptCount val="1"/>
                <c:pt idx="0">
                  <c:v>AB_Improved</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0</c:f>
              <c:numCache>
                <c:formatCode>General</c:formatCode>
                <c:ptCount val="7"/>
                <c:pt idx="0">
                  <c:v>10</c:v>
                </c:pt>
                <c:pt idx="1">
                  <c:v>6</c:v>
                </c:pt>
                <c:pt idx="2">
                  <c:v>9</c:v>
                </c:pt>
                <c:pt idx="3">
                  <c:v>7</c:v>
                </c:pt>
                <c:pt idx="4">
                  <c:v>4</c:v>
                </c:pt>
                <c:pt idx="5">
                  <c:v>7</c:v>
                </c:pt>
                <c:pt idx="6">
                  <c:v>5</c:v>
                </c:pt>
              </c:numCache>
            </c:numRef>
          </c:val>
          <c:smooth val="1"/>
        </c:ser>
        <c:ser>
          <c:idx val="1"/>
          <c:order val="1"/>
          <c:tx>
            <c:strRef>
              <c:f>label 1</c:f>
              <c:strCache>
                <c:ptCount val="1"/>
                <c:pt idx="0">
                  <c:v>AB_Custom</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1</c:f>
              <c:numCache>
                <c:formatCode>General</c:formatCode>
                <c:ptCount val="7"/>
                <c:pt idx="0">
                  <c:v>10</c:v>
                </c:pt>
                <c:pt idx="1">
                  <c:v>8</c:v>
                </c:pt>
                <c:pt idx="2">
                  <c:v>8</c:v>
                </c:pt>
                <c:pt idx="3">
                  <c:v>9</c:v>
                </c:pt>
                <c:pt idx="4">
                  <c:v>5</c:v>
                </c:pt>
                <c:pt idx="5">
                  <c:v>6</c:v>
                </c:pt>
                <c:pt idx="6">
                  <c:v>6</c:v>
                </c:pt>
              </c:numCache>
            </c:numRef>
          </c:val>
          <c:smooth val="1"/>
        </c:ser>
        <c:ser>
          <c:idx val="2"/>
          <c:order val="2"/>
          <c:tx>
            <c:strRef>
              <c:f>label 2</c:f>
              <c:strCache>
                <c:ptCount val="1"/>
                <c:pt idx="0">
                  <c:v>AB_Custom_2</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2</c:f>
              <c:numCache>
                <c:formatCode>General</c:formatCode>
                <c:ptCount val="7"/>
                <c:pt idx="0">
                  <c:v>6</c:v>
                </c:pt>
                <c:pt idx="1">
                  <c:v>7</c:v>
                </c:pt>
                <c:pt idx="2">
                  <c:v>9</c:v>
                </c:pt>
                <c:pt idx="3">
                  <c:v>9</c:v>
                </c:pt>
                <c:pt idx="4">
                  <c:v>2</c:v>
                </c:pt>
                <c:pt idx="5">
                  <c:v>6</c:v>
                </c:pt>
                <c:pt idx="6">
                  <c:v>4</c:v>
                </c:pt>
              </c:numCache>
            </c:numRef>
          </c:val>
          <c:smooth val="1"/>
        </c:ser>
        <c:ser>
          <c:idx val="3"/>
          <c:order val="3"/>
          <c:tx>
            <c:strRef>
              <c:f>label 3</c:f>
              <c:strCache>
                <c:ptCount val="1"/>
                <c:pt idx="0">
                  <c:v>AB_Custom_3</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3</c:f>
              <c:numCache>
                <c:formatCode>General</c:formatCode>
                <c:ptCount val="7"/>
                <c:pt idx="0">
                  <c:v>10</c:v>
                </c:pt>
                <c:pt idx="1">
                  <c:v>7</c:v>
                </c:pt>
                <c:pt idx="2">
                  <c:v>9</c:v>
                </c:pt>
                <c:pt idx="3">
                  <c:v>6</c:v>
                </c:pt>
                <c:pt idx="4">
                  <c:v>6</c:v>
                </c:pt>
                <c:pt idx="5">
                  <c:v>6</c:v>
                </c:pt>
                <c:pt idx="6">
                  <c:v>7</c:v>
                </c:pt>
              </c:numCache>
            </c:numRef>
          </c:val>
          <c:smooth val="1"/>
        </c:ser>
        <c:hiLowLines>
          <c:spPr>
            <a:ln>
              <a:noFill/>
            </a:ln>
          </c:spPr>
        </c:hiLowLines>
        <c:marker val="1"/>
        <c:axId val="14018080"/>
        <c:axId val="74597930"/>
      </c:lineChart>
      <c:catAx>
        <c:axId val="14018080"/>
        <c:scaling>
          <c:orientation val="minMax"/>
        </c:scaling>
        <c:delete val="0"/>
        <c:axPos val="b"/>
        <c:title>
          <c:tx>
            <c:rich>
              <a:bodyPr rot="0"/>
              <a:lstStyle/>
              <a:p>
                <a:pPr>
                  <a:defRPr b="0" lang="en-IE" sz="900" spc="-1" strike="noStrike">
                    <a:solidFill>
                      <a:srgbClr val="000000"/>
                    </a:solidFill>
                    <a:uFill>
                      <a:solidFill>
                        <a:srgbClr val="ffffff"/>
                      </a:solidFill>
                    </a:uFill>
                    <a:latin typeface="Arial"/>
                  </a:defRPr>
                </a:pPr>
                <a:r>
                  <a:rPr b="0" lang="en-IE" sz="900" spc="-1" strike="noStrike">
                    <a:solidFill>
                      <a:srgbClr val="000000"/>
                    </a:solidFill>
                    <a:uFill>
                      <a:solidFill>
                        <a:srgbClr val="ffffff"/>
                      </a:solidFill>
                    </a:uFill>
                    <a:latin typeface="Arial"/>
                  </a:rPr>
                  <a:t>Opponents</a:t>
                </a:r>
              </a:p>
            </c:rich>
          </c:tx>
          <c:overlay val="0"/>
        </c:title>
        <c:numFmt formatCode="General"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74597930"/>
        <c:crosses val="autoZero"/>
        <c:auto val="1"/>
        <c:lblAlgn val="ctr"/>
        <c:lblOffset val="100"/>
      </c:catAx>
      <c:valAx>
        <c:axId val="74597930"/>
        <c:scaling>
          <c:orientation val="minMax"/>
        </c:scaling>
        <c:delete val="0"/>
        <c:axPos val="l"/>
        <c:majorGridlines>
          <c:spPr>
            <a:ln>
              <a:solidFill>
                <a:srgbClr val="b3b3b3"/>
              </a:solidFill>
            </a:ln>
          </c:spPr>
        </c:majorGridlines>
        <c:title>
          <c:tx>
            <c:rich>
              <a:bodyPr rot="-5400000"/>
              <a:lstStyle/>
              <a:p>
                <a:pPr>
                  <a:defRPr b="0" lang="en-IE" sz="900" spc="-1" strike="noStrike">
                    <a:solidFill>
                      <a:srgbClr val="000000"/>
                    </a:solidFill>
                    <a:uFill>
                      <a:solidFill>
                        <a:srgbClr val="ffffff"/>
                      </a:solidFill>
                    </a:uFill>
                    <a:latin typeface="Arial"/>
                  </a:defRPr>
                </a:pPr>
                <a:r>
                  <a:rPr b="0" lang="en-IE" sz="900" spc="-1" strike="noStrike">
                    <a:solidFill>
                      <a:srgbClr val="000000"/>
                    </a:solidFill>
                    <a:uFill>
                      <a:solidFill>
                        <a:srgbClr val="ffffff"/>
                      </a:solidFill>
                    </a:uFill>
                    <a:latin typeface="Arial"/>
                  </a:rPr>
                  <a:t>Wins</a:t>
                </a:r>
              </a:p>
            </c:rich>
          </c:tx>
          <c:overlay val="0"/>
        </c:title>
        <c:numFmt formatCode="General"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14018080"/>
        <c:crosses val="autoZero"/>
        <c:crossBetween val="midCat"/>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IE" sz="1300" spc="-1" strike="noStrike">
                <a:solidFill>
                  <a:srgbClr val="000000"/>
                </a:solidFill>
                <a:uFill>
                  <a:solidFill>
                    <a:srgbClr val="ffffff"/>
                  </a:solidFill>
                </a:uFill>
                <a:latin typeface="Arial"/>
              </a:defRPr>
            </a:pPr>
            <a:r>
              <a:rPr b="0" lang="en-IE" sz="1300" spc="-1" strike="noStrike">
                <a:solidFill>
                  <a:srgbClr val="000000"/>
                </a:solidFill>
                <a:uFill>
                  <a:solidFill>
                    <a:srgbClr val="ffffff"/>
                  </a:solidFill>
                </a:uFill>
                <a:latin typeface="Arial"/>
              </a:rPr>
              <a:t>Win rate</a:t>
            </a:r>
          </a:p>
        </c:rich>
      </c:tx>
      <c:overlay val="0"/>
    </c:title>
    <c:autoTitleDeleted val="0"/>
    <c:plotArea>
      <c:barChart>
        <c:barDir val="bar"/>
        <c:grouping val="clustered"/>
        <c:varyColors val="0"/>
        <c:ser>
          <c:idx val="0"/>
          <c:order val="0"/>
          <c:tx>
            <c:strRef>
              <c:f>label 0</c:f>
              <c:strCache>
                <c:ptCount val="1"/>
                <c:pt idx="0">
                  <c:v>AB_Improved</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1"/>
                <c:pt idx="0">
                  <c:v/>
                </c:pt>
              </c:strCache>
            </c:strRef>
          </c:cat>
          <c:val>
            <c:numRef>
              <c:f>0</c:f>
              <c:numCache>
                <c:formatCode>General</c:formatCode>
                <c:ptCount val="1"/>
                <c:pt idx="0">
                  <c:v>0.686</c:v>
                </c:pt>
              </c:numCache>
            </c:numRef>
          </c:val>
        </c:ser>
        <c:ser>
          <c:idx val="1"/>
          <c:order val="1"/>
          <c:tx>
            <c:strRef>
              <c:f>label 1</c:f>
              <c:strCache>
                <c:ptCount val="1"/>
                <c:pt idx="0">
                  <c:v>AB_Custom</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1"/>
                <c:pt idx="0">
                  <c:v/>
                </c:pt>
              </c:strCache>
            </c:strRef>
          </c:cat>
          <c:val>
            <c:numRef>
              <c:f>1</c:f>
              <c:numCache>
                <c:formatCode>General</c:formatCode>
                <c:ptCount val="1"/>
                <c:pt idx="0">
                  <c:v>0.743</c:v>
                </c:pt>
              </c:numCache>
            </c:numRef>
          </c:val>
        </c:ser>
        <c:ser>
          <c:idx val="2"/>
          <c:order val="2"/>
          <c:tx>
            <c:strRef>
              <c:f>label 2</c:f>
              <c:strCache>
                <c:ptCount val="1"/>
                <c:pt idx="0">
                  <c:v>AB_Custom_2</c:v>
                </c:pt>
              </c:strCache>
            </c:strRef>
          </c:tx>
          <c:spPr>
            <a:solidFill>
              <a:srgbClr val="ffd320"/>
            </a:solidFill>
            <a:ln>
              <a:noFill/>
            </a:ln>
          </c:spPr>
          <c:invertIfNegative val="0"/>
          <c:dLbls>
            <c:showLegendKey val="0"/>
            <c:showVal val="0"/>
            <c:showCatName val="0"/>
            <c:showSerName val="0"/>
            <c:showPercent val="0"/>
            <c:showLeaderLines val="0"/>
          </c:dLbls>
          <c:cat>
            <c:strRef>
              <c:f>categories</c:f>
              <c:strCache>
                <c:ptCount val="1"/>
                <c:pt idx="0">
                  <c:v/>
                </c:pt>
              </c:strCache>
            </c:strRef>
          </c:cat>
          <c:val>
            <c:numRef>
              <c:f>2</c:f>
              <c:numCache>
                <c:formatCode>General</c:formatCode>
                <c:ptCount val="1"/>
                <c:pt idx="0">
                  <c:v>0.614</c:v>
                </c:pt>
              </c:numCache>
            </c:numRef>
          </c:val>
        </c:ser>
        <c:ser>
          <c:idx val="3"/>
          <c:order val="3"/>
          <c:tx>
            <c:strRef>
              <c:f>label 3</c:f>
              <c:strCache>
                <c:ptCount val="1"/>
                <c:pt idx="0">
                  <c:v>AB_Custom_3</c:v>
                </c:pt>
              </c:strCache>
            </c:strRef>
          </c:tx>
          <c:spPr>
            <a:solidFill>
              <a:srgbClr val="579d1c"/>
            </a:solidFill>
            <a:ln>
              <a:noFill/>
            </a:ln>
          </c:spPr>
          <c:invertIfNegative val="0"/>
          <c:dLbls>
            <c:showLegendKey val="0"/>
            <c:showVal val="0"/>
            <c:showCatName val="0"/>
            <c:showSerName val="0"/>
            <c:showPercent val="0"/>
            <c:showLeaderLines val="0"/>
          </c:dLbls>
          <c:cat>
            <c:strRef>
              <c:f>categories</c:f>
              <c:strCache>
                <c:ptCount val="1"/>
                <c:pt idx="0">
                  <c:v/>
                </c:pt>
              </c:strCache>
            </c:strRef>
          </c:cat>
          <c:val>
            <c:numRef>
              <c:f>3</c:f>
              <c:numCache>
                <c:formatCode>General</c:formatCode>
                <c:ptCount val="1"/>
                <c:pt idx="0">
                  <c:v>0.729</c:v>
                </c:pt>
              </c:numCache>
            </c:numRef>
          </c:val>
        </c:ser>
        <c:gapWidth val="100"/>
        <c:overlap val="0"/>
        <c:axId val="99885309"/>
        <c:axId val="67759390"/>
      </c:barChart>
      <c:catAx>
        <c:axId val="99885309"/>
        <c:scaling>
          <c:orientation val="minMax"/>
        </c:scaling>
        <c:delete val="0"/>
        <c:axPos val="b"/>
        <c:numFmt formatCode="0.00%"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67759390"/>
        <c:crosses val="autoZero"/>
        <c:auto val="1"/>
        <c:lblAlgn val="ctr"/>
        <c:lblOffset val="100"/>
      </c:catAx>
      <c:valAx>
        <c:axId val="67759390"/>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99885309"/>
        <c:crosses val="autoZero"/>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4</TotalTime>
  <Application>LibreOffice/5.2.4.2$MacOSX_X86_64 LibreOffice_project/3d5603e1122f0f102b62521720ab13a38a4e0eb0</Application>
  <Pages>2</Pages>
  <Words>334</Words>
  <Characters>1684</Characters>
  <CharactersWithSpaces>2011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2017-08-17T21:11:16Z</dcterms:created>
  <dc:creator/>
  <dc:description/>
  <dc:language>en-IE</dc:language>
  <cp:lastModifiedBy/>
  <dcterms:modified xsi:type="dcterms:W3CDTF">2017-08-17T22:29:06Z</dcterms:modified>
  <cp:revision>2</cp:revision>
  <dc:subject/>
  <dc:title/>
</cp:coreProperties>
</file>