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TechRetail Corporation</w:t>
      </w:r>
    </w:p>
    <w:p>
      <w:pPr>
        <w:pStyle w:val="Heading1"/>
      </w:pPr>
      <w:r>
        <w:t>ANNUAL REPORT 2017</w:t>
      </w:r>
    </w:p>
    <w:p>
      <w:r>
        <w:rPr>
          <w:b w:val="0"/>
          <w:color w:val="B40000"/>
        </w:rPr>
        <w:t>For Internal Distribution Only | Confidential</w:t>
      </w:r>
    </w:p>
    <w:p/>
    <w:p>
      <w:pPr>
        <w:pStyle w:val="Heading1"/>
      </w:pPr>
      <w:r>
        <w:t>MESSAGE FROM THE CEO</w:t>
      </w:r>
    </w:p>
    <w:p>
      <w:r>
        <w:t>Dear Team,</w:t>
        <w:br/>
        <w:br/>
        <w:t>2017 was a year of mixed results for TechRetail Corporation. We achieved revenue growth of 6.2% year-on-year, reaching $2,297,200 in total sales across our four operating regions. However, profitability remained under pressure, particularly in the Furniture category, where aggressive discounting eroded margins.</w:t>
        <w:br/>
        <w:br/>
        <w:t>Our Technology segment was the standout performer, delivering 17% gross margin and strong demand across all regions. The West Region continued its dominant position, contributing approximately 37% of total revenue.</w:t>
        <w:br/>
        <w:br/>
        <w:t>Challenges remain. Customer retention at 68% is below the industry benchmark of 72%. We lost ground in the South Region and must address operational inefficiencies that led to Q4 shipping delays. The competitive threat from online platforms intensifies.</w:t>
        <w:br/>
        <w:br/>
        <w:t>Looking to 2018, our priorities are: margin recovery in Furniture, digital capability investment, and improved customer experience. I thank every member of our team for their dedication this year.</w:t>
        <w:br/>
        <w:br/>
        <w:t>J. Matthews</w:t>
        <w:br/>
        <w:t>CEO, TechRetail Corporation</w:t>
        <w:br/>
        <w:t>[SIGNATURE PLACEHOLDER]</w:t>
      </w:r>
    </w:p>
    <w:p>
      <w:pPr>
        <w:pStyle w:val="Heading1"/>
      </w:pPr>
      <w:r>
        <w:t>FINANCIAL HIGHLIGHTS 2017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2017</w:t>
            </w:r>
          </w:p>
        </w:tc>
        <w:tc>
          <w:tcPr>
            <w:tcW w:type="dxa" w:w="2880"/>
          </w:tcPr>
          <w:p>
            <w:r>
              <w:t>2016</w:t>
            </w:r>
          </w:p>
        </w:tc>
      </w:tr>
      <w:tr>
        <w:tc>
          <w:tcPr>
            <w:tcW w:type="dxa" w:w="2880"/>
          </w:tcPr>
          <w:p>
            <w:r>
              <w:t>Total Revenue</w:t>
            </w:r>
          </w:p>
        </w:tc>
        <w:tc>
          <w:tcPr>
            <w:tcW w:type="dxa" w:w="2880"/>
          </w:tcPr>
          <w:p>
            <w:r>
              <w:t>$2,297,200</w:t>
            </w:r>
          </w:p>
        </w:tc>
        <w:tc>
          <w:tcPr>
            <w:tcW w:type="dxa" w:w="2880"/>
          </w:tcPr>
          <w:p>
            <w:r>
              <w:t>$2,162,300</w:t>
            </w:r>
          </w:p>
        </w:tc>
      </w:tr>
      <w:tr>
        <w:tc>
          <w:tcPr>
            <w:tcW w:type="dxa" w:w="2880"/>
          </w:tcPr>
          <w:p>
            <w:r>
              <w:t>Gross Profit</w:t>
            </w:r>
          </w:p>
        </w:tc>
        <w:tc>
          <w:tcPr>
            <w:tcW w:type="dxa" w:w="2880"/>
          </w:tcPr>
          <w:p>
            <w:r>
              <w:t>$286,397</w:t>
            </w:r>
          </w:p>
        </w:tc>
        <w:tc>
          <w:tcPr>
            <w:tcW w:type="dxa" w:w="2880"/>
          </w:tcPr>
          <w:p>
            <w:r>
              <w:t>$280,100</w:t>
            </w:r>
          </w:p>
        </w:tc>
      </w:tr>
      <w:tr>
        <w:tc>
          <w:tcPr>
            <w:tcW w:type="dxa" w:w="2880"/>
          </w:tcPr>
          <w:p>
            <w:r>
              <w:t>Gross Margin %</w:t>
            </w:r>
          </w:p>
        </w:tc>
        <w:tc>
          <w:tcPr>
            <w:tcW w:type="dxa" w:w="2880"/>
          </w:tcPr>
          <w:p>
            <w:r>
              <w:t>12.5%</w:t>
            </w:r>
          </w:p>
        </w:tc>
        <w:tc>
          <w:tcPr>
            <w:tcW w:type="dxa" w:w="2880"/>
          </w:tcPr>
          <w:p>
            <w:r>
              <w:t>13.0%</w:t>
            </w:r>
          </w:p>
        </w:tc>
      </w:tr>
      <w:tr>
        <w:tc>
          <w:tcPr>
            <w:tcW w:type="dxa" w:w="2880"/>
          </w:tcPr>
          <w:p>
            <w:r>
              <w:t>Technology Revenue</w:t>
            </w:r>
          </w:p>
        </w:tc>
        <w:tc>
          <w:tcPr>
            <w:tcW w:type="dxa" w:w="2880"/>
          </w:tcPr>
          <w:p>
            <w:r>
              <w:t>$836,154</w:t>
            </w:r>
          </w:p>
        </w:tc>
        <w:tc>
          <w:tcPr>
            <w:tcW w:type="dxa" w:w="2880"/>
          </w:tcPr>
          <w:p>
            <w:r>
              <w:t>$765,200</w:t>
            </w:r>
          </w:p>
        </w:tc>
      </w:tr>
      <w:tr>
        <w:tc>
          <w:tcPr>
            <w:tcW w:type="dxa" w:w="2880"/>
          </w:tcPr>
          <w:p>
            <w:r>
              <w:t>Furniture Revenue</w:t>
            </w:r>
          </w:p>
        </w:tc>
        <w:tc>
          <w:tcPr>
            <w:tcW w:type="dxa" w:w="2880"/>
          </w:tcPr>
          <w:p>
            <w:r>
              <w:t>$741,999</w:t>
            </w:r>
          </w:p>
        </w:tc>
        <w:tc>
          <w:tcPr>
            <w:tcW w:type="dxa" w:w="2880"/>
          </w:tcPr>
          <w:p>
            <w:r>
              <w:t>$698,100</w:t>
            </w:r>
          </w:p>
        </w:tc>
      </w:tr>
      <w:tr>
        <w:tc>
          <w:tcPr>
            <w:tcW w:type="dxa" w:w="2880"/>
          </w:tcPr>
          <w:p>
            <w:r>
              <w:t>Office Supplies Revenue</w:t>
            </w:r>
          </w:p>
        </w:tc>
        <w:tc>
          <w:tcPr>
            <w:tcW w:type="dxa" w:w="2880"/>
          </w:tcPr>
          <w:p>
            <w:r>
              <w:t>$719,047</w:t>
            </w:r>
          </w:p>
        </w:tc>
        <w:tc>
          <w:tcPr>
            <w:tcW w:type="dxa" w:w="2880"/>
          </w:tcPr>
          <w:p>
            <w:r>
              <w:t>$699,000</w:t>
            </w:r>
          </w:p>
        </w:tc>
      </w:tr>
      <w:tr>
        <w:tc>
          <w:tcPr>
            <w:tcW w:type="dxa" w:w="2880"/>
          </w:tcPr>
          <w:p>
            <w:r>
              <w:t>West Region Revenue</w:t>
            </w:r>
          </w:p>
        </w:tc>
        <w:tc>
          <w:tcPr>
            <w:tcW w:type="dxa" w:w="2880"/>
          </w:tcPr>
          <w:p>
            <w:r>
              <w:t>$725,457</w:t>
            </w:r>
          </w:p>
        </w:tc>
        <w:tc>
          <w:tcPr>
            <w:tcW w:type="dxa" w:w="2880"/>
          </w:tcPr>
          <w:p>
            <w:r>
              <w:t>$680,000</w:t>
            </w:r>
          </w:p>
        </w:tc>
      </w:tr>
      <w:tr>
        <w:tc>
          <w:tcPr>
            <w:tcW w:type="dxa" w:w="2880"/>
          </w:tcPr>
          <w:p>
            <w:r>
              <w:t>East Region Revenue</w:t>
            </w:r>
          </w:p>
        </w:tc>
        <w:tc>
          <w:tcPr>
            <w:tcW w:type="dxa" w:w="2880"/>
          </w:tcPr>
          <w:p>
            <w:r>
              <w:t>$678,781</w:t>
            </w:r>
          </w:p>
        </w:tc>
        <w:tc>
          <w:tcPr>
            <w:tcW w:type="dxa" w:w="2880"/>
          </w:tcPr>
          <w:p>
            <w:r>
              <w:t>$635,000</w:t>
            </w:r>
          </w:p>
        </w:tc>
      </w:tr>
      <w:tr>
        <w:tc>
          <w:tcPr>
            <w:tcW w:type="dxa" w:w="2880"/>
          </w:tcPr>
          <w:p>
            <w:r>
              <w:t>South Region Revenue</w:t>
            </w:r>
          </w:p>
        </w:tc>
        <w:tc>
          <w:tcPr>
            <w:tcW w:type="dxa" w:w="2880"/>
          </w:tcPr>
          <w:p>
            <w:r>
              <w:t>$501,239</w:t>
            </w:r>
          </w:p>
        </w:tc>
        <w:tc>
          <w:tcPr>
            <w:tcW w:type="dxa" w:w="2880"/>
          </w:tcPr>
          <w:p>
            <w:r>
              <w:t>$498,000 [NOTE: verify]</w:t>
            </w:r>
          </w:p>
        </w:tc>
      </w:tr>
      <w:tr>
        <w:tc>
          <w:tcPr>
            <w:tcW w:type="dxa" w:w="2880"/>
          </w:tcPr>
          <w:p>
            <w:r>
              <w:t>Central Region Revenue</w:t>
            </w:r>
          </w:p>
        </w:tc>
        <w:tc>
          <w:tcPr>
            <w:tcW w:type="dxa" w:w="2880"/>
          </w:tcPr>
          <w:p>
            <w:r>
              <w:t>$391,723</w:t>
            </w:r>
          </w:p>
        </w:tc>
        <w:tc>
          <w:tcPr>
            <w:tcW w:type="dxa" w:w="2880"/>
          </w:tcPr>
          <w:p>
            <w:r>
              <w:t>$349,300</w:t>
            </w:r>
          </w:p>
        </w:tc>
      </w:tr>
      <w:tr>
        <w:tc>
          <w:tcPr>
            <w:tcW w:type="dxa" w:w="2880"/>
          </w:tcPr>
          <w:p>
            <w:r>
              <w:t>Total Orders</w:t>
            </w:r>
          </w:p>
        </w:tc>
        <w:tc>
          <w:tcPr>
            <w:tcW w:type="dxa" w:w="2880"/>
          </w:tcPr>
          <w:p>
            <w:r>
              <w:t>9,994</w:t>
            </w:r>
          </w:p>
        </w:tc>
        <w:tc>
          <w:tcPr>
            <w:tcW w:type="dxa" w:w="2880"/>
          </w:tcPr>
          <w:p>
            <w:r>
              <w:t>9,426</w:t>
            </w:r>
          </w:p>
        </w:tc>
      </w:tr>
      <w:tr>
        <w:tc>
          <w:tcPr>
            <w:tcW w:type="dxa" w:w="2880"/>
          </w:tcPr>
          <w:p>
            <w:r>
              <w:t>Avg Order Value</w:t>
            </w:r>
          </w:p>
        </w:tc>
        <w:tc>
          <w:tcPr>
            <w:tcW w:type="dxa" w:w="2880"/>
          </w:tcPr>
          <w:p>
            <w:r>
              <w:t>$229.85</w:t>
            </w:r>
          </w:p>
        </w:tc>
        <w:tc>
          <w:tcPr>
            <w:tcW w:type="dxa" w:w="2880"/>
          </w:tcPr>
          <w:p>
            <w:r>
              <w:t>$229.38</w:t>
            </w:r>
          </w:p>
        </w:tc>
      </w:tr>
    </w:tbl>
    <w:p/>
    <w:p>
      <w:r>
        <w:rPr>
          <w:b w:val="0"/>
          <w:color w:val="C86400"/>
        </w:rPr>
        <w:t>NOTE: 2016 figures are unaudited estimates. Final audit report pending.</w:t>
      </w:r>
    </w:p>
    <w:p>
      <w:pPr>
        <w:pStyle w:val="Heading1"/>
      </w:pPr>
      <w:r>
        <w:t>REGIONAL PERFORMANCE</w:t>
      </w:r>
    </w:p>
    <w:p>
      <w:r>
        <w:t>West Region performed strongly across all three product categories. California remained the single largest state by revenue. Investment in same-day delivery capability in the West contributed to customer satisfaction improvements, albeit at higher cost.</w:t>
        <w:br/>
        <w:br/>
        <w:t>East Region grew modestly. New York City remained the top metropolitan market. Corporate segment engagement increased following a targeted outreach campaign in Q3.</w:t>
        <w:br/>
        <w:br/>
        <w:t>South Region was a concern. Mississippi and Arkansas underperformed significantly against targets. A December systems outage (Dec 12-14) disrupted approximately 472 orders, damaging customer satisfaction scores in the region for the quarter.</w:t>
        <w:br/>
        <w:br/>
        <w:t>Central Region demonstrated the highest growth rate (12.2% YoY) from a lower base. Illinois was the primary driver. Opportunity remains in Missouri and Michigan.</w:t>
      </w:r>
    </w:p>
    <w:p>
      <w:pPr>
        <w:pStyle w:val="Heading1"/>
      </w:pPr>
      <w:r>
        <w:t>PRODUCT CATEGORY REVIEW</w:t>
      </w:r>
    </w:p>
    <w:p>
      <w:r>
        <w:t>Technology: Strong performance, driven by Phones and Accessories sub-categories. Copiers delivered high-value orders despite lower unit volume. Margin held at 17%.</w:t>
        <w:br/>
        <w:br/>
        <w:t>Furniture: Revenue growth masked a profitability problem. The Tables sub-category ran at negative margin (-4.2%) for the full year due to excessive discounting and supplier cost increases. Chairs performed well. Bookcases stable.</w:t>
        <w:br/>
        <w:br/>
        <w:t>Office Supplies: Steady performance. Binders, Paper, and Storage drove volume. Labels and Fasteners showed declining demand -- possible product rationalisation candidate for 2018.</w:t>
        <w:br/>
        <w:br/>
        <w:t>[SECTION INCOMPLETE -- product manager inputs pending]</w:t>
      </w:r>
    </w:p>
    <w:p>
      <w:pPr>
        <w:pStyle w:val="Heading1"/>
      </w:pPr>
      <w:r>
        <w:t>OUTLOOK 2018</w:t>
      </w:r>
    </w:p>
    <w:p>
      <w:r>
        <w:t>Management targets for 2018:</w:t>
        <w:br/>
        <w:t>- Revenue: $2,500,000 (growth of ~8.8%)</w:t>
        <w:br/>
        <w:t>- Gross Margin: 14% (recovery from 12.5%)</w:t>
        <w:br/>
        <w:t>- Customer Retention: 72% (match industry benchmark)</w:t>
        <w:br/>
        <w:t>- Same-day delivery: Profitable unit economics by Q3 2018</w:t>
        <w:br/>
        <w:br/>
        <w:t>Key risks: Amazon Business competitive pressure, potential tariff increases on imported technology products, talent acquisition in analytics roles.</w:t>
        <w:br/>
        <w:br/>
        <w:t>[FULL 2018 PLAN -- SEE SEPARATE STRATEGY DOCUMENT]</w:t>
      </w:r>
    </w:p>
    <w:p>
      <w:r>
        <w:rPr>
          <w:b w:val="0"/>
          <w:color w:val="969696"/>
        </w:rPr>
        <w:br/>
        <w:br/>
        <w:t>Document Classification: CONFIDENTIAL</w:t>
        <w:br/>
        <w:t>Prepared by: Finance &amp; Strategy Team</w:t>
        <w:br/>
        <w:t>Version: DRAFT 2.1 -- Not for external use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