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563EB" w:sz="40"/>
        </w:pBdr>
        <w:spacing w:before="0" w:after="800"/>
      </w:pPr>
    </w:p>
    <w:p>
      <w:pPr>
        <w:spacing w:before="0" w:after="0" w:line="480"/>
      </w:pPr>
      <w:r>
        <w:t xml:space="preserve"/>
      </w:r>
    </w:p>
    <w:p>
      <w:pPr>
        <w:spacing w:before="0" w:after="40"/>
        <w:jc w:val="center"/>
      </w:pPr>
      <w:r>
        <w:rPr>
          <w:rFonts w:ascii="Arial" w:cs="Arial" w:eastAsia="Arial" w:hAnsi="Arial"/>
          <w:b/>
          <w:bCs/>
          <w:color w:val="1B2A4A"/>
          <w:sz w:val="64"/>
          <w:szCs w:val="64"/>
        </w:rPr>
        <w:t xml:space="preserve">AWS VPC ENDPOINTS</w:t>
      </w:r>
    </w:p>
    <w:p>
      <w:pPr>
        <w:spacing w:before="0" w:after="80"/>
        <w:jc w:val="center"/>
      </w:pPr>
      <w:r>
        <w:rPr>
          <w:rFonts w:ascii="Arial" w:cs="Arial" w:eastAsia="Arial" w:hAnsi="Arial"/>
          <w:b/>
          <w:bCs/>
          <w:color w:val="2563EB"/>
          <w:sz w:val="40"/>
          <w:szCs w:val="40"/>
        </w:rPr>
        <w:t xml:space="preserve">Pricing Reference Guide</w:t>
      </w:r>
    </w:p>
    <w:p>
      <w:pPr>
        <w:pBdr>
          <w:bottom w:val="single" w:color="2563EB" w:sz="8" w:space="1"/>
        </w:pBdr>
        <w:spacing w:before="80" w:after="80"/>
      </w:pPr>
    </w:p>
    <w:p>
      <w:pPr>
        <w:spacing w:before="0" w:after="0" w:line="400"/>
      </w:pPr>
      <w:r>
        <w:t xml:space="preserve"/>
      </w:r>
    </w:p>
    <w:p>
      <w:pPr>
        <w:spacing w:before="0" w:after="40"/>
        <w:jc w:val="center"/>
      </w:pPr>
      <w:r>
        <w:rPr>
          <w:rFonts w:ascii="Arial" w:cs="Arial" w:eastAsia="Arial" w:hAnsi="Arial"/>
          <w:i/>
          <w:iCs/>
          <w:color w:val="475569"/>
          <w:sz w:val="22"/>
          <w:szCs w:val="22"/>
        </w:rPr>
        <w:t xml:space="preserve">Comprehensive pricing analysis, cost comparison, and optimization strategies</w:t>
      </w:r>
    </w:p>
    <w:p>
      <w:pPr>
        <w:spacing w:before="0" w:after="0" w:line="160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2563EB" w:sz="4"/>
              <w:left w:val="single" w:color="2563EB" w:sz="4"/>
              <w:bottom w:val="single" w:color="2563EB" w:sz="4"/>
              <w:right w:val="single" w:color="2563EB" w:sz="4"/>
            </w:tcBorders>
            <w:shd w:fill="EFF6FF" w:val="clear"/>
            <w:tcMar>
              <w:top w:type="dxa" w:w="200"/>
              <w:left w:type="dxa" w:w="300"/>
              <w:bottom w:type="dxa" w:w="200"/>
              <w:right w:type="dxa" w:w="300"/>
            </w:tcMar>
          </w:tcPr>
          <w:p>
            <w:pPr>
              <w:spacing w:before="40" w:after="80"/>
              <w:jc w:val="center"/>
            </w:pPr>
            <w:r>
              <w:rPr>
                <w:rFonts w:ascii="Arial" w:cs="Arial" w:eastAsia="Arial" w:hAnsi="Arial"/>
                <w:b/>
                <w:bCs/>
                <w:color w:val="1B2A4A"/>
                <w:sz w:val="24"/>
                <w:szCs w:val="24"/>
              </w:rPr>
              <w:t xml:space="preserve">At a Glance</w:t>
            </w:r>
          </w:p>
          <w:p>
            <w:pPr>
              <w:spacing w:before="40" w:after="40"/>
              <w:jc w:val="center"/>
            </w:pPr>
            <w:r>
              <w:rPr>
                <w:rFonts w:ascii="Arial" w:cs="Arial" w:eastAsia="Arial" w:hAnsi="Arial"/>
                <w:color w:val="475569"/>
                <w:sz w:val="20"/>
                <w:szCs w:val="20"/>
              </w:rPr>
              <w:t xml:space="preserve">Gateway Endpoints (S3 &amp; DynamoDB)</w:t>
            </w:r>
            <w:r>
              <w:rPr>
                <w:rFonts w:ascii="Arial" w:cs="Arial" w:eastAsia="Arial" w:hAnsi="Arial"/>
                <w:b/>
                <w:bCs/>
                <w:color w:val="15803D"/>
                <w:sz w:val="20"/>
                <w:szCs w:val="20"/>
              </w:rPr>
              <w:t xml:space="preserve">  →  FREE</w:t>
            </w:r>
          </w:p>
          <w:p>
            <w:pPr>
              <w:spacing w:before="40" w:after="40"/>
              <w:jc w:val="center"/>
            </w:pPr>
            <w:r>
              <w:rPr>
                <w:rFonts w:ascii="Arial" w:cs="Arial" w:eastAsia="Arial" w:hAnsi="Arial"/>
                <w:color w:val="475569"/>
                <w:sz w:val="20"/>
                <w:szCs w:val="20"/>
              </w:rPr>
              <w:t xml:space="preserve">Interface Endpoints</w:t>
            </w:r>
            <w:r>
              <w:rPr>
                <w:rFonts w:ascii="Arial" w:cs="Arial" w:eastAsia="Arial" w:hAnsi="Arial"/>
                <w:b/>
                <w:bCs/>
                <w:color w:val="2563EB"/>
                <w:sz w:val="20"/>
                <w:szCs w:val="20"/>
              </w:rPr>
              <w:t xml:space="preserve">  →  $0.01/hr per AZ  +  $0.01/GB</w:t>
            </w:r>
          </w:p>
          <w:p>
            <w:pPr>
              <w:spacing w:before="40" w:after="40"/>
              <w:jc w:val="center"/>
            </w:pPr>
            <w:r>
              <w:rPr>
                <w:rFonts w:ascii="Arial" w:cs="Arial" w:eastAsia="Arial" w:hAnsi="Arial"/>
                <w:color w:val="475569"/>
                <w:sz w:val="20"/>
                <w:szCs w:val="20"/>
              </w:rPr>
              <w:t xml:space="preserve">Gateway Load Balancer Endpoints</w:t>
            </w:r>
            <w:r>
              <w:rPr>
                <w:rFonts w:ascii="Arial" w:cs="Arial" w:eastAsia="Arial" w:hAnsi="Arial"/>
                <w:b/>
                <w:bCs/>
                <w:color w:val="2563EB"/>
                <w:sz w:val="20"/>
                <w:szCs w:val="20"/>
              </w:rPr>
              <w:t xml:space="preserve">  →  $0.01/hr per AZ  +  $0.01/GB</w:t>
            </w:r>
          </w:p>
          <w:p>
            <w:pPr>
              <w:spacing w:before="40" w:after="40"/>
              <w:jc w:val="center"/>
            </w:pPr>
            <w:r>
              <w:rPr>
                <w:rFonts w:ascii="Arial" w:cs="Arial" w:eastAsia="Arial" w:hAnsi="Arial"/>
                <w:color w:val="475569"/>
                <w:sz w:val="20"/>
                <w:szCs w:val="20"/>
              </w:rPr>
              <w:t xml:space="preserve">NAT Gateway (comparison baseline)</w:t>
            </w:r>
            <w:r>
              <w:rPr>
                <w:rFonts w:ascii="Arial" w:cs="Arial" w:eastAsia="Arial" w:hAnsi="Arial"/>
                <w:b/>
                <w:bCs/>
                <w:color w:val="DC2626"/>
                <w:sz w:val="20"/>
                <w:szCs w:val="20"/>
              </w:rPr>
              <w:t xml:space="preserve">  →  $0.045/hr  +  $0.045/GB</w:t>
            </w:r>
          </w:p>
        </w:tc>
      </w:tr>
    </w:tbl>
    <w:p>
      <w:pPr>
        <w:spacing w:before="0" w:after="0" w:line="1600"/>
      </w:pPr>
      <w:r>
        <w:t xml:space="preserve"/>
      </w:r>
    </w:p>
    <w:p>
      <w:pPr>
        <w:spacing w:before="600" w:after="0"/>
        <w:jc w:val="center"/>
      </w:pPr>
      <w:r>
        <w:rPr>
          <w:rFonts w:ascii="Arial" w:cs="Arial" w:eastAsia="Arial" w:hAnsi="Arial"/>
          <w:color w:val="94A3B8"/>
          <w:sz w:val="18"/>
          <w:szCs w:val="18"/>
        </w:rPr>
        <w:t xml:space="preserve">Effective February 2025  ·  us-east-1 Reference Region</w:t>
      </w:r>
    </w:p>
    <w:p>
      <w:pPr>
        <w:pBdr>
          <w:bottom w:val="single" w:color="2563EB" w:sz="40"/>
        </w:pBdr>
        <w:spacing w:before="0" w:after="0"/>
        <w:jc w:val="center"/>
      </w:pPr>
      <w:r>
        <w:rPr>
          <w:rFonts w:ascii="Arial" w:cs="Arial" w:eastAsia="Arial" w:hAnsi="Arial"/>
          <w:color w:val="94A3B8"/>
          <w:sz w:val="18"/>
          <w:szCs w:val="18"/>
        </w:rPr>
        <w:t xml:space="preserve">terraform-aws-vpc-endpoints Module</w:t>
      </w:r>
    </w:p>
    <w:p>
      <w:pPr>
        <w:sectPr>
          <w:pgSz w:w="12240" w:h="15840" w:orient="portrait"/>
          <w:pgMar w:top="1080" w:right="1080" w:bottom="1080" w:left="1080" w:header="708" w:footer="708" w:gutter="0"/>
          <w:pgNumType/>
          <w:docGrid w:linePitch="360"/>
        </w:sectPr>
      </w:pPr>
    </w:p>
    <w:p>
      <w:pPr>
        <w:pStyle w:val="Heading1"/>
      </w:pPr>
      <w:r>
        <w:rPr>
          <w:rFonts w:ascii="Arial" w:cs="Arial" w:eastAsia="Arial" w:hAnsi="Arial"/>
          <w:b/>
          <w:bCs/>
          <w:color w:val="1B2A4A"/>
          <w:sz w:val="40"/>
          <w:szCs w:val="40"/>
        </w:rPr>
        <w:t xml:space="preserve">1. Overview</w:t>
      </w:r>
    </w:p>
    <w:p>
      <w:pPr>
        <w:pBdr>
          <w:bottom w:val="single" w:color="2563EB" w:sz="8" w:space="1"/>
        </w:pBdr>
        <w:spacing w:before="80" w:after="80"/>
      </w:pPr>
    </w:p>
    <w:p>
      <w:pPr>
        <w:spacing w:before="60" w:after="100" w:line="300" w:lineRule="auto"/>
      </w:pPr>
      <w:r>
        <w:rPr>
          <w:rFonts w:ascii="Arial" w:cs="Arial" w:eastAsia="Arial" w:hAnsi="Arial"/>
          <w:color w:val="475569"/>
          <w:sz w:val="20"/>
          <w:szCs w:val="20"/>
        </w:rPr>
        <w:t xml:space="preserve">AWS VPC Endpoints allow resources inside a private VPC to communicate with AWS services without traversing the public internet. There are three distinct endpoint types, each with a different pricing model:</w:t>
      </w:r>
    </w:p>
    <w:p>
      <w:pPr>
        <w:spacing w:before="0" w:after="0" w:line="80"/>
      </w:pPr>
      <w:r>
        <w:t xml:space="preserve"/>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Gateway Endpoints — zero cost; only S3 and DynamoDB are supported</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Interface Endpoints (AWS PrivateLink) — hourly charge per AZ plus a per-GB data processing fee; available for 200+ services</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Gateway Load Balancer (GWLB) Endpoints — same rate structure as Interface; used for inline network inspection appliances</w:t>
      </w:r>
    </w:p>
    <w:p>
      <w:pPr>
        <w:spacing w:before="0" w:after="0" w:line="120"/>
      </w:pPr>
      <w:r>
        <w:t xml:space="preserve"/>
      </w:r>
    </w:p>
    <w:p>
      <w:pPr>
        <w:pBdr>
          <w:left w:val="single" w:color="0D9488" w:sz="12" w:space="8"/>
        </w:pBdr>
        <w:spacing w:before="60" w:after="100"/>
        <w:ind w:left="240"/>
      </w:pPr>
      <w:r>
        <w:rPr>
          <w:rFonts w:ascii="Arial" w:cs="Arial" w:eastAsia="Arial" w:hAnsi="Arial"/>
          <w:i/>
          <w:iCs/>
          <w:color w:val="0D9488"/>
          <w:sz w:val="18"/>
          <w:szCs w:val="18"/>
        </w:rPr>
        <w:t xml:space="preserve">📌  Pricing shown throughout this document uses the us-east-1 (N. Virginia) region as the reference. See Section 7 for regional pricing variations.</w:t>
      </w:r>
    </w:p>
    <w:p>
      <w:pPr>
        <w:spacing w:before="0" w:after="0" w:line="160"/>
      </w:pPr>
      <w:r>
        <w:t xml:space="preserve"/>
      </w:r>
    </w:p>
    <w:p>
      <w:pPr>
        <w:pStyle w:val="Heading1"/>
      </w:pPr>
      <w:r>
        <w:rPr>
          <w:rFonts w:ascii="Arial" w:cs="Arial" w:eastAsia="Arial" w:hAnsi="Arial"/>
          <w:b/>
          <w:bCs/>
          <w:color w:val="1B2A4A"/>
          <w:sz w:val="40"/>
          <w:szCs w:val="40"/>
        </w:rPr>
        <w:t xml:space="preserve">2. Endpoint Types &amp; Base Pricing</w:t>
      </w:r>
    </w:p>
    <w:p>
      <w:pPr>
        <w:pBdr>
          <w:bottom w:val="single" w:color="2563EB" w:sz="8" w:space="1"/>
        </w:pBdr>
        <w:spacing w:before="80" w:after="80"/>
      </w:pPr>
    </w:p>
    <w:p>
      <w:pPr>
        <w:pStyle w:val="Heading2"/>
      </w:pPr>
      <w:r>
        <w:rPr>
          <w:rFonts w:ascii="Arial" w:cs="Arial" w:eastAsia="Arial" w:hAnsi="Arial"/>
          <w:b/>
          <w:bCs/>
          <w:color w:val="2563EB"/>
          <w:sz w:val="28"/>
          <w:szCs w:val="28"/>
        </w:rPr>
        <w:t xml:space="preserve">2.1  Gateway Endpoints</w:t>
      </w:r>
    </w:p>
    <w:p>
      <w:pPr>
        <w:spacing w:before="60" w:after="100" w:line="300" w:lineRule="auto"/>
      </w:pPr>
      <w:r>
        <w:rPr>
          <w:rFonts w:ascii="Arial" w:cs="Arial" w:eastAsia="Arial" w:hAnsi="Arial"/>
          <w:color w:val="475569"/>
          <w:sz w:val="20"/>
          <w:szCs w:val="20"/>
        </w:rPr>
        <w:t xml:space="preserve">Gateway Endpoints are the simplest and most cost-effective endpoint type. AWS provides them at no charge — there are no hourly fees, no data processing fees, and no data transfer charges when communicating between a VPC and S3 or DynamoDB within the same region.</w:t>
      </w:r>
    </w:p>
    <w:p>
      <w:pPr>
        <w:spacing w:before="0" w:after="0" w:lin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000"/>
        <w:gridCol w:w="2080"/>
      </w:tblGrid>
      <w:tr>
        <w:trPr>
          <w:tblHeader/>
        </w:trPr>
        <w:tc>
          <w:tcPr>
            <w:tcW w:type="dxa" w:w="35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Service</w:t>
            </w:r>
          </w:p>
        </w:tc>
        <w:tc>
          <w:tcPr>
            <w:tcW w:type="dxa" w:w="25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Hourly Charge</w:t>
            </w:r>
          </w:p>
        </w:tc>
        <w:tc>
          <w:tcPr>
            <w:tcW w:type="dxa" w:w="20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Data Processing</w:t>
            </w:r>
          </w:p>
        </w:tc>
        <w:tc>
          <w:tcPr>
            <w:tcW w:type="dxa" w:w="20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Supported Regions</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Amazon S3</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FREE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FREE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All</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Amazon DynamoDB</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FREE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FREE</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All</w:t>
            </w:r>
          </w:p>
        </w:tc>
      </w:tr>
    </w:tbl>
    <w:p>
      <w:pPr>
        <w:spacing w:before="0" w:after="0" w:line="120"/>
      </w:pPr>
      <w:r>
        <w:t xml:space="preserve"/>
      </w:r>
    </w:p>
    <w:p>
      <w:pPr>
        <w:pBdr>
          <w:left w:val="single" w:color="0D9488" w:sz="12" w:space="8"/>
        </w:pBdr>
        <w:spacing w:before="60" w:after="100"/>
        <w:ind w:left="240"/>
      </w:pPr>
      <w:r>
        <w:rPr>
          <w:rFonts w:ascii="Arial" w:cs="Arial" w:eastAsia="Arial" w:hAnsi="Arial"/>
          <w:i/>
          <w:iCs/>
          <w:color w:val="0D9488"/>
          <w:sz w:val="18"/>
          <w:szCs w:val="18"/>
        </w:rPr>
        <w:t xml:space="preserve">📌  Always deploy Gateway Endpoints for S3 and DynamoDB first. They eliminate NAT Gateway data processing charges ($0.045/GB) for traffic to these services — often the single largest VPC cost optimization available.</w:t>
      </w:r>
    </w:p>
    <w:p>
      <w:pPr>
        <w:spacing w:before="0" w:after="0" w:line="160"/>
      </w:pPr>
      <w:r>
        <w:t xml:space="preserve"/>
      </w:r>
    </w:p>
    <w:p>
      <w:pPr>
        <w:pStyle w:val="Heading2"/>
      </w:pPr>
      <w:r>
        <w:rPr>
          <w:rFonts w:ascii="Arial" w:cs="Arial" w:eastAsia="Arial" w:hAnsi="Arial"/>
          <w:b/>
          <w:bCs/>
          <w:color w:val="2563EB"/>
          <w:sz w:val="28"/>
          <w:szCs w:val="28"/>
        </w:rPr>
        <w:t xml:space="preserve">2.2  Interface Endpoints (AWS PrivateLink)</w:t>
      </w:r>
    </w:p>
    <w:p>
      <w:pPr>
        <w:spacing w:before="60" w:after="100" w:line="300" w:lineRule="auto"/>
      </w:pPr>
      <w:r>
        <w:rPr>
          <w:rFonts w:ascii="Arial" w:cs="Arial" w:eastAsia="Arial" w:hAnsi="Arial"/>
          <w:color w:val="475569"/>
          <w:sz w:val="20"/>
          <w:szCs w:val="20"/>
        </w:rPr>
        <w:t xml:space="preserve">Interface Endpoints create an Elastic Network Interface (ENI) in one or more of your subnets. You are billed per Availability Zone in which the endpoint is provisioned, regardless of traffic volume. A separate data processing charge applies per GB transferred through the endpoint.</w:t>
      </w:r>
    </w:p>
    <w:p>
      <w:pPr>
        <w:spacing w:before="0" w:after="0" w:lin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080"/>
      </w:tblGrid>
      <w:tr>
        <w:trPr>
          <w:tblHeader/>
        </w:trPr>
        <w:tc>
          <w:tcPr>
            <w:tcW w:type="dxa" w:w="3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Charge Component</w:t>
            </w:r>
          </w:p>
        </w:tc>
        <w:tc>
          <w:tcPr>
            <w:tcW w:type="dxa" w:w="2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Rate (us-east-1)</w:t>
            </w:r>
          </w:p>
        </w:tc>
        <w:tc>
          <w:tcPr>
            <w:tcW w:type="dxa" w:w="2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Per Month (est.)</w:t>
            </w:r>
          </w:p>
        </w:tc>
        <w:tc>
          <w:tcPr>
            <w:tcW w:type="dxa" w:w="20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Hourly charge per AZ</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 / AZ / hr</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 / AZ</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Billed from creation to deletion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Data processing</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 / GB</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Varies by traffic</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All directions counted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Data transfer (same region)</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Intra-region is free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DNS resolution</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Included with private DNS</w:t>
            </w:r>
          </w:p>
        </w:tc>
      </w:tr>
    </w:tbl>
    <w:p>
      <w:pPr>
        <w:spacing w:before="0" w:after="0" w:line="80"/>
      </w:pPr>
      <w:r>
        <w:t xml:space="preserve"/>
      </w:r>
    </w:p>
    <w:p>
      <w:pPr>
        <w:spacing w:before="60" w:after="100" w:line="300" w:lineRule="auto"/>
      </w:pPr>
      <w:r>
        <w:rPr>
          <w:rFonts w:ascii="Arial" w:cs="Arial" w:eastAsia="Arial" w:hAnsi="Arial"/>
          <w:color w:val="475569"/>
          <w:sz w:val="20"/>
          <w:szCs w:val="20"/>
        </w:rPr>
        <w:t xml:space="preserve">For high availability, AWS recommends deploying an Interface Endpoint in each AZ where your workloads run. The monthly cost per endpoint per AZ is approximately $7.30. A 3-AZ deployment of a single service costs ~$21.90/month fixed, plus data processing.</w:t>
      </w:r>
    </w:p>
    <w:p>
      <w:pPr>
        <w:spacing w:before="0" w:after="0" w:line="120"/>
      </w:pPr>
      <w:r>
        <w:t xml:space="preserve"/>
      </w:r>
    </w:p>
    <w:p>
      <w:pPr>
        <w:pStyle w:val="Heading2"/>
      </w:pPr>
      <w:r>
        <w:rPr>
          <w:rFonts w:ascii="Arial" w:cs="Arial" w:eastAsia="Arial" w:hAnsi="Arial"/>
          <w:b/>
          <w:bCs/>
          <w:color w:val="2563EB"/>
          <w:sz w:val="28"/>
          <w:szCs w:val="28"/>
        </w:rPr>
        <w:t xml:space="preserve">2.3  Gateway Load Balancer (GWLB) Endpoints</w:t>
      </w:r>
    </w:p>
    <w:p>
      <w:pPr>
        <w:spacing w:before="60" w:after="100" w:line="300" w:lineRule="auto"/>
      </w:pPr>
      <w:r>
        <w:rPr>
          <w:rFonts w:ascii="Arial" w:cs="Arial" w:eastAsia="Arial" w:hAnsi="Arial"/>
          <w:color w:val="475569"/>
          <w:sz w:val="20"/>
          <w:szCs w:val="20"/>
        </w:rPr>
        <w:t xml:space="preserve">Gateway Load Balancer Endpoints are used to route traffic transparently through third-party network appliances such as firewalls, IDS/IPS systems, and deep-packet inspection tools. The pricing model is identical to Interface Endpoints.</w:t>
      </w:r>
    </w:p>
    <w:p>
      <w:pPr>
        <w:spacing w:before="0" w:after="0" w:lin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080"/>
      </w:tblGrid>
      <w:tr>
        <w:trPr>
          <w:tblHeader/>
        </w:trPr>
        <w:tc>
          <w:tcPr>
            <w:tcW w:type="dxa" w:w="3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Charge Component</w:t>
            </w:r>
          </w:p>
        </w:tc>
        <w:tc>
          <w:tcPr>
            <w:tcW w:type="dxa" w:w="2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Rate (us-east-1)</w:t>
            </w:r>
          </w:p>
        </w:tc>
        <w:tc>
          <w:tcPr>
            <w:tcW w:type="dxa" w:w="2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Per Month (est.)</w:t>
            </w:r>
          </w:p>
        </w:tc>
        <w:tc>
          <w:tcPr>
            <w:tcW w:type="dxa" w:w="20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Hourly charge per AZ</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 / AZ / hr</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 / AZ</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Same as Interface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Data processing</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 / GB</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Varies by traffic</w:t>
            </w:r>
          </w:p>
        </w:tc>
        <w:tc>
          <w:tcPr>
            <w:tcW w:type="dxa" w:w="2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Bidirectional traffic counted</w:t>
            </w:r>
          </w:p>
        </w:tc>
      </w:tr>
    </w:tbl>
    <w:p>
      <w:pPr>
        <w:spacing w:before="0" w:after="0" w:line="200"/>
      </w:pPr>
      <w:r>
        <w:t xml:space="preserve"/>
      </w:r>
    </w:p>
    <w:p>
      <w:pPr>
        <w:pStyle w:val="Heading1"/>
      </w:pPr>
      <w:r>
        <w:rPr>
          <w:rFonts w:ascii="Arial" w:cs="Arial" w:eastAsia="Arial" w:hAnsi="Arial"/>
          <w:b/>
          <w:bCs/>
          <w:color w:val="1B2A4A"/>
          <w:sz w:val="40"/>
          <w:szCs w:val="40"/>
        </w:rPr>
        <w:t xml:space="preserve">3. Monthly Cost Examples</w:t>
      </w:r>
    </w:p>
    <w:p>
      <w:pPr>
        <w:pBdr>
          <w:bottom w:val="single" w:color="2563EB" w:sz="8" w:space="1"/>
        </w:pBdr>
        <w:spacing w:before="80" w:after="80"/>
      </w:pPr>
    </w:p>
    <w:p>
      <w:pPr>
        <w:spacing w:before="60" w:after="100" w:line="300" w:lineRule="auto"/>
      </w:pPr>
      <w:r>
        <w:rPr>
          <w:rFonts w:ascii="Arial" w:cs="Arial" w:eastAsia="Arial" w:hAnsi="Arial"/>
          <w:color w:val="475569"/>
          <w:sz w:val="20"/>
          <w:szCs w:val="20"/>
        </w:rPr>
        <w:t xml:space="preserve">The following examples model realistic workloads to illustrate how endpoint costs accumulate. All examples assume us-east-1 and a 720-hour month.</w:t>
      </w:r>
    </w:p>
    <w:p>
      <w:pPr>
        <w:spacing w:before="0" w:after="0" w:line="120"/>
      </w:pPr>
      <w:r>
        <w:t xml:space="preserve"/>
      </w:r>
    </w:p>
    <w:p>
      <w:pPr>
        <w:pStyle w:val="Heading2"/>
      </w:pPr>
      <w:r>
        <w:rPr>
          <w:rFonts w:ascii="Arial" w:cs="Arial" w:eastAsia="Arial" w:hAnsi="Arial"/>
          <w:b/>
          <w:bCs/>
          <w:color w:val="2563EB"/>
          <w:sz w:val="28"/>
          <w:szCs w:val="28"/>
        </w:rPr>
        <w:t xml:space="preserve">Example A — Small ECS Cluster (2 AZs, Low Traffic)</w:t>
      </w:r>
    </w:p>
    <w:p>
      <w:pPr>
        <w:spacing w:before="60" w:after="100" w:line="300" w:lineRule="auto"/>
      </w:pPr>
      <w:r>
        <w:rPr>
          <w:rFonts w:ascii="Arial" w:cs="Arial" w:eastAsia="Arial" w:hAnsi="Arial"/>
          <w:color w:val="475569"/>
          <w:sz w:val="20"/>
          <w:szCs w:val="20"/>
        </w:rPr>
        <w:t xml:space="preserve">A small ECS cluster in 2 AZs with 50 GB/month total data through endpoints. Typical set: S3 (Gateway), ECR API, ECR DKR, Secrets Manager, CloudWatch Logs, SSM.</w:t>
      </w:r>
    </w:p>
    <w:p>
      <w:pPr>
        <w:spacing w:before="0" w:after="0" w:lin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2280"/>
      </w:tblGrid>
      <w:tr>
        <w:trPr>
          <w:tblHeader/>
        </w:trPr>
        <w:tc>
          <w:tcPr>
            <w:tcW w:type="dxa" w:w="30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16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6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AZs</w:t>
            </w:r>
          </w:p>
        </w:tc>
        <w:tc>
          <w:tcPr>
            <w:tcW w:type="dxa" w:w="16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Monthly Hrs Cost</w:t>
            </w:r>
          </w:p>
        </w:tc>
        <w:tc>
          <w:tcPr>
            <w:tcW w:type="dxa" w:w="22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Monthly Data Cost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S3</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Gateway</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ECR API</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~$0.10 (10 GB)</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ECR DKR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~$0.20 (20 GB)</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Secrets Manager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~$0.05 (5 GB)</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CloudWatch Logs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~$0.10 (10 GB)</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SSM</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2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~$0.05 (5 GB)</w:t>
            </w:r>
          </w:p>
        </w:tc>
      </w:tr>
      <w:tr>
        <w:tc>
          <w:tcPr>
            <w:tcW w:type="dxa" w:w="30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TOTAL</w:t>
            </w:r>
          </w:p>
        </w:tc>
        <w:tc>
          <w:tcPr>
            <w:tcW w:type="dxa" w:w="16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5 Interface + 1 Gateway</w:t>
            </w:r>
          </w:p>
        </w:tc>
        <w:tc>
          <w:tcPr>
            <w:tcW w:type="dxa" w:w="16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2</w:t>
            </w:r>
          </w:p>
        </w:tc>
        <w:tc>
          <w:tcPr>
            <w:tcW w:type="dxa" w:w="16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$73.00</w:t>
            </w:r>
          </w:p>
        </w:tc>
        <w:tc>
          <w:tcPr>
            <w:tcW w:type="dxa" w:w="22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~$0.50</w:t>
            </w:r>
          </w:p>
        </w:tc>
      </w:tr>
    </w:tbl>
    <w:p>
      <w:pPr>
        <w:spacing w:before="60" w:after="100"/>
        <w:jc w:val="right"/>
      </w:pPr>
      <w:r>
        <w:rPr>
          <w:rFonts w:ascii="Arial" w:cs="Arial" w:eastAsia="Arial" w:hAnsi="Arial"/>
          <w:b/>
          <w:bCs/>
          <w:color w:val="1B2A4A"/>
          <w:sz w:val="20"/>
          <w:szCs w:val="20"/>
        </w:rPr>
        <w:t xml:space="preserve">Estimated total: ~$73.50 / month</w:t>
      </w:r>
    </w:p>
    <w:p>
      <w:pPr>
        <w:spacing w:before="0" w:after="0" w:line="160"/>
      </w:pPr>
      <w:r>
        <w:t xml:space="preserve"/>
      </w:r>
    </w:p>
    <w:p>
      <w:pPr>
        <w:pStyle w:val="Heading2"/>
      </w:pPr>
      <w:r>
        <w:rPr>
          <w:rFonts w:ascii="Arial" w:cs="Arial" w:eastAsia="Arial" w:hAnsi="Arial"/>
          <w:b/>
          <w:bCs/>
          <w:color w:val="2563EB"/>
          <w:sz w:val="28"/>
          <w:szCs w:val="28"/>
        </w:rPr>
        <w:t xml:space="preserve">Example B — Production Platform (3 AZs, High Traffic)</w:t>
      </w:r>
    </w:p>
    <w:p>
      <w:pPr>
        <w:spacing w:before="60" w:after="100" w:line="300" w:lineRule="auto"/>
      </w:pPr>
      <w:r>
        <w:rPr>
          <w:rFonts w:ascii="Arial" w:cs="Arial" w:eastAsia="Arial" w:hAnsi="Arial"/>
          <w:color w:val="475569"/>
          <w:sz w:val="20"/>
          <w:szCs w:val="20"/>
        </w:rPr>
        <w:t xml:space="preserve">A production-grade platform in 3 AZs running ECS, RDS, KMS, Bedrock inference workloads, and CI/CD pipelines. Approximately 2 TB/month through endpoints.</w:t>
      </w:r>
    </w:p>
    <w:p>
      <w:pPr>
        <w:spacing w:before="0" w:after="0" w:lin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200"/>
        <w:gridCol w:w="1680"/>
        <w:gridCol w:w="1800"/>
        <w:gridCol w:w="1300"/>
      </w:tblGrid>
      <w:tr>
        <w:trPr>
          <w:tblHeader/>
        </w:trPr>
        <w:tc>
          <w:tcPr>
            <w:tcW w:type="dxa" w:w="27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w:t>
            </w:r>
          </w:p>
        </w:tc>
        <w:tc>
          <w:tcPr>
            <w:tcW w:type="dxa" w:w="1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AZs</w:t>
            </w:r>
          </w:p>
        </w:tc>
        <w:tc>
          <w:tcPr>
            <w:tcW w:type="dxa" w:w="16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Hrs Cost /mo</w:t>
            </w:r>
          </w:p>
        </w:tc>
        <w:tc>
          <w:tcPr>
            <w:tcW w:type="dxa" w:w="18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Data Cost /mo</w:t>
            </w:r>
          </w:p>
        </w:tc>
        <w:tc>
          <w:tcPr>
            <w:tcW w:type="dxa" w:w="13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Total /mo</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S3 (Gateway)</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Gateway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DynamoDB (Gateway)</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Gateway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ECR API</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$2.00 (200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$23.90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ECR DKR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$5.00 (500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$26.90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KMS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$0.10 (10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$22.00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Secrets Manager</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$0.50 (50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$22.40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CloudWatch Logs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$5.00 (500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$26.90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STS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$0.20 (20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$22.10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SQS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$2.00 (200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$23.90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SNS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$0.30 (30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$22.20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Bedrock Runtime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$5.00 (500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$26.90</w:t>
            </w:r>
          </w:p>
        </w:tc>
      </w:tr>
      <w:tr>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SSM + SSMMessages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$43.80</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$0.10 (10 GB)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$43.90</w:t>
            </w:r>
          </w:p>
        </w:tc>
      </w:tr>
      <w:tr>
        <w:tc>
          <w:tcPr>
            <w:tcW w:type="dxa" w:w="27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TOTAL</w:t>
            </w:r>
          </w:p>
        </w:tc>
        <w:tc>
          <w:tcPr>
            <w:tcW w:type="dxa" w:w="1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11 Interface + 2 Gateway</w:t>
            </w:r>
          </w:p>
        </w:tc>
        <w:tc>
          <w:tcPr>
            <w:tcW w:type="dxa" w:w="1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3</w:t>
            </w:r>
          </w:p>
        </w:tc>
        <w:tc>
          <w:tcPr>
            <w:tcW w:type="dxa" w:w="16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$240.90</w:t>
            </w:r>
          </w:p>
        </w:tc>
        <w:tc>
          <w:tcPr>
            <w:tcW w:type="dxa" w:w="18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$20.20</w:t>
            </w:r>
          </w:p>
        </w:tc>
        <w:tc>
          <w:tcPr>
            <w:tcW w:type="dxa" w:w="13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$261.10</w:t>
            </w:r>
          </w:p>
        </w:tc>
      </w:tr>
    </w:tbl>
    <w:p>
      <w:pPr>
        <w:spacing w:before="60" w:after="100"/>
        <w:jc w:val="right"/>
      </w:pPr>
      <w:r>
        <w:rPr>
          <w:rFonts w:ascii="Arial" w:cs="Arial" w:eastAsia="Arial" w:hAnsi="Arial"/>
          <w:b/>
          <w:bCs/>
          <w:color w:val="1B2A4A"/>
          <w:sz w:val="20"/>
          <w:szCs w:val="20"/>
        </w:rPr>
        <w:t xml:space="preserve">Estimated total: ~$261 / month</w:t>
      </w:r>
    </w:p>
    <w:p>
      <w:pPr>
        <w:spacing w:before="0" w:after="0" w:line="200"/>
      </w:pPr>
      <w:r>
        <w:t xml:space="preserve"/>
      </w:r>
    </w:p>
    <w:p>
      <w:pPr>
        <w:pStyle w:val="Heading1"/>
      </w:pPr>
      <w:r>
        <w:rPr>
          <w:rFonts w:ascii="Arial" w:cs="Arial" w:eastAsia="Arial" w:hAnsi="Arial"/>
          <w:b/>
          <w:bCs/>
          <w:color w:val="1B2A4A"/>
          <w:sz w:val="40"/>
          <w:szCs w:val="40"/>
        </w:rPr>
        <w:t xml:space="preserve">4. VPC Endpoints vs. NAT Gateway</w:t>
      </w:r>
    </w:p>
    <w:p>
      <w:pPr>
        <w:pBdr>
          <w:bottom w:val="single" w:color="2563EB" w:sz="8" w:space="1"/>
        </w:pBdr>
        <w:spacing w:before="80" w:after="80"/>
      </w:pPr>
    </w:p>
    <w:p>
      <w:pPr>
        <w:spacing w:before="60" w:after="100" w:line="300" w:lineRule="auto"/>
      </w:pPr>
      <w:r>
        <w:rPr>
          <w:rFonts w:ascii="Arial" w:cs="Arial" w:eastAsia="Arial" w:hAnsi="Arial"/>
          <w:color w:val="475569"/>
          <w:sz w:val="20"/>
          <w:szCs w:val="20"/>
        </w:rPr>
        <w:t xml:space="preserve">NAT Gateways are the default mechanism for private subnets to reach AWS services. Replacing NAT-traversing traffic with VPC Endpoints is typically the fastest path to significant cost reduction.</w:t>
      </w:r>
    </w:p>
    <w:p>
      <w:pPr>
        <w:spacing w:before="0" w:after="0" w:lin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920"/>
        <w:gridCol w:w="1920"/>
        <w:gridCol w:w="1920"/>
        <w:gridCol w:w="1720"/>
      </w:tblGrid>
      <w:tr>
        <w:trPr>
          <w:tblHeader/>
        </w:trPr>
        <w:tc>
          <w:tcPr>
            <w:tcW w:type="dxa" w:w="26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
            </w:r>
          </w:p>
        </w:tc>
        <w:tc>
          <w:tcPr>
            <w:tcW w:type="dxa" w:w="192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Gateway Endpoint</w:t>
            </w:r>
          </w:p>
        </w:tc>
        <w:tc>
          <w:tcPr>
            <w:tcW w:type="dxa" w:w="192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Interface Endpoint</w:t>
            </w:r>
          </w:p>
        </w:tc>
        <w:tc>
          <w:tcPr>
            <w:tcW w:type="dxa" w:w="192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GWLB Endpoint</w:t>
            </w:r>
          </w:p>
        </w:tc>
        <w:tc>
          <w:tcPr>
            <w:tcW w:type="dxa" w:w="172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NAT Gateway</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475569"/>
                <w:sz w:val="18"/>
                <w:szCs w:val="18"/>
              </w:rPr>
              <w:t xml:space="preserve">Hourly rate (per AZ)</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FREE</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563EB"/>
                <w:sz w:val="18"/>
                <w:szCs w:val="18"/>
              </w:rPr>
              <w:t xml:space="preserve">$0.010</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563EB"/>
                <w:sz w:val="18"/>
                <w:szCs w:val="18"/>
              </w:rPr>
              <w:t xml:space="preserve">$0.010</w:t>
            </w:r>
          </w:p>
        </w:tc>
        <w:tc>
          <w:tcPr>
            <w:tcW w:type="dxa" w:w="17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$0.045</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Monthly fixed (1 AZ)</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7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~$32.40</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Monthly fixed (3 AZs)</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$0.00</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17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~$97.20</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Data processing /GB</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FREE</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17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DC2626"/>
                <w:sz w:val="18"/>
                <w:szCs w:val="18"/>
              </w:rPr>
              <w:t xml:space="preserve">$0.045</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Savings vs NAT @ 1 TB/mo</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~$46.08/TB</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~$35.84/TB</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~$35.84/TB</w:t>
            </w:r>
          </w:p>
        </w:tc>
        <w:tc>
          <w:tcPr>
            <w:tcW w:type="dxa" w:w="17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baseline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Internet access required?</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No</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No</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No</w:t>
            </w:r>
          </w:p>
        </w:tc>
        <w:tc>
          <w:tcPr>
            <w:tcW w:type="dxa" w:w="17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Yes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Services supported</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S3, DynamoDB</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200+</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3rd-party GWLB</w:t>
            </w:r>
          </w:p>
        </w:tc>
        <w:tc>
          <w:tcPr>
            <w:tcW w:type="dxa" w:w="172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All (public API)</w:t>
            </w:r>
          </w:p>
        </w:tc>
      </w:tr>
    </w:tbl>
    <w:p>
      <w:pPr>
        <w:spacing w:before="0" w:after="0" w:line="120"/>
      </w:pPr>
      <w:r>
        <w:t xml:space="preserve"/>
      </w:r>
    </w:p>
    <w:p>
      <w:pPr>
        <w:spacing w:before="60" w:after="100" w:line="300" w:lineRule="auto"/>
      </w:pPr>
      <w:r>
        <w:rPr>
          <w:rFonts w:ascii="Arial" w:cs="Arial" w:eastAsia="Arial" w:hAnsi="Arial"/>
          <w:color w:val="475569"/>
          <w:sz w:val="20"/>
          <w:szCs w:val="20"/>
        </w:rPr>
        <w:t xml:space="preserve">Break-even analysis: An Interface Endpoint becomes cheaper than routing the same traffic through a NAT Gateway when monthly data volume per AZ exceeds approximately 150 GB. Below that threshold, NAT Gateway is less expensive on a combined fixed+variable basis.</w:t>
      </w:r>
    </w:p>
    <w:p>
      <w:pPr>
        <w:spacing w:before="0" w:after="0" w:line="80"/>
      </w:pPr>
      <w:r>
        <w:t xml:space="preserve"/>
      </w:r>
    </w:p>
    <w:p>
      <w:pPr>
        <w:pBdr>
          <w:left w:val="single" w:color="B45309" w:sz="12" w:space="8"/>
        </w:pBdr>
        <w:spacing w:before="60" w:after="100"/>
        <w:ind w:left="240"/>
      </w:pPr>
      <w:r>
        <w:rPr>
          <w:rFonts w:ascii="Arial" w:cs="Arial" w:eastAsia="Arial" w:hAnsi="Arial"/>
          <w:i/>
          <w:iCs/>
          <w:color w:val="B45309"/>
          <w:sz w:val="18"/>
          <w:szCs w:val="18"/>
        </w:rPr>
        <w:t xml:space="preserve">⚠️  Each NAT Gateway in 3 AZs costs ~$97.20/month in fixed charges alone — before any data processing. A full S3/DynamoDB Gateway Endpoint replacement costs $0 and should always be done first.</w:t>
      </w:r>
    </w:p>
    <w:p>
      <w:pPr>
        <w:spacing w:before="0" w:after="0" w:line="200"/>
      </w:pPr>
      <w:r>
        <w:t xml:space="preserve"/>
      </w:r>
    </w:p>
    <w:p>
      <w:pPr>
        <w:pStyle w:val="Heading1"/>
      </w:pPr>
      <w:r>
        <w:rPr>
          <w:rFonts w:ascii="Arial" w:cs="Arial" w:eastAsia="Arial" w:hAnsi="Arial"/>
          <w:b/>
          <w:bCs/>
          <w:color w:val="1B2A4A"/>
          <w:sz w:val="40"/>
          <w:szCs w:val="40"/>
        </w:rPr>
        <w:t xml:space="preserve">5. Cross-Region &amp; Special Pricing</w:t>
      </w:r>
    </w:p>
    <w:p>
      <w:pPr>
        <w:pBdr>
          <w:bottom w:val="single" w:color="2563EB" w:sz="8" w:space="1"/>
        </w:pBdr>
        <w:spacing w:before="80" w:after="80"/>
      </w:pPr>
    </w:p>
    <w:p>
      <w:pPr>
        <w:pStyle w:val="Heading2"/>
      </w:pPr>
      <w:r>
        <w:rPr>
          <w:rFonts w:ascii="Arial" w:cs="Arial" w:eastAsia="Arial" w:hAnsi="Arial"/>
          <w:b/>
          <w:bCs/>
          <w:color w:val="2563EB"/>
          <w:sz w:val="28"/>
          <w:szCs w:val="28"/>
        </w:rPr>
        <w:t xml:space="preserve">5.1  Cross-Region Interface Endpoints</w:t>
      </w:r>
    </w:p>
    <w:p>
      <w:pPr>
        <w:spacing w:before="60" w:after="100" w:line="300" w:lineRule="auto"/>
      </w:pPr>
      <w:r>
        <w:rPr>
          <w:rFonts w:ascii="Arial" w:cs="Arial" w:eastAsia="Arial" w:hAnsi="Arial"/>
          <w:color w:val="475569"/>
          <w:sz w:val="20"/>
          <w:szCs w:val="20"/>
        </w:rPr>
        <w:t xml:space="preserve">Starting in 2023, AWS supports cross-region Interface Endpoints. The endpoint consumer pays standard PrivateLink rates plus the applicable inter-region data transfer charge.</w:t>
      </w:r>
    </w:p>
    <w:p>
      <w:pPr>
        <w:spacing w:before="0" w:after="0" w:lin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680"/>
      </w:tblGrid>
      <w:tr>
        <w:trPr>
          <w:tblHeader/>
        </w:trPr>
        <w:tc>
          <w:tcPr>
            <w:tcW w:type="dxa" w:w="30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Charge</w:t>
            </w:r>
          </w:p>
        </w:tc>
        <w:tc>
          <w:tcPr>
            <w:tcW w:type="dxa" w:w="2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Rate</w:t>
            </w:r>
          </w:p>
        </w:tc>
        <w:tc>
          <w:tcPr>
            <w:tcW w:type="dxa" w:w="2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Direction</w:t>
            </w:r>
          </w:p>
        </w:tc>
        <w:tc>
          <w:tcPr>
            <w:tcW w:type="dxa" w:w="26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Who Pays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PrivateLink endpoint hours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$0.01/AZ/hr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N/A</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Consumer (endpoint owner)</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PrivateLink data processing</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$0.01/GB</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Both</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Consumer</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Inter-region data transfer OUT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~$0.02/GB</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Consumer → Provider</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Consumer</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Inter-region data transfer IN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~$0.02/GB</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Provider → Consumer</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Consumer</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Provider remote region fee</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$0.05/hr per region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N/A</w:t>
            </w:r>
          </w:p>
        </w:tc>
        <w:tc>
          <w:tcPr>
            <w:tcW w:type="dxa" w:w="2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Service provider</w:t>
            </w:r>
          </w:p>
        </w:tc>
      </w:tr>
    </w:tbl>
    <w:p>
      <w:pPr>
        <w:spacing w:before="0" w:after="0" w:line="80"/>
      </w:pPr>
      <w:r>
        <w:t xml:space="preserve"/>
      </w:r>
    </w:p>
    <w:p>
      <w:pPr>
        <w:pBdr>
          <w:left w:val="single" w:color="0D9488" w:sz="12" w:space="8"/>
        </w:pBdr>
        <w:spacing w:before="60" w:after="100"/>
        <w:ind w:left="240"/>
      </w:pPr>
      <w:r>
        <w:rPr>
          <w:rFonts w:ascii="Arial" w:cs="Arial" w:eastAsia="Arial" w:hAnsi="Arial"/>
          <w:i/>
          <w:iCs/>
          <w:color w:val="0D9488"/>
          <w:sz w:val="18"/>
          <w:szCs w:val="18"/>
        </w:rPr>
        <w:t xml:space="preserve">📌  Cross-region data transfer rates vary by region pair. Transfers between us-east-1 and us-west-2 are $0.02/GB in each direction. Check the EC2 Data Transfer pricing page for all region pairs.</w:t>
      </w:r>
    </w:p>
    <w:p>
      <w:pPr>
        <w:spacing w:before="0" w:after="0" w:line="160"/>
      </w:pPr>
      <w:r>
        <w:t xml:space="preserve"/>
      </w:r>
    </w:p>
    <w:p>
      <w:pPr>
        <w:pStyle w:val="Heading2"/>
      </w:pPr>
      <w:r>
        <w:rPr>
          <w:rFonts w:ascii="Arial" w:cs="Arial" w:eastAsia="Arial" w:hAnsi="Arial"/>
          <w:b/>
          <w:bCs/>
          <w:color w:val="2563EB"/>
          <w:sz w:val="28"/>
          <w:szCs w:val="28"/>
        </w:rPr>
        <w:t xml:space="preserve">5.2  Resource Endpoints</w:t>
      </w:r>
    </w:p>
    <w:p>
      <w:pPr>
        <w:spacing w:before="60" w:after="100" w:line="300" w:lineRule="auto"/>
      </w:pPr>
      <w:r>
        <w:rPr>
          <w:rFonts w:ascii="Arial" w:cs="Arial" w:eastAsia="Arial" w:hAnsi="Arial"/>
          <w:color w:val="475569"/>
          <w:sz w:val="20"/>
          <w:szCs w:val="20"/>
        </w:rPr>
        <w:t xml:space="preserve">Resource Endpoints allow fine-grained private access to specific VPC resources (IP addresses, RDS instances, domain names) shared across VPCs using AWS PrivateLink. They carry a higher per-resource fixed rate with tiered data processing.</w:t>
      </w:r>
    </w:p>
    <w:p>
      <w:pPr>
        <w:spacing w:before="0" w:after="0" w:lin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80"/>
      </w:tblGrid>
      <w:tr>
        <w:trPr>
          <w:tblHeader/>
        </w:trPr>
        <w:tc>
          <w:tcPr>
            <w:tcW w:type="dxa" w:w="35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Component</w:t>
            </w:r>
          </w:p>
        </w:tc>
        <w:tc>
          <w:tcPr>
            <w:tcW w:type="dxa" w:w="25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Rate</w:t>
            </w:r>
          </w:p>
        </w:tc>
        <w:tc>
          <w:tcPr>
            <w:tcW w:type="dxa" w:w="40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Per-resource hourly charge</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$0.02 / resource / hr</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~$14.40/resource/month</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Data processing — first 1 TB/mo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$0.01/GB</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Per region aggregate</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Data processing — next 9 TB/mo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$0.006/GB</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After 1 TB threshold</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Data processing — over 10 TB/mo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$0.004/GB</w:t>
            </w:r>
          </w:p>
        </w:tc>
        <w:tc>
          <w:tcPr>
            <w:tcW w:type="dxa" w:w="40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High-volume discount</w:t>
            </w:r>
          </w:p>
        </w:tc>
      </w:tr>
    </w:tbl>
    <w:p>
      <w:pPr>
        <w:spacing w:before="0" w:after="0" w:line="200"/>
      </w:pPr>
      <w:r>
        <w:t xml:space="preserve"/>
      </w:r>
    </w:p>
    <w:p>
      <w:pPr>
        <w:pStyle w:val="Heading1"/>
      </w:pPr>
      <w:r>
        <w:rPr>
          <w:rFonts w:ascii="Arial" w:cs="Arial" w:eastAsia="Arial" w:hAnsi="Arial"/>
          <w:b/>
          <w:bCs/>
          <w:color w:val="1B2A4A"/>
          <w:sz w:val="40"/>
          <w:szCs w:val="40"/>
        </w:rPr>
        <w:t xml:space="preserve">6. Common Service Pricing Profiles</w:t>
      </w:r>
    </w:p>
    <w:p>
      <w:pPr>
        <w:pBdr>
          <w:bottom w:val="single" w:color="2563EB" w:sz="8" w:space="1"/>
        </w:pBdr>
        <w:spacing w:before="80" w:after="80"/>
      </w:pPr>
    </w:p>
    <w:p>
      <w:pPr>
        <w:spacing w:before="60" w:after="100" w:line="300" w:lineRule="auto"/>
      </w:pPr>
      <w:r>
        <w:rPr>
          <w:rFonts w:ascii="Arial" w:cs="Arial" w:eastAsia="Arial" w:hAnsi="Arial"/>
          <w:color w:val="475569"/>
          <w:sz w:val="20"/>
          <w:szCs w:val="20"/>
        </w:rPr>
        <w:t xml:space="preserve">The following table summarizes the monthly fixed cost for commonly used Interface Endpoints across 1, 2, and 3 Availability Zones, assuming us-east-1 rates. Variable data costs are additive at $0.01/GB.</w:t>
      </w:r>
    </w:p>
    <w:p>
      <w:pPr>
        <w:spacing w:before="0" w:after="0" w:lin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80"/>
        <w:gridCol w:w="1380"/>
        <w:gridCol w:w="1380"/>
        <w:gridCol w:w="2440"/>
      </w:tblGrid>
      <w:tr>
        <w:trPr>
          <w:tblHeader/>
        </w:trPr>
        <w:tc>
          <w:tcPr>
            <w:tcW w:type="dxa" w:w="2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Service (Alias)</w:t>
            </w:r>
          </w:p>
        </w:tc>
        <w:tc>
          <w:tcPr>
            <w:tcW w:type="dxa" w:w="13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3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Cost 1 AZ/mo</w:t>
            </w:r>
          </w:p>
        </w:tc>
        <w:tc>
          <w:tcPr>
            <w:tcW w:type="dxa" w:w="13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Cost 2 AZ/mo</w:t>
            </w:r>
          </w:p>
        </w:tc>
        <w:tc>
          <w:tcPr>
            <w:tcW w:type="dxa" w:w="13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Cost 3 AZ/mo</w:t>
            </w:r>
          </w:p>
        </w:tc>
        <w:tc>
          <w:tcPr>
            <w:tcW w:type="dxa" w:w="244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Primary Use Case</w:t>
            </w:r>
          </w:p>
        </w:tc>
      </w:tr>
      <w:tr>
        <w:tc>
          <w:tcPr>
            <w:tcW w:type="dxa" w:w="10080"/>
            <w:gridSpan w:val="99"/>
            <w:tcBorders>
              <w:top w:val="single" w:color="CBD5E1" w:sz="1"/>
              <w:left w:val="single" w:color="CBD5E1" w:sz="1"/>
              <w:bottom w:val="single" w:color="CBD5E1" w:sz="1"/>
              <w:right w:val="single" w:color="CBD5E1" w:sz="1"/>
            </w:tcBorders>
            <w:shd w:fill="EFF6FF"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Storage &amp; Core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S3  (s3)</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Gateway</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Object storage access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DynamoDB  (dynamodb)</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Gateway</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$0.00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NoSQL DB access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EFS  (efs)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Shared file storage</w:t>
            </w:r>
          </w:p>
        </w:tc>
      </w:tr>
      <w:tr>
        <w:tc>
          <w:tcPr>
            <w:tcW w:type="dxa" w:w="10080"/>
            <w:gridSpan w:val="99"/>
            <w:tcBorders>
              <w:top w:val="single" w:color="CBD5E1" w:sz="1"/>
              <w:left w:val="single" w:color="CBD5E1" w:sz="1"/>
              <w:bottom w:val="single" w:color="CBD5E1" w:sz="1"/>
              <w:right w:val="single" w:color="CBD5E1" w:sz="1"/>
            </w:tcBorders>
            <w:shd w:fill="EFF6FF"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Security &amp; Identity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KMS  (kms)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Key management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Secrets Manager  (secretsmanager)</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Secrets rotation &amp; access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STS  (sts)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IAM role assumption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ACM PCA  (acm_pca)</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Private CA</w:t>
            </w:r>
          </w:p>
        </w:tc>
      </w:tr>
      <w:tr>
        <w:tc>
          <w:tcPr>
            <w:tcW w:type="dxa" w:w="10080"/>
            <w:gridSpan w:val="99"/>
            <w:tcBorders>
              <w:top w:val="single" w:color="CBD5E1" w:sz="1"/>
              <w:left w:val="single" w:color="CBD5E1" w:sz="1"/>
              <w:bottom w:val="single" w:color="CBD5E1" w:sz="1"/>
              <w:right w:val="single" w:color="CBD5E1" w:sz="1"/>
            </w:tcBorders>
            <w:shd w:fill="EFF6FF"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Containers &amp; CI/CD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ECR API  (ecr_api)</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Container image metadata</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ECR DKR  (ecr_dkr)</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Image pull (docker)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ECS  (ecs)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ECS API</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ECS Agent  (ecs_agent)</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ECS agent registration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EKS  (eks)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Kubernetes API server</w:t>
            </w:r>
          </w:p>
        </w:tc>
      </w:tr>
      <w:tr>
        <w:tc>
          <w:tcPr>
            <w:tcW w:type="dxa" w:w="10080"/>
            <w:gridSpan w:val="99"/>
            <w:tcBorders>
              <w:top w:val="single" w:color="CBD5E1" w:sz="1"/>
              <w:left w:val="single" w:color="CBD5E1" w:sz="1"/>
              <w:bottom w:val="single" w:color="CBD5E1" w:sz="1"/>
              <w:right w:val="single" w:color="CBD5E1" w:sz="1"/>
            </w:tcBorders>
            <w:shd w:fill="EFF6FF"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Observability &amp; Management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SSM  (ssm)</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Parameter Store / Run Command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SSMMessages  (ssmmessages)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Session Manager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EC2Messages  (ec2messages)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SSM messaging channel</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CloudWatch Logs  (cloudwatch_logs)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Log ingestion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CloudWatch  (cloudwatch)</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Metrics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X-Ray  (xray)</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Distributed tracing</w:t>
            </w:r>
          </w:p>
        </w:tc>
      </w:tr>
      <w:tr>
        <w:tc>
          <w:tcPr>
            <w:tcW w:type="dxa" w:w="10080"/>
            <w:gridSpan w:val="99"/>
            <w:tcBorders>
              <w:top w:val="single" w:color="CBD5E1" w:sz="1"/>
              <w:left w:val="single" w:color="CBD5E1" w:sz="1"/>
              <w:bottom w:val="single" w:color="CBD5E1" w:sz="1"/>
              <w:right w:val="single" w:color="CBD5E1" w:sz="1"/>
            </w:tcBorders>
            <w:shd w:fill="EFF6FF"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Messaging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SQS  (sqs)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Queue polling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SNS  (sns)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Pub/sub messaging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Kinesis Streams  (kinesis_streams)</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Data streaming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EventBridge  (eventbridge)</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Event bus</w:t>
            </w:r>
          </w:p>
        </w:tc>
      </w:tr>
      <w:tr>
        <w:tc>
          <w:tcPr>
            <w:tcW w:type="dxa" w:w="10080"/>
            <w:gridSpan w:val="99"/>
            <w:tcBorders>
              <w:top w:val="single" w:color="CBD5E1" w:sz="1"/>
              <w:left w:val="single" w:color="CBD5E1" w:sz="1"/>
              <w:bottom w:val="single" w:color="CBD5E1" w:sz="1"/>
              <w:right w:val="single" w:color="CBD5E1" w:sz="1"/>
            </w:tcBorders>
            <w:shd w:fill="EFF6FF"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1B2A4A"/>
                <w:sz w:val="18"/>
                <w:szCs w:val="18"/>
              </w:rPr>
              <w:t xml:space="preserve">AI / ML</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Bedrock  (bedrock)</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Model access API</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Bedrock Runtime  (bedrock_runtime)</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Inference requests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SageMaker API  (sagemaker_api)</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Model management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SageMaker Runtime  (sagemaker_runtime)</w:t>
            </w:r>
          </w:p>
        </w:tc>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$14.60</w:t>
            </w:r>
          </w:p>
        </w:tc>
        <w:tc>
          <w:tcPr>
            <w:tcW w:type="dxa" w:w="1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$21.90</w:t>
            </w:r>
          </w:p>
        </w:tc>
        <w:tc>
          <w:tcPr>
            <w:tcW w:type="dxa" w:w="24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Endpoint inference</w:t>
            </w:r>
          </w:p>
        </w:tc>
      </w:tr>
    </w:tbl>
    <w:p>
      <w:pPr>
        <w:spacing w:before="0" w:after="0" w:line="80"/>
      </w:pPr>
      <w:r>
        <w:t xml:space="preserve"/>
      </w:r>
    </w:p>
    <w:p>
      <w:pPr>
        <w:pBdr>
          <w:left w:val="single" w:color="0D9488" w:sz="12" w:space="8"/>
        </w:pBdr>
        <w:spacing w:before="60" w:after="100"/>
        <w:ind w:left="240"/>
      </w:pPr>
      <w:r>
        <w:rPr>
          <w:rFonts w:ascii="Arial" w:cs="Arial" w:eastAsia="Arial" w:hAnsi="Arial"/>
          <w:i/>
          <w:iCs/>
          <w:color w:val="0D9488"/>
          <w:sz w:val="18"/>
          <w:szCs w:val="18"/>
        </w:rPr>
        <w:t xml:space="preserve">📌  All Interface Endpoint hourly rates are $0.01/AZ/hr ($7.30/AZ/month). The table above helps prioritize which endpoints to deploy first based on your workload profile.</w:t>
      </w:r>
    </w:p>
    <w:p>
      <w:pPr>
        <w:spacing w:before="0" w:after="0" w:line="200"/>
      </w:pPr>
      <w:r>
        <w:t xml:space="preserve"/>
      </w:r>
    </w:p>
    <w:p>
      <w:pPr>
        <w:pStyle w:val="Heading1"/>
      </w:pPr>
      <w:r>
        <w:rPr>
          <w:rFonts w:ascii="Arial" w:cs="Arial" w:eastAsia="Arial" w:hAnsi="Arial"/>
          <w:b/>
          <w:bCs/>
          <w:color w:val="1B2A4A"/>
          <w:sz w:val="40"/>
          <w:szCs w:val="40"/>
        </w:rPr>
        <w:t xml:space="preserve">7. Regional Price Variations</w:t>
      </w:r>
    </w:p>
    <w:p>
      <w:pPr>
        <w:pBdr>
          <w:bottom w:val="single" w:color="2563EB" w:sz="8" w:space="1"/>
        </w:pBdr>
        <w:spacing w:before="80" w:after="80"/>
      </w:pPr>
    </w:p>
    <w:p>
      <w:pPr>
        <w:spacing w:before="60" w:after="100" w:line="300" w:lineRule="auto"/>
      </w:pPr>
      <w:r>
        <w:rPr>
          <w:rFonts w:ascii="Arial" w:cs="Arial" w:eastAsia="Arial" w:hAnsi="Arial"/>
          <w:color w:val="475569"/>
          <w:sz w:val="20"/>
          <w:szCs w:val="20"/>
        </w:rPr>
        <w:t xml:space="preserve">AWS PrivateLink pricing differs by region. The following shows the hourly Interface Endpoint rate for a selection of common regions. Data processing fees vary proportionally.</w:t>
      </w:r>
    </w:p>
    <w:p>
      <w:pPr>
        <w:spacing w:before="0" w:after="0" w:lin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200"/>
        <w:gridCol w:w="2380"/>
      </w:tblGrid>
      <w:tr>
        <w:trPr>
          <w:tblHeader/>
        </w:trPr>
        <w:tc>
          <w:tcPr>
            <w:tcW w:type="dxa" w:w="30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Region</w:t>
            </w:r>
          </w:p>
        </w:tc>
        <w:tc>
          <w:tcPr>
            <w:tcW w:type="dxa" w:w="25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Region Code</w:t>
            </w:r>
          </w:p>
        </w:tc>
        <w:tc>
          <w:tcPr>
            <w:tcW w:type="dxa" w:w="22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$/AZ/hr</w:t>
            </w:r>
          </w:p>
        </w:tc>
        <w:tc>
          <w:tcPr>
            <w:tcW w:type="dxa" w:w="23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$/AZ/month (~)</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US East (N. Virginia)</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us-east-1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US East (Ohio)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us-east-2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US West (N. California)</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us-west-1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US West (Oregon)</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us-west-2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EU (Ireland)</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eu-west-1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EU (Frankfurt)</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eu-central-1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$0.011</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$7.99</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EU (London)</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eu-west-2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$0.011</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$7.99</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EU (Stockholm)</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eu-north-1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 (Singapore)</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ap-southeast-1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$0.012</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$8.64</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 (Sydney)</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ap-southeast-2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$0.012</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$8.64</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 (Tokyo)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ap-northeast-1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$0.014</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$10.08</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 (Seoul)</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ap-northeast-2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$0.012</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$8.64</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 (Mumbai)</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ap-south-1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$0.012</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$8.64</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SA (São Paulo)</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sa-east-1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$0.016</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$11.52</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CA (Canada Central)</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ca-central-1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$0.011</w:t>
            </w:r>
          </w:p>
        </w:tc>
        <w:tc>
          <w:tcPr>
            <w:tcW w:type="dxa" w:w="23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$7.99</w:t>
            </w:r>
          </w:p>
        </w:tc>
      </w:tr>
    </w:tbl>
    <w:p>
      <w:pPr>
        <w:spacing w:before="0" w:after="0" w:line="80"/>
      </w:pPr>
      <w:r>
        <w:t xml:space="preserve"/>
      </w:r>
    </w:p>
    <w:p>
      <w:pPr>
        <w:pBdr>
          <w:left w:val="single" w:color="0D9488" w:sz="12" w:space="8"/>
        </w:pBdr>
        <w:spacing w:before="60" w:after="100"/>
        <w:ind w:left="240"/>
      </w:pPr>
      <w:r>
        <w:rPr>
          <w:rFonts w:ascii="Arial" w:cs="Arial" w:eastAsia="Arial" w:hAnsi="Arial"/>
          <w:i/>
          <w:iCs/>
          <w:color w:val="0D9488"/>
          <w:sz w:val="18"/>
          <w:szCs w:val="18"/>
        </w:rPr>
        <w:t xml:space="preserve">📌  Verify current rates at https://aws.amazon.com/privatelink/pricing/ as AWS adjusts regional pricing periodically.</w:t>
      </w:r>
    </w:p>
    <w:p>
      <w:pPr>
        <w:spacing w:before="0" w:after="0" w:line="200"/>
      </w:pPr>
      <w:r>
        <w:t xml:space="preserve"/>
      </w:r>
    </w:p>
    <w:p>
      <w:pPr>
        <w:pStyle w:val="Heading1"/>
      </w:pPr>
      <w:r>
        <w:rPr>
          <w:rFonts w:ascii="Arial" w:cs="Arial" w:eastAsia="Arial" w:hAnsi="Arial"/>
          <w:b/>
          <w:bCs/>
          <w:color w:val="1B2A4A"/>
          <w:sz w:val="40"/>
          <w:szCs w:val="40"/>
        </w:rPr>
        <w:t xml:space="preserve">8. Cost Optimization Strategies</w:t>
      </w:r>
    </w:p>
    <w:p>
      <w:pPr>
        <w:pBdr>
          <w:bottom w:val="single" w:color="2563EB" w:sz="8" w:space="1"/>
        </w:pBdr>
        <w:spacing w:before="80" w:after="80"/>
      </w:pPr>
    </w:p>
    <w:p>
      <w:pPr>
        <w:pStyle w:val="Heading2"/>
      </w:pPr>
      <w:r>
        <w:rPr>
          <w:rFonts w:ascii="Arial" w:cs="Arial" w:eastAsia="Arial" w:hAnsi="Arial"/>
          <w:b/>
          <w:bCs/>
          <w:color w:val="2563EB"/>
          <w:sz w:val="28"/>
          <w:szCs w:val="28"/>
        </w:rPr>
        <w:t xml:space="preserve">8.1  Prioritize Gateway Endpoints First</w:t>
      </w:r>
    </w:p>
    <w:p>
      <w:pPr>
        <w:spacing w:before="60" w:after="100" w:line="300" w:lineRule="auto"/>
      </w:pPr>
      <w:r>
        <w:rPr>
          <w:rFonts w:ascii="Arial" w:cs="Arial" w:eastAsia="Arial" w:hAnsi="Arial"/>
          <w:color w:val="475569"/>
          <w:sz w:val="20"/>
          <w:szCs w:val="20"/>
        </w:rPr>
        <w:t xml:space="preserve">Always deploy S3 and DynamoDB Gateway Endpoints before any Interface Endpoint. They are free, require no security group management, and eliminate the NAT Gateway data processing fee for all traffic to these services. The savings can be immediate and substantial.</w:t>
      </w:r>
    </w:p>
    <w:p>
      <w:pPr>
        <w:spacing w:before="0" w:after="0" w:line="80"/>
      </w:pPr>
      <w:r>
        <w:t xml:space="preserve"/>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S3 Gateway Endpoint eliminates $0.045/GB NAT processing on all S3 traffic</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DynamoDB Gateway Endpoint eliminates $0.045/GB NAT processing on all DynamoDB traffic</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No security group rules to manage — routing is automatic via route table entries</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Add to every VPC, every account — there is zero downside</w:t>
      </w:r>
    </w:p>
    <w:p>
      <w:pPr>
        <w:spacing w:before="0" w:after="0" w:line="160"/>
      </w:pPr>
      <w:r>
        <w:t xml:space="preserve"/>
      </w:r>
    </w:p>
    <w:p>
      <w:pPr>
        <w:pStyle w:val="Heading2"/>
      </w:pPr>
      <w:r>
        <w:rPr>
          <w:rFonts w:ascii="Arial" w:cs="Arial" w:eastAsia="Arial" w:hAnsi="Arial"/>
          <w:b/>
          <w:bCs/>
          <w:color w:val="2563EB"/>
          <w:sz w:val="28"/>
          <w:szCs w:val="28"/>
        </w:rPr>
        <w:t xml:space="preserve">8.2  Centralize Endpoints with Shared Services VPC</w:t>
      </w:r>
    </w:p>
    <w:p>
      <w:pPr>
        <w:spacing w:before="60" w:after="100" w:line="300" w:lineRule="auto"/>
      </w:pPr>
      <w:r>
        <w:rPr>
          <w:rFonts w:ascii="Arial" w:cs="Arial" w:eastAsia="Arial" w:hAnsi="Arial"/>
          <w:color w:val="475569"/>
          <w:sz w:val="20"/>
          <w:szCs w:val="20"/>
        </w:rPr>
        <w:t xml:space="preserve">In multi-VPC architectures, deploying Interface Endpoints in a centralized "shared services" or "hub" VPC and sharing them via AWS Transit Gateway (or VPC Peering + Route53 Resolver) avoids duplicating $7.30/AZ/month per endpoint across every spoke VPC.</w:t>
      </w:r>
    </w:p>
    <w:p>
      <w:pPr>
        <w:spacing w:before="0" w:after="0" w:line="80"/>
      </w:pPr>
      <w:r>
        <w:t xml:space="preserve"/>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Single set of endpoints shared across 10 VPCs saves ~$65.70/endpoint/AZ/month versus 10 independent deployments</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Requires Route 53 private hosted zone forwarding or Resolver Rules for DNS resolution in spoke VPCs</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Transit Gateway attachment cost ($0.05/hr per attachment) must be factored into the break-even calculation</w:t>
      </w:r>
    </w:p>
    <w:p>
      <w:pPr>
        <w:spacing w:before="0" w:after="0" w:line="160"/>
      </w:pPr>
      <w:r>
        <w:t xml:space="preserve"/>
      </w:r>
    </w:p>
    <w:p>
      <w:pPr>
        <w:pStyle w:val="Heading2"/>
      </w:pPr>
      <w:r>
        <w:rPr>
          <w:rFonts w:ascii="Arial" w:cs="Arial" w:eastAsia="Arial" w:hAnsi="Arial"/>
          <w:b/>
          <w:bCs/>
          <w:color w:val="2563EB"/>
          <w:sz w:val="28"/>
          <w:szCs w:val="28"/>
        </w:rPr>
        <w:t xml:space="preserve">8.3  Right-Size AZ Coverage</w:t>
      </w:r>
    </w:p>
    <w:p>
      <w:pPr>
        <w:spacing w:before="60" w:after="100" w:line="300" w:lineRule="auto"/>
      </w:pPr>
      <w:r>
        <w:rPr>
          <w:rFonts w:ascii="Arial" w:cs="Arial" w:eastAsia="Arial" w:hAnsi="Arial"/>
          <w:color w:val="475569"/>
          <w:sz w:val="20"/>
          <w:szCs w:val="20"/>
        </w:rPr>
        <w:t xml:space="preserve">For non-production environments, deploying endpoints in fewer AZs reduces fixed costs proportionally. A single-AZ development environment pays one-third the fixed cost of a 3-AZ production setup with no change in functionality.</w:t>
      </w:r>
    </w:p>
    <w:p>
      <w:pPr>
        <w:spacing w:before="0" w:after="0" w:line="80"/>
      </w:pPr>
      <w:r>
        <w:t xml:space="preserve"/>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Dev/test: 1 AZ → ~$7.30/endpoint/month</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Staging: 2 AZ → ~$14.60/endpoint/month</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Production: 3 AZ → ~$21.90/endpoint/month (full HA)</w:t>
      </w:r>
    </w:p>
    <w:p>
      <w:pPr>
        <w:spacing w:before="0" w:after="0" w:line="160"/>
      </w:pPr>
      <w:r>
        <w:t xml:space="preserve"/>
      </w:r>
    </w:p>
    <w:p>
      <w:pPr>
        <w:pStyle w:val="Heading2"/>
      </w:pPr>
      <w:r>
        <w:rPr>
          <w:rFonts w:ascii="Arial" w:cs="Arial" w:eastAsia="Arial" w:hAnsi="Arial"/>
          <w:b/>
          <w:bCs/>
          <w:color w:val="2563EB"/>
          <w:sz w:val="28"/>
          <w:szCs w:val="28"/>
        </w:rPr>
        <w:t xml:space="preserve">8.4  Audit Unused Endpoints</w:t>
      </w:r>
    </w:p>
    <w:p>
      <w:pPr>
        <w:spacing w:before="60" w:after="100" w:line="300" w:lineRule="auto"/>
      </w:pPr>
      <w:r>
        <w:rPr>
          <w:rFonts w:ascii="Arial" w:cs="Arial" w:eastAsia="Arial" w:hAnsi="Arial"/>
          <w:color w:val="475569"/>
          <w:sz w:val="20"/>
          <w:szCs w:val="20"/>
        </w:rPr>
        <w:t xml:space="preserve">Interface Endpoints are billed from creation to deletion regardless of traffic volume. Endpoints with zero or near-zero data throughput for 30+ days should be reviewed for decommissioning.</w:t>
      </w:r>
    </w:p>
    <w:p>
      <w:pPr>
        <w:spacing w:before="0" w:after="0" w:line="80"/>
      </w:pPr>
      <w:r>
        <w:t xml:space="preserve"/>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Use AWS Cost Explorer with the "Usage Type" filter for DataTransfer-Regional-Bytes to identify low-traffic endpoints</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Set up CloudWatch Metric alarms on VPC endpoint BytesProcessed to detect idle endpoints</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Use the terraform-aws-vpc-endpoints module's enabled = false flag to stage removal without losing configuration</w:t>
      </w:r>
    </w:p>
    <w:p>
      <w:pPr>
        <w:spacing w:before="0" w:after="0" w:line="160"/>
      </w:pPr>
      <w:r>
        <w:t xml:space="preserve"/>
      </w:r>
    </w:p>
    <w:p>
      <w:pPr>
        <w:pStyle w:val="Heading2"/>
      </w:pPr>
      <w:r>
        <w:rPr>
          <w:rFonts w:ascii="Arial" w:cs="Arial" w:eastAsia="Arial" w:hAnsi="Arial"/>
          <w:b/>
          <w:bCs/>
          <w:color w:val="2563EB"/>
          <w:sz w:val="28"/>
          <w:szCs w:val="28"/>
        </w:rPr>
        <w:t xml:space="preserve">8.5  Endpoint Policies to Prevent Data Exfiltration</w:t>
      </w:r>
    </w:p>
    <w:p>
      <w:pPr>
        <w:spacing w:before="60" w:after="100" w:line="300" w:lineRule="auto"/>
      </w:pPr>
      <w:r>
        <w:rPr>
          <w:rFonts w:ascii="Arial" w:cs="Arial" w:eastAsia="Arial" w:hAnsi="Arial"/>
          <w:color w:val="475569"/>
          <w:sz w:val="20"/>
          <w:szCs w:val="20"/>
        </w:rPr>
        <w:t xml:space="preserve">Beyond cost, attaching restrictive IAM resource policies to endpoints prevents unexpected usage that could inflate data processing charges. Scope policies to specific S3 bucket prefixes, KMS key ARNs, or account IDs to enforce least-privilege access and cost attribution.</w:t>
      </w:r>
    </w:p>
    <w:p>
      <w:pPr>
        <w:spacing w:before="0" w:after="0" w:line="200"/>
      </w:pPr>
      <w:r>
        <w:t xml:space="preserve"/>
      </w:r>
    </w:p>
    <w:p>
      <w:pPr>
        <w:pStyle w:val="Heading1"/>
      </w:pPr>
      <w:r>
        <w:rPr>
          <w:rFonts w:ascii="Arial" w:cs="Arial" w:eastAsia="Arial" w:hAnsi="Arial"/>
          <w:b/>
          <w:bCs/>
          <w:color w:val="1B2A4A"/>
          <w:sz w:val="40"/>
          <w:szCs w:val="40"/>
        </w:rPr>
        <w:t xml:space="preserve">9. Quick Reference Summary</w:t>
      </w:r>
    </w:p>
    <w:p>
      <w:pPr>
        <w:pBdr>
          <w:bottom w:val="single" w:color="2563EB" w:sz="8" w:space="1"/>
        </w:pBdr>
        <w:spacing w:before="8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2640"/>
      </w:tblGrid>
      <w:tr>
        <w:trPr>
          <w:tblHeader/>
        </w:trPr>
        <w:tc>
          <w:tcPr>
            <w:tcW w:type="dxa" w:w="240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Endpoint Type</w:t>
            </w:r>
          </w:p>
        </w:tc>
        <w:tc>
          <w:tcPr>
            <w:tcW w:type="dxa" w:w="16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Hourly / AZ</w:t>
            </w:r>
          </w:p>
        </w:tc>
        <w:tc>
          <w:tcPr>
            <w:tcW w:type="dxa" w:w="16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Monthly / AZ</w:t>
            </w:r>
          </w:p>
        </w:tc>
        <w:tc>
          <w:tcPr>
            <w:tcW w:type="dxa" w:w="168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Data / GB</w:t>
            </w:r>
          </w:p>
        </w:tc>
        <w:tc>
          <w:tcPr>
            <w:tcW w:type="dxa" w:w="2640"/>
            <w:tcBorders>
              <w:top w:val="single" w:color="CBD5E1" w:sz="1"/>
              <w:left w:val="single" w:color="CBD5E1" w:sz="1"/>
              <w:bottom w:val="single" w:color="CBD5E1" w:sz="1"/>
              <w:right w:val="single" w:color="CBD5E1" w:sz="1"/>
            </w:tcBorders>
            <w:shd w:fill="1B2A4A" w:color="auto"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When to Use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475569"/>
                <w:sz w:val="18"/>
                <w:szCs w:val="18"/>
              </w:rPr>
              <w:t xml:space="preserve">Gateway (S3 / DynamoDB)</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FREE</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FREE</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bCs/>
                <w:i w:val="false"/>
                <w:iCs w:val="false"/>
                <w:color w:val="15803D"/>
                <w:sz w:val="18"/>
                <w:szCs w:val="18"/>
              </w:rPr>
              <w:t xml:space="preserve">FREE</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Always — zero cost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 (AWS services)</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Private access to 200+ services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Interface (3rd-party PrivateLink)</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SaaS / partner services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Gateway Load Balancer</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~$7.30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Inline security appliances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Resource Endpoint</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$0.020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~$14.40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$0.010–$0.004</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475569"/>
                <w:sz w:val="18"/>
                <w:szCs w:val="18"/>
              </w:rPr>
              <w:t xml:space="preserve">Specific VPC resource sharing</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iCs/>
                <w:color w:val="475569"/>
                <w:sz w:val="18"/>
                <w:szCs w:val="18"/>
              </w:rPr>
              <w:t xml:space="preserve">NAT Gateway (comparison)</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$0.045</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~$32.40</w:t>
            </w:r>
          </w:p>
        </w:tc>
        <w:tc>
          <w:tcPr>
            <w:tcW w:type="dxa" w:w="16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DC2626"/>
                <w:sz w:val="18"/>
                <w:szCs w:val="18"/>
              </w:rPr>
              <w:t xml:space="preserve">$0.045</w:t>
            </w:r>
          </w:p>
        </w:tc>
        <w:tc>
          <w:tcPr>
            <w:tcW w:type="dxa" w:w="264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pPr>
              <w:jc w:val="left"/>
            </w:pPr>
            <w:r>
              <w:rPr>
                <w:rFonts w:ascii="Arial" w:cs="Arial" w:eastAsia="Arial" w:hAnsi="Arial"/>
                <w:b w:val="false"/>
                <w:bCs w:val="false"/>
                <w:i/>
                <w:iCs/>
                <w:color w:val="475569"/>
                <w:sz w:val="18"/>
                <w:szCs w:val="18"/>
              </w:rPr>
              <w:t xml:space="preserve">Internet / non-AWS endpoints only</w:t>
            </w:r>
          </w:p>
        </w:tc>
      </w:tr>
    </w:tbl>
    <w:p>
      <w:pPr>
        <w:spacing w:before="0" w:after="0" w:line="80"/>
      </w:pPr>
      <w:r>
        <w:t xml:space="preserve"/>
      </w:r>
    </w:p>
    <w:p>
      <w:pPr>
        <w:pBdr>
          <w:left w:val="single" w:color="0D9488" w:sz="12" w:space="8"/>
        </w:pBdr>
        <w:spacing w:before="60" w:after="100"/>
        <w:ind w:left="240"/>
      </w:pPr>
      <w:r>
        <w:rPr>
          <w:rFonts w:ascii="Arial" w:cs="Arial" w:eastAsia="Arial" w:hAnsi="Arial"/>
          <w:i/>
          <w:iCs/>
          <w:color w:val="0D9488"/>
          <w:sz w:val="18"/>
          <w:szCs w:val="18"/>
        </w:rPr>
        <w:t xml:space="preserve">📌  Prices shown are for us-east-1 as of February 2025. Always verify current rates on the AWS PrivateLink Pricing page before budgeting.</w:t>
      </w:r>
    </w:p>
    <w:p>
      <w:pPr>
        <w:spacing w:before="0" w:after="0" w:line="160"/>
      </w:pPr>
      <w:r>
        <w:t xml:space="preserve"/>
      </w:r>
    </w:p>
    <w:p>
      <w:pPr>
        <w:pStyle w:val="Heading1"/>
      </w:pPr>
      <w:r>
        <w:rPr>
          <w:rFonts w:ascii="Arial" w:cs="Arial" w:eastAsia="Arial" w:hAnsi="Arial"/>
          <w:b/>
          <w:bCs/>
          <w:color w:val="1B2A4A"/>
          <w:sz w:val="40"/>
          <w:szCs w:val="40"/>
        </w:rPr>
        <w:t xml:space="preserve">10. References</w:t>
      </w:r>
    </w:p>
    <w:p>
      <w:pPr>
        <w:pBdr>
          <w:bottom w:val="single" w:color="2563EB" w:sz="8" w:space="1"/>
        </w:pBdr>
        <w:spacing w:before="80" w:after="80"/>
      </w:pPr>
    </w:p>
    <w:p>
      <w:pPr>
        <w:spacing w:before="60" w:after="100" w:line="300" w:lineRule="auto"/>
      </w:pPr>
      <w:r>
        <w:rPr>
          <w:rFonts w:ascii="Arial" w:cs="Arial" w:eastAsia="Arial" w:hAnsi="Arial"/>
          <w:color w:val="475569"/>
          <w:sz w:val="20"/>
          <w:szCs w:val="20"/>
        </w:rPr>
        <w:t xml:space="preserve">AWS Official Pricing:</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AWS PrivateLink Pricing — https://aws.amazon.com/privatelink/pricing/</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Amazon VPC Pricing — https://aws.amazon.com/vpc/pricing/</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Amazon EC2 Data Transfer Pricing — https://aws.amazon.com/ec2/pricing/on-demand/#Data_Transfer</w:t>
      </w:r>
    </w:p>
    <w:p>
      <w:pPr>
        <w:spacing w:before="0" w:after="0" w:line="80"/>
      </w:pPr>
      <w:r>
        <w:t xml:space="preserve"/>
      </w:r>
    </w:p>
    <w:p>
      <w:pPr>
        <w:spacing w:before="60" w:after="100" w:line="300" w:lineRule="auto"/>
      </w:pPr>
      <w:r>
        <w:rPr>
          <w:rFonts w:ascii="Arial" w:cs="Arial" w:eastAsia="Arial" w:hAnsi="Arial"/>
          <w:color w:val="475569"/>
          <w:sz w:val="20"/>
          <w:szCs w:val="20"/>
        </w:rPr>
        <w:t xml:space="preserve">Module Documentation:</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terraform-aws-vpc-endpoints — module source and examples</w:t>
      </w:r>
    </w:p>
    <w:p>
      <w:pPr>
        <w:pStyle w:val="ListParagraph"/>
        <w:numPr>
          <w:ilvl w:val="0"/>
          <w:numId w:val="2"/>
        </w:numPr>
        <w:spacing w:before="40" w:after="40" w:line="280"/>
      </w:pPr>
      <w:r>
        <w:rPr>
          <w:rFonts w:ascii="Arial" w:cs="Arial" w:eastAsia="Arial" w:hAnsi="Arial"/>
          <w:b w:val="false"/>
          <w:bCs w:val="false"/>
          <w:color w:val="475569"/>
          <w:sz w:val="20"/>
          <w:szCs w:val="20"/>
        </w:rPr>
        <w:t xml:space="preserve">AWS VPC Endpoints User Guide — https://docs.aws.amazon.com/vpc/latest/privatelink/</w:t>
      </w:r>
    </w:p>
    <w:p>
      <w:pPr>
        <w:spacing w:before="0" w:after="0" w:line="160"/>
      </w:pPr>
      <w:r>
        <w:t xml:space="preserve"/>
      </w:r>
    </w:p>
    <w:p>
      <w:pPr>
        <w:pBdr>
          <w:top w:val="single" w:color="2563EB" w:sz="8"/>
        </w:pBdr>
        <w:spacing w:before="120" w:after="0"/>
        <w:jc w:val="center"/>
      </w:pPr>
      <w:r>
        <w:rPr>
          <w:rFonts w:ascii="Arial" w:cs="Arial" w:eastAsia="Arial" w:hAnsi="Arial"/>
          <w:i/>
          <w:iCs/>
          <w:color w:val="94A3B8"/>
          <w:sz w:val="16"/>
          <w:szCs w:val="16"/>
        </w:rPr>
        <w:t xml:space="preserve">This document is generated from the terraform-aws-vpc-endpoints module — February 2025</w:t>
      </w:r>
    </w:p>
    <w:sectPr>
      <w:headerReference w:type="default" r:id="rId6"/>
      <w:footerReference w:type="default" r:id="rId7"/>
      <w:pgSz w:w="12240" w:h="15840" w:orient="portrait"/>
      <w:pgMar w:top="1080" w:right="1080" w:bottom="12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pBdr>
      <w:spacing w:before="80" w:after="0"/>
      <w:jc w:val="right"/>
    </w:pPr>
    <w:r>
      <w:rPr>
        <w:rFonts w:ascii="Arial" w:cs="Arial" w:eastAsia="Arial" w:hAnsi="Arial"/>
        <w:color w:val="94A3B8"/>
        <w:sz w:val="16"/>
        <w:szCs w:val="16"/>
      </w:rPr>
      <w:t xml:space="preserve">terraform-aws-vpc-endpoints  ·  AWS VPC Endpoint Pricing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pBdr>
      <w:spacing w:before="0" w:after="80"/>
    </w:pPr>
    <w:r>
      <w:rPr>
        <w:rFonts w:ascii="Arial" w:cs="Arial" w:eastAsia="Arial" w:hAnsi="Arial"/>
        <w:color w:val="475569"/>
        <w:sz w:val="16"/>
        <w:szCs w:val="16"/>
      </w:rPr>
      <w:t xml:space="preserve">AWS VPC Endpoints — Pricing Reference Guide</w:t>
    </w:r>
    <w:r>
      <w:rPr>
        <w:rFonts w:ascii="Arial" w:cs="Arial" w:eastAsia="Arial" w:hAnsi="Arial"/>
        <w:color w:val="94A3B8"/>
        <w:sz w:val="16"/>
        <w:szCs w:val="16"/>
      </w:rPr>
      <w:t xml:space="preserve">        Confidential · February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2026-02-17T16:30:09.690Z</dcterms:created>
  <dcterms:modified xsi:type="dcterms:W3CDTF">2026-02-17T16:30:09.690Z</dcterms:modified>
</cp:coreProperties>
</file>

<file path=docProps/custom.xml><?xml version="1.0" encoding="utf-8"?>
<Properties xmlns="http://schemas.openxmlformats.org/officeDocument/2006/custom-properties" xmlns:vt="http://schemas.openxmlformats.org/officeDocument/2006/docPropsVTypes"/>
</file>