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9DC06C3" w14:textId="77777777" w:rsidR="00662939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32B29D1" w14:textId="060126A1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9F01B7A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014A1D4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269287B" w14:textId="4CC720E1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5742CA14" w14:textId="0E45361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4F4179" w14:textId="103844A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38FA17D" w14:textId="59AF8F8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9F90539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385CA0D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51B770" w14:textId="7148384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A8B0A9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78E3477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443123" w14:textId="759671E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3F1E028D" w14:textId="279DAE6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D54B835" w14:textId="6737568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62BB30E" w14:textId="50FFD8C7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80E5D8" w14:textId="3507071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CFE6D6D" w14:textId="2E3C7D0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B8E642" w14:textId="2D2C11D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B664EF7" w14:textId="676E23A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F01D2B" w14:textId="159EA49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C9BC062" w14:textId="793A54DB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E302733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315542" w14:paraId="24FF1C6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CC4352" w14:textId="66D7F040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vAlign w:val="center"/>
          </w:tcPr>
          <w:p w14:paraId="233F7E60" w14:textId="797C94C4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5DFFDB1" w14:textId="79096BE1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1460D2" w14:textId="30232D7D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1D312E2" w14:textId="362F2422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9884396" w14:textId="2AFA876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B95C960" w14:textId="682A8A4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5B59B1" w14:textId="4308E28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78CB1D9" w14:textId="46E60E42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C3AFBB9" w14:textId="77777777" w:rsidR="00592D99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7A6F6A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315542" w:rsidRDefault="00315542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</w:t>
            </w:r>
            <w:r w:rsidR="008D0D27">
              <w:rPr>
                <w:sz w:val="24"/>
                <w:szCs w:val="24"/>
                <w:lang w:val="en-US"/>
              </w:rPr>
              <w:t xml:space="preserve">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ACC26F4" w14:textId="2071B9DC" w:rsidR="00592D99" w:rsidRPr="00965EBC" w:rsidRDefault="00046E8F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6B4116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6B4116" w:rsidRPr="00965EBC" w:rsidRDefault="006B4116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1A5869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1A5869" w:rsidRDefault="001A5869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1A5869" w:rsidRDefault="001B163C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A5869">
              <w:rPr>
                <w:sz w:val="24"/>
                <w:szCs w:val="24"/>
                <w:lang w:val="en-US"/>
              </w:rPr>
              <w:t>0k-9.9k-11k</w:t>
            </w:r>
          </w:p>
          <w:p w14:paraId="2D0BD112" w14:textId="21E55C43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1A5869" w:rsidRDefault="00C44616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1A5869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  <w:p w14:paraId="6C80F64B" w14:textId="01905A85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1A5869" w:rsidRPr="00965EBC" w:rsidRDefault="001D570C" w:rsidP="001A586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lastRenderedPageBreak/>
              <w:t>2020-07-26_10-54_directCNN</w:t>
            </w:r>
          </w:p>
        </w:tc>
      </w:tr>
      <w:tr w:rsidR="001121F5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1121F5" w:rsidRDefault="00813CF1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1121F5"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1121F5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3A7A2A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1121F5" w:rsidRPr="00965EBC" w:rsidRDefault="003A7A2A" w:rsidP="001121F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3A7A2A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3A7A2A" w:rsidRDefault="003A7A2A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3A7A2A" w:rsidRDefault="002760B6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3A7A2A">
              <w:rPr>
                <w:sz w:val="24"/>
                <w:szCs w:val="24"/>
                <w:lang w:val="en-US"/>
              </w:rPr>
              <w:t>k-9.9k-11k</w:t>
            </w:r>
          </w:p>
          <w:p w14:paraId="45019A5F" w14:textId="39B87695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3A7A2A" w:rsidRDefault="00BB2A58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0B5315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3A7A2A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3A7A2A" w:rsidRPr="00965EBC" w:rsidRDefault="00803D75" w:rsidP="003A7A2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CF6F31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CF6F31" w:rsidRDefault="00CF6F31" w:rsidP="00CF6F3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CF6F31" w:rsidRDefault="00CF6F31" w:rsidP="00CF6F3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BF020C1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77777777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CF6F31" w:rsidRDefault="00CF6F31" w:rsidP="00CF6F3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CF6F31" w:rsidRDefault="00CF6F31" w:rsidP="00CF6F3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</w:t>
            </w:r>
            <w:r w:rsidR="00B6415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A602E1" w:rsidRDefault="00A602E1" w:rsidP="00A602E1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CF6F31" w:rsidRDefault="00A602E1" w:rsidP="00CF6F31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A602E1" w:rsidRPr="00965EBC" w:rsidRDefault="00A602E1" w:rsidP="00CF6F31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B4116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82B11A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6B4116" w:rsidRDefault="003C4FC8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F1B764D" w14:textId="00B538A1" w:rsidR="006B4116" w:rsidRDefault="00A83BB9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</w:t>
            </w:r>
            <w:r w:rsidR="0027640E">
              <w:rPr>
                <w:sz w:val="24"/>
                <w:szCs w:val="24"/>
                <w:lang w:val="en-US"/>
              </w:rPr>
              <w:t xml:space="preserve"> 18083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96CDD4D" w14:textId="562416B5" w:rsidR="0027640E" w:rsidRDefault="0027640E" w:rsidP="0027640E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3B965F09" w14:textId="51F259D3" w:rsidR="006B4116" w:rsidRPr="00965EBC" w:rsidRDefault="0027640E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A83BB9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3B30FA67" w14:textId="4EFBD8D6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A83BB9" w:rsidRDefault="00485A61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A83BB9" w:rsidRDefault="00485A61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A83BB9" w:rsidRDefault="00485A61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A83BB9" w:rsidRDefault="00962C32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6BC2F471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31287DD3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796FDB58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533EBB0D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485A61" w:rsidRDefault="00485A61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1203B15" w14:textId="77777777" w:rsidR="00485A61" w:rsidRDefault="00485A61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1F7546" w14:textId="5E85E147" w:rsidR="00485A61" w:rsidRDefault="00485A61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6CA3101C" w14:textId="51472EC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4466187" w14:textId="38EDA3A6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AAECEF4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AB16B8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3774C86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74937F9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49EC2FC8" w14:textId="03E70323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51DDE58" w14:textId="60273862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4EF335C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0EB73AFE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79F488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7A6BCC7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FC94A8E" w14:textId="62A5010C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375367B5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2B791C1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1FA553A4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612A2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A5B28F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086F0FB" w14:textId="49BFEC65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15BE681E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67BE4C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36C976" w14:textId="544CFFDA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DCAD5D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7777777" w:rsidR="00A83BB9" w:rsidRDefault="00A83BB9" w:rsidP="00A83BB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30DB956D" w14:textId="0FDA35F3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3003D1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B350BB9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D0FAD05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6D798D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BDCDCE1" w14:textId="44AD06D0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3128898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90EF56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DEA380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D735D4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DCF0BD7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B063223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A83BB9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A83BB9" w:rsidRDefault="00A83BB9" w:rsidP="00A83BB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A83BB9" w:rsidRDefault="00A83BB9" w:rsidP="00A83BB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A83BB9" w:rsidRPr="00965EBC" w:rsidRDefault="00A83BB9" w:rsidP="00A83BB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lastRenderedPageBreak/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79EF"/>
    <w:rsid w:val="00033652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5869"/>
    <w:rsid w:val="001B163C"/>
    <w:rsid w:val="001B17A7"/>
    <w:rsid w:val="001D570C"/>
    <w:rsid w:val="001E6DCB"/>
    <w:rsid w:val="001F2C61"/>
    <w:rsid w:val="00202ADB"/>
    <w:rsid w:val="00203F73"/>
    <w:rsid w:val="0022214D"/>
    <w:rsid w:val="002270FC"/>
    <w:rsid w:val="00231D07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31008A"/>
    <w:rsid w:val="00315542"/>
    <w:rsid w:val="00321C2B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63A0"/>
    <w:rsid w:val="00992640"/>
    <w:rsid w:val="009B631B"/>
    <w:rsid w:val="009D2EDD"/>
    <w:rsid w:val="009D4356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2F9B"/>
    <w:rsid w:val="00B6174D"/>
    <w:rsid w:val="00B6312C"/>
    <w:rsid w:val="00B64151"/>
    <w:rsid w:val="00B64629"/>
    <w:rsid w:val="00B6759E"/>
    <w:rsid w:val="00B677F9"/>
    <w:rsid w:val="00BA139B"/>
    <w:rsid w:val="00BA5216"/>
    <w:rsid w:val="00BB2A58"/>
    <w:rsid w:val="00BC28BB"/>
    <w:rsid w:val="00BC731D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B6E"/>
    <w:rsid w:val="00C518B4"/>
    <w:rsid w:val="00C56A2D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80F26"/>
    <w:rsid w:val="00DA3D79"/>
    <w:rsid w:val="00DB2A1C"/>
    <w:rsid w:val="00DB5B1A"/>
    <w:rsid w:val="00DB6CED"/>
    <w:rsid w:val="00DC0FFD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674B6"/>
    <w:rsid w:val="00F71803"/>
    <w:rsid w:val="00F903E5"/>
    <w:rsid w:val="00F9135E"/>
    <w:rsid w:val="00F97D18"/>
    <w:rsid w:val="00FA78A5"/>
    <w:rsid w:val="00FB2686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10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321</cp:revision>
  <dcterms:created xsi:type="dcterms:W3CDTF">2020-07-17T15:52:00Z</dcterms:created>
  <dcterms:modified xsi:type="dcterms:W3CDTF">2020-07-27T21:15:00Z</dcterms:modified>
</cp:coreProperties>
</file>