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003D4C"/>
          <w:sz w:val="30"/>
          <w:szCs w:val="30"/>
        </w:rPr>
        <w:t xml:space="preserve">План внедрения: от эталона к разработке</w:t>
      </w:r>
    </w:p>
    <w:p>
      <w:pPr>
        <w:spacing w:after="20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Процесс «Управление план-фактом и прогнозом», домен 14.1. Роли в плане обезличены: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менеджер процесса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(бизнес-сторона) и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лидер цифровизации от ИТ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(ИТ-сторона: и анализ логов, и последующая разработка — эти треки слабо пересекаются по времени). Конкретные люди подставляются на месте.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3D4C"/>
          <w:sz w:val="25"/>
          <w:szCs w:val="25"/>
        </w:rPr>
        <w:t xml:space="preserve">1. Образ результата программы</w:t>
      </w:r>
    </w:p>
    <w:p>
      <w:pPr>
        <w:spacing w:after="8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Результат меряется вехами, каждая проверяема, ни одна не привязана к календарной дате жёстко:</w:t>
      </w:r>
    </w:p>
    <w:p>
      <w:pPr>
        <w:spacing w:after="60" w:line="276" w:lineRule="auto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8C95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Веха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Пакет данных для майнинга подтверждён: опись сдана, по трём фундаментальным вопросам даны вердикты — консистентность маскировки, наличие объектных идентификаторов, фактическая глубина следов.</w:t>
      </w:r>
    </w:p>
    <w:p>
      <w:pPr>
        <w:spacing w:after="60" w:line="276" w:lineRule="auto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8C95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Веха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Черновики по всем пакетам с цифровыми следами готовы и разосланы владельцам; по пакетам без следов — явная пометка «заполняется с нуля».</w:t>
      </w:r>
    </w:p>
    <w:p>
      <w:pPr>
        <w:spacing w:after="60" w:line="276" w:lineRule="auto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8C95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Веха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Шаблоны заполнены владельцами: в каждом поле ответ или «не знаю, уточнить у такой-то роли», пустых полей нет.</w:t>
      </w:r>
    </w:p>
    <w:p>
      <w:pPr>
        <w:spacing w:after="60" w:line="276" w:lineRule="auto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8C95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Веха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Сверка «сказанное против фактического» пройдена, расхождения разобраны на встречах, не в переписке.</w:t>
      </w:r>
    </w:p>
    <w:p>
      <w:pPr>
        <w:spacing w:after="60" w:line="276" w:lineRule="auto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8C95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Веха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Первые постановки на разработку волны 0 (Ш1, Ш2, след П3, первичные пороги П4) приняты обеими ролями.</w:t>
      </w:r>
    </w:p>
    <w:p>
      <w:pPr>
        <w:spacing w:after="60" w:line="276" w:lineRule="auto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8C95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Веха 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Первый работающий результат: живой реестр сигналов на пилотном дивизионе вместо замечаний, рассыпанных по презентациям.</w:t>
      </w:r>
    </w:p>
    <w:p>
      <w:pPr>
        <w:spacing w:after="12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Полнота источника: в эталоне есть все обязательные разделы — легенда, кольцевая карта, таблица «как сейчас → сложность → решение», реестры агентов, контролей и данных. Колонки «как сейчас» в источнике пусты по построению первого прохода — их закрытие и есть задача этого пакета, пробелом это не считается. Профильной ветки как отдельного набора шагов у процесса нет: профили В1–В4 — разновидности сигнала внутри одного кольца, они разбираются в шаблонах шагов.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3D4C"/>
          <w:sz w:val="25"/>
          <w:szCs w:val="25"/>
        </w:rPr>
        <w:t xml:space="preserve">2. План действий по ролям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08C95"/>
          <w:sz w:val="22"/>
          <w:szCs w:val="22"/>
        </w:rPr>
        <w:t xml:space="preserve">Менеджер процесса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03D4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Когда</w:t>
            </w:r>
          </w:p>
        </w:tc>
        <w:tc>
          <w:tcPr>
            <w:tcW w:type="dxa" w:w="75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03D4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2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Неделя 0</w:t>
            </w:r>
          </w:p>
        </w:tc>
        <w:tc>
          <w:tcPr>
            <w:tcW w:type="dxa" w:w="75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Открывает программу: стартовая коммуникация владельцам шагов — зачем пакет, почему поля «как сейчас» пусты и кто принесёт черновики. Назначает оперативных владельцев пакетов (раздел 3).</w:t>
            </w:r>
          </w:p>
        </w:tc>
      </w:tr>
      <w:tr>
        <w:tc>
          <w:tcPr>
            <w:tcW w:type="dxa" w:w="2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Недели 0–7</w:t>
            </w:r>
          </w:p>
        </w:tc>
        <w:tc>
          <w:tcPr>
            <w:tcW w:type="dxa" w:w="75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Берёт операционное владение шагом Ш6 «Принятие решения» как пилотным: это самый проработанный и самый чувствительный шаг эталона — мандаты, порог автономии, контроли К-05 и К-06. На нём отрабатывается качество заполнения для остальных.</w:t>
            </w:r>
          </w:p>
        </w:tc>
      </w:tr>
      <w:tr>
        <w:tc>
          <w:tcPr>
            <w:tcW w:type="dxa" w:w="2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Недели 3–5</w:t>
            </w:r>
          </w:p>
        </w:tc>
        <w:tc>
          <w:tcPr>
            <w:tcW w:type="dxa" w:w="75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Разблокирует бизнес-вопросы владельцев: споры о границах шагов, «чьё это правило», доступ к методологам. Норматив реакции — два рабочих дня.</w:t>
            </w:r>
          </w:p>
        </w:tc>
      </w:tr>
      <w:tr>
        <w:tc>
          <w:tcPr>
            <w:tcW w:type="dxa" w:w="2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Неделя 5</w:t>
            </w:r>
          </w:p>
        </w:tc>
        <w:tc>
          <w:tcPr>
            <w:tcW w:type="dxa" w:w="75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Участвует в приёмке результатов сверки: расхождения «сказанное против фактического» разбираются с владельцами содержательно, без поиска виноватых.</w:t>
            </w:r>
          </w:p>
        </w:tc>
      </w:tr>
      <w:tr>
        <w:tc>
          <w:tcPr>
            <w:tcW w:type="dxa" w:w="2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Недели 6–7</w:t>
            </w:r>
          </w:p>
        </w:tc>
        <w:tc>
          <w:tcPr>
            <w:tcW w:type="dxa" w:w="75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Подписывает регламент перехода от ручного контроля к автономному решению агента: пороги старта, порядок повышения автономии по данным калибровки, право отката.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008C95"/>
          <w:sz w:val="22"/>
          <w:szCs w:val="22"/>
        </w:rPr>
        <w:t xml:space="preserve">Лидер цифровизации от ИТ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03D4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Когда</w:t>
            </w:r>
          </w:p>
        </w:tc>
        <w:tc>
          <w:tcPr>
            <w:tcW w:type="dxa" w:w="75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03D4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2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Неделя 0</w:t>
            </w:r>
          </w:p>
        </w:tc>
        <w:tc>
          <w:tcPr>
            <w:tcW w:type="dxa" w:w="75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Подтверждает состав пакета данных для майнинга: какие журналы, из каких систем, за какой период. Заказывает технические доступы. Запускает интеграционную разведку и согласования с безопасностью и юридической функцией — именно с недели 0, не «когда дойдут руки»: поздние ограничения здесь — типовая ошибка таких программ.</w:t>
            </w:r>
          </w:p>
        </w:tc>
      </w:tr>
      <w:tr>
        <w:tc>
          <w:tcPr>
            <w:tcW w:type="dxa" w:w="2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Недели 1–2</w:t>
            </w:r>
          </w:p>
        </w:tc>
        <w:tc>
          <w:tcPr>
            <w:tcW w:type="dxa" w:w="75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Принимает данные и строит единую событийную базу по инструменту из папки 4 (Промпт 2а, этапы 1–3): опись, база, связность. Артефакт — паспорт данных с вердиктами.</w:t>
            </w:r>
          </w:p>
        </w:tc>
      </w:tr>
      <w:tr>
        <w:tc>
          <w:tcPr>
            <w:tcW w:type="dxa" w:w="2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Недели 2–3</w:t>
            </w:r>
          </w:p>
        </w:tc>
        <w:tc>
          <w:tcPr>
            <w:tcW w:type="dxa" w:w="75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Раскладывает базу по пакетам (этап 4 того же инструмента), готовит черновики и рассылает владельцам вместе с шаблонами. Пакетам без следов — явная пометка.</w:t>
            </w:r>
          </w:p>
        </w:tc>
      </w:tr>
      <w:tr>
        <w:tc>
          <w:tcPr>
            <w:tcW w:type="dxa" w:w="2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Недели 3–5</w:t>
            </w:r>
          </w:p>
        </w:tc>
        <w:tc>
          <w:tcPr>
            <w:tcW w:type="dxa" w:w="75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Сопровождает заполнение: отвечает на вопросы про черновики, дозапрашивает недостающие данные единым списком.</w:t>
            </w:r>
          </w:p>
        </w:tc>
      </w:tr>
      <w:tr>
        <w:tc>
          <w:tcPr>
            <w:tcW w:type="dxa" w:w="2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Неделя 5</w:t>
            </w:r>
          </w:p>
        </w:tc>
        <w:tc>
          <w:tcPr>
            <w:tcW w:type="dxa" w:w="75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Прогоняет сверку «сказанное против фактического» по уже построенной базе (раздел 5 того же инструмента), без пересборки с нуля. Принимает заполненные шаблоны.</w:t>
            </w:r>
          </w:p>
        </w:tc>
      </w:tr>
      <w:tr>
        <w:tc>
          <w:tcPr>
            <w:tcW w:type="dxa" w:w="2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Недели 6–7</w:t>
            </w:r>
          </w:p>
        </w:tc>
        <w:tc>
          <w:tcPr>
            <w:tcW w:type="dxa" w:w="75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Собирает постановки на разработку волны 0 из заполненных шаблонов и черновиков; фиксирует бэклог.</w:t>
            </w:r>
          </w:p>
        </w:tc>
      </w:tr>
      <w:tr>
        <w:tc>
          <w:tcPr>
            <w:tcW w:type="dxa" w:w="21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Неделя 7 и далее</w:t>
            </w:r>
          </w:p>
        </w:tc>
        <w:tc>
          <w:tcPr>
            <w:tcW w:type="dxa" w:w="75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Стартует разработку волны 0, держит релизный ритм в две недели, ведёт демонстрации владельцам на живых данных.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3D4C"/>
          <w:sz w:val="25"/>
          <w:szCs w:val="25"/>
        </w:rPr>
        <w:t xml:space="preserve">3. Пакеты и владельцы</w:t>
      </w:r>
    </w:p>
    <w:p>
      <w:pPr>
        <w:spacing w:after="8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Владельцы назначаются на месте — структура таблицы готова, имена не придумываются.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1800"/>
        <w:gridCol w:w="1638"/>
      </w:tblGrid>
      <w:tr>
        <w:trPr>
          <w:tblHeader/>
        </w:trPr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03D4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Пакет</w:t>
            </w:r>
          </w:p>
        </w:tc>
        <w:tc>
          <w:tcPr>
            <w:tcW w:type="dxa" w:w="3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03D4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покрывает</w:t>
            </w:r>
          </w:p>
        </w:tc>
        <w:tc>
          <w:tcPr>
            <w:tcW w:type="dxa" w:w="1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03D4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Оперативный владелец</w:t>
            </w:r>
          </w:p>
        </w:tc>
        <w:tc>
          <w:tcPr>
            <w:tcW w:type="dxa" w:w="16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03D4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Куратор</w:t>
            </w:r>
          </w:p>
        </w:tc>
      </w:tr>
      <w:tr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Ш1 · Регистрация сигнала</w:t>
            </w:r>
          </w:p>
        </w:tc>
        <w:tc>
          <w:tcPr>
            <w:tcW w:type="dxa" w:w="3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От прихода факта или события смежного кольца до появления записи сигнала в реестре.</w:t>
            </w:r>
          </w:p>
        </w:tc>
        <w:tc>
          <w:tcPr>
            <w:tcW w:type="dxa" w:w="1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[должность/ФИО по месту]</w:t>
            </w:r>
          </w:p>
        </w:tc>
        <w:tc>
          <w:tcPr>
            <w:tcW w:type="dxa" w:w="16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[куратор от менеджера процесса]</w:t>
            </w:r>
          </w:p>
        </w:tc>
      </w:tr>
      <w:tr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Ш2 · Квалификация и материальность</w:t>
            </w:r>
          </w:p>
        </w:tc>
        <w:tc>
          <w:tcPr>
            <w:tcW w:type="dxa" w:w="3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От зарегистрированного сигнала до присвоенного профиля и вердикта о существенности.</w:t>
            </w:r>
          </w:p>
        </w:tc>
        <w:tc>
          <w:tcPr>
            <w:tcW w:type="dxa" w:w="1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[должность/ФИО по месту]</w:t>
            </w:r>
          </w:p>
        </w:tc>
        <w:tc>
          <w:tcPr>
            <w:tcW w:type="dxa" w:w="16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[куратор от менеджера процесса]</w:t>
            </w:r>
          </w:p>
        </w:tc>
      </w:tr>
      <w:tr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Ш3 · Экономическая диагностика</w:t>
            </w:r>
          </w:p>
        </w:tc>
        <w:tc>
          <w:tcPr>
            <w:tcW w:type="dxa" w:w="3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От существенного сигнала до факторного разложения причин.</w:t>
            </w:r>
          </w:p>
        </w:tc>
        <w:tc>
          <w:tcPr>
            <w:tcW w:type="dxa" w:w="1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[должность/ФИО по месту]</w:t>
            </w:r>
          </w:p>
        </w:tc>
        <w:tc>
          <w:tcPr>
            <w:tcW w:type="dxa" w:w="16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[куратор от менеджера процесса]</w:t>
            </w:r>
          </w:p>
        </w:tc>
      </w:tr>
      <w:tr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Ш4 · Пересчёт прогноза</w:t>
            </w:r>
          </w:p>
        </w:tc>
        <w:tc>
          <w:tcPr>
            <w:tcW w:type="dxa" w:w="3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От диагноза до опубликованной версии прогноза с трассой изменений.</w:t>
            </w:r>
          </w:p>
        </w:tc>
        <w:tc>
          <w:tcPr>
            <w:tcW w:type="dxa" w:w="1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[должность/ФИО по месту]</w:t>
            </w:r>
          </w:p>
        </w:tc>
        <w:tc>
          <w:tcPr>
            <w:tcW w:type="dxa" w:w="16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[куратор от менеджера процесса]</w:t>
            </w:r>
          </w:p>
        </w:tc>
      </w:tr>
      <w:tr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Ш5 · Выработка реакции</w:t>
            </w:r>
          </w:p>
        </w:tc>
        <w:tc>
          <w:tcPr>
            <w:tcW w:type="dxa" w:w="3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От диагноза и пересчитанного прогноза до набора вариантов с ценами и требуемыми мандатами.</w:t>
            </w:r>
          </w:p>
        </w:tc>
        <w:tc>
          <w:tcPr>
            <w:tcW w:type="dxa" w:w="1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[должность/ФИО по месту]</w:t>
            </w:r>
          </w:p>
        </w:tc>
        <w:tc>
          <w:tcPr>
            <w:tcW w:type="dxa" w:w="16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[куратор от менеджера процесса]</w:t>
            </w:r>
          </w:p>
        </w:tc>
      </w:tr>
      <w:tr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Ш6 · Принятие решения</w:t>
            </w:r>
          </w:p>
        </w:tc>
        <w:tc>
          <w:tcPr>
            <w:tcW w:type="dxa" w:w="3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От набора вариантов до зафиксированного решения с мандатом.</w:t>
            </w:r>
          </w:p>
        </w:tc>
        <w:tc>
          <w:tcPr>
            <w:tcW w:type="dxa" w:w="1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[должность/ФИО по месту]</w:t>
            </w:r>
          </w:p>
        </w:tc>
        <w:tc>
          <w:tcPr>
            <w:tcW w:type="dxa" w:w="16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[куратор от менеджера процесса]</w:t>
            </w:r>
          </w:p>
        </w:tc>
      </w:tr>
      <w:tr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Ш7 · Передача в кольца-заказчики</w:t>
            </w:r>
          </w:p>
        </w:tc>
        <w:tc>
          <w:tcPr>
            <w:tcW w:type="dxa" w:w="3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От решения до подтверждённого получения кольцами-заказчиками.</w:t>
            </w:r>
          </w:p>
        </w:tc>
        <w:tc>
          <w:tcPr>
            <w:tcW w:type="dxa" w:w="1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[должность/ФИО по месту]</w:t>
            </w:r>
          </w:p>
        </w:tc>
        <w:tc>
          <w:tcPr>
            <w:tcW w:type="dxa" w:w="16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[куратор от менеджера процесса]</w:t>
            </w:r>
          </w:p>
        </w:tc>
      </w:tr>
      <w:tr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Ш8 · Закрытие фактом и оценка</w:t>
            </w:r>
          </w:p>
        </w:tc>
        <w:tc>
          <w:tcPr>
            <w:tcW w:type="dxa" w:w="3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От исполненного решения до закрытого фактом сигнала и записанной пост-оценки.</w:t>
            </w:r>
          </w:p>
        </w:tc>
        <w:tc>
          <w:tcPr>
            <w:tcW w:type="dxa" w:w="1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[должность/ФИО по месту]</w:t>
            </w:r>
          </w:p>
        </w:tc>
        <w:tc>
          <w:tcPr>
            <w:tcW w:type="dxa" w:w="16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[куратор от менеджера процесса]</w:t>
            </w:r>
          </w:p>
        </w:tc>
      </w:tr>
      <w:tr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Сквозные механизмы П1–П6</w:t>
            </w:r>
          </w:p>
        </w:tc>
        <w:tc>
          <w:tcPr>
            <w:tcW w:type="dxa" w:w="3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Модель, планы и лимиты, след, полномочия, диспетчер, калибровка; каноничность правил.</w:t>
            </w:r>
          </w:p>
        </w:tc>
        <w:tc>
          <w:tcPr>
            <w:tcW w:type="dxa" w:w="1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[должность/ФИО по месту]</w:t>
            </w:r>
          </w:p>
        </w:tc>
        <w:tc>
          <w:tcPr>
            <w:tcW w:type="dxa" w:w="16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[куратор от менеджера процесса]</w:t>
            </w:r>
          </w:p>
        </w:tc>
      </w:tr>
      <w:tr>
        <w:tc>
          <w:tcPr>
            <w:tcW w:type="dxa" w:w="24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Интеграции</w:t>
            </w:r>
          </w:p>
        </w:tc>
        <w:tc>
          <w:tcPr>
            <w:tcW w:type="dxa" w:w="3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Системный ландшафт и девять стыков со смежными кольцами; заполняется по документации и интервью.</w:t>
            </w:r>
          </w:p>
        </w:tc>
        <w:tc>
          <w:tcPr>
            <w:tcW w:type="dxa" w:w="18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[должность/ФИО по месту]</w:t>
            </w:r>
          </w:p>
        </w:tc>
        <w:tc>
          <w:tcPr>
            <w:tcW w:type="dxa" w:w="16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A7A7A"/>
                <w:sz w:val="20"/>
                <w:szCs w:val="20"/>
              </w:rPr>
              <w:t xml:space="preserve">[куратор от менеджера процесса]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3D4C"/>
          <w:sz w:val="25"/>
          <w:szCs w:val="25"/>
        </w:rPr>
        <w:t xml:space="preserve">4. Сводный план по неделям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/>
        </w:trPr>
        <w:tc>
          <w:tcPr>
            <w:tcW w:type="dxa" w:w="1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03D4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Неделя</w:t>
            </w:r>
          </w:p>
        </w:tc>
        <w:tc>
          <w:tcPr>
            <w:tcW w:type="dxa" w:w="81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03D4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dxa" w:w="1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81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Организационный старт: коммуникация, назначение владельцев, подтверждение пакета данных, заказ доступов. Параллельно — старт интеграционной разведки и согласований с безопасностью и юридической функцией.</w:t>
            </w:r>
          </w:p>
        </w:tc>
      </w:tr>
      <w:tr>
        <w:tc>
          <w:tcPr>
            <w:tcW w:type="dxa" w:w="1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1–2</w:t>
            </w:r>
          </w:p>
        </w:tc>
        <w:tc>
          <w:tcPr>
            <w:tcW w:type="dxa" w:w="81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Приёмка данных и единая событийная база: опись всех файлов, вердикты по маскировке, объектным идентификаторам и глубине следов; связность и трейсы.</w:t>
            </w:r>
          </w:p>
        </w:tc>
      </w:tr>
      <w:tr>
        <w:tc>
          <w:tcPr>
            <w:tcW w:type="dxa" w:w="1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2–3</w:t>
            </w:r>
          </w:p>
        </w:tc>
        <w:tc>
          <w:tcPr>
            <w:tcW w:type="dxa" w:w="81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Раскладка по пакетам и черновики; рассылка владельцам черновиков вместе с шаблонами.</w:t>
            </w:r>
          </w:p>
        </w:tc>
      </w:tr>
      <w:tr>
        <w:tc>
          <w:tcPr>
            <w:tcW w:type="dxa" w:w="1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3–5</w:t>
            </w:r>
          </w:p>
        </w:tc>
        <w:tc>
          <w:tcPr>
            <w:tcW w:type="dxa" w:w="81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Владельцы заполняют шаблоны поверх черновиков; пакеты без следов — с нуля. Менеджер процесса разблокирует вопросы; дозапросы данных — единым списком.</w:t>
            </w:r>
          </w:p>
        </w:tc>
      </w:tr>
      <w:tr>
        <w:tc>
          <w:tcPr>
            <w:tcW w:type="dxa" w:w="1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1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Сверка «сказанное против фактического» по готовой базе; разбор расхождений; приёмка шаблонов.</w:t>
            </w:r>
          </w:p>
        </w:tc>
      </w:tr>
      <w:tr>
        <w:tc>
          <w:tcPr>
            <w:tcW w:type="dxa" w:w="1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6–7</w:t>
            </w:r>
          </w:p>
        </w:tc>
        <w:tc>
          <w:tcPr>
            <w:tcW w:type="dxa" w:w="81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Постановки на разработку волны 0; приёмка обеими ролями; подпись регламента автономии.</w:t>
            </w:r>
          </w:p>
        </w:tc>
      </w:tr>
      <w:tr>
        <w:tc>
          <w:tcPr>
            <w:tcW w:type="dxa" w:w="1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7+</w:t>
            </w:r>
          </w:p>
        </w:tc>
        <w:tc>
          <w:tcPr>
            <w:tcW w:type="dxa" w:w="81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Старт разработки волны 0, релизный ритм две недели, демонстрации на живых данных. Волны 1–3 планируются по факту приёмки волны 0.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3D4C"/>
          <w:sz w:val="25"/>
          <w:szCs w:val="25"/>
        </w:rPr>
        <w:t xml:space="preserve">5. Как майнинг встроен в заполнение</w:t>
      </w:r>
    </w:p>
    <w:p>
      <w:pPr>
        <w:spacing w:after="8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Процесс оставляет цифровые следы в учётном контуре, инструменте планирования и на рабочих местах, поэтому майнинг применим — но не ко всем пакетам одинаково: часть работы живёт в файлах и головах. Соответствие «что даёт анализ → куда попадает»: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538"/>
      </w:tblGrid>
      <w:tr>
        <w:trPr>
          <w:tblHeader/>
        </w:trPr>
        <w:tc>
          <w:tcPr>
            <w:tcW w:type="dxa" w:w="2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03D4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Артефакт шаблона</w:t>
            </w:r>
          </w:p>
        </w:tc>
        <w:tc>
          <w:tcPr>
            <w:tcW w:type="dxa" w:w="36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03D4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даёт анализ логов</w:t>
            </w:r>
          </w:p>
        </w:tc>
        <w:tc>
          <w:tcPr>
            <w:tcW w:type="dxa" w:w="35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03D4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Куда попадает в шаблоне</w:t>
            </w:r>
          </w:p>
        </w:tc>
      </w:tr>
      <w:tr>
        <w:tc>
          <w:tcPr>
            <w:tcW w:type="dxa" w:w="2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Паспорт шага</w:t>
            </w:r>
          </w:p>
        </w:tc>
        <w:tc>
          <w:tcPr>
            <w:tcW w:type="dxa" w:w="36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Объёмы операций, частоты, распределение по времени, светофор обеспеченности следами.</w:t>
            </w:r>
          </w:p>
        </w:tc>
        <w:tc>
          <w:tcPr>
            <w:tcW w:type="dxa" w:w="35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Строки «объёмы» и «сроки» — как черновая цифра для сверки с оценкой владельца.</w:t>
            </w:r>
          </w:p>
        </w:tc>
      </w:tr>
      <w:tr>
        <w:tc>
          <w:tcPr>
            <w:tcW w:type="dxa" w:w="2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Реестр данных</w:t>
            </w:r>
          </w:p>
        </w:tc>
        <w:tc>
          <w:tcPr>
            <w:tcW w:type="dxa" w:w="36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Опись источников: где элемент реально лежит, период, формат, пример значения.</w:t>
            </w:r>
          </w:p>
        </w:tc>
        <w:tc>
          <w:tcPr>
            <w:tcW w:type="dxa" w:w="35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Колонки «источник сегодня», «способ доступа», «пример значения».</w:t>
            </w:r>
          </w:p>
        </w:tc>
      </w:tr>
      <w:tr>
        <w:tc>
          <w:tcPr>
            <w:tcW w:type="dxa" w:w="2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Карточка агента: текущий аналог</w:t>
            </w:r>
          </w:p>
        </w:tc>
        <w:tc>
          <w:tcPr>
            <w:tcW w:type="dxa" w:w="36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Матрица переходов между системами, разрывы через таблицы, доля офисного слоя в маршруте.</w:t>
            </w:r>
          </w:p>
        </w:tc>
        <w:tc>
          <w:tcPr>
            <w:tcW w:type="dxa" w:w="35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Поля «текущий аналог» и «триггер и вход» — как наблюдаемая картина работы.</w:t>
            </w:r>
          </w:p>
        </w:tc>
      </w:tr>
      <w:tr>
        <w:tc>
          <w:tcPr>
            <w:tcW w:type="dxa" w:w="2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Карточка агента: примеры</w:t>
            </w:r>
          </w:p>
        </w:tc>
        <w:tc>
          <w:tcPr>
            <w:tcW w:type="dxa" w:w="36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Трейсы объектов: типовые маршруты, граничные варианты, длительности.</w:t>
            </w:r>
          </w:p>
        </w:tc>
        <w:tc>
          <w:tcPr>
            <w:tcW w:type="dxa" w:w="35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Поля примеров — как заготовки кейсов, владелец подтверждает и дополняет контекстом.</w:t>
            </w:r>
          </w:p>
        </w:tc>
      </w:tr>
      <w:tr>
        <w:tc>
          <w:tcPr>
            <w:tcW w:type="dxa" w:w="25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Реестр контролей</w:t>
            </w:r>
          </w:p>
        </w:tc>
        <w:tc>
          <w:tcPr>
            <w:tcW w:type="dxa" w:w="36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События отклонений и блокировок в журналах систем, если пишутся.</w:t>
            </w:r>
          </w:p>
        </w:tc>
        <w:tc>
          <w:tcPr>
            <w:tcW w:type="dxa" w:w="35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Колонка «где проверяется сегодня» — что из проверок видно в данных.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03D4C"/>
          <w:sz w:val="25"/>
          <w:szCs w:val="25"/>
        </w:rPr>
        <w:t xml:space="preserve">6. Реестр артефактов, риски и меры</w:t>
      </w:r>
    </w:p>
    <w:p>
      <w:pPr>
        <w:spacing w:after="60" w:line="276" w:lineRule="auto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8C95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Готово: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эталон процесса (executive-документ), этот план, Приложение А, шаблоны десяти пакетов, инструмент аналитика с индексом.</w:t>
      </w:r>
    </w:p>
    <w:p>
      <w:pPr>
        <w:spacing w:after="60" w:line="276" w:lineRule="auto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8C95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Создаётся: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паспорт данных, единая событийная база, черновики пакетов, заполненные шаблоны, протокол сверки.</w:t>
      </w:r>
    </w:p>
    <w:p>
      <w:pPr>
        <w:spacing w:after="60" w:line="276" w:lineRule="auto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8C95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Итог: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постановки на разработку по волнам и бэклог с приоритетами.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03D4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63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03D4C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Мера в этом плане</w:t>
            </w:r>
          </w:p>
        </w:tc>
      </w:tr>
      <w:tr>
        <w:tc>
          <w:tcPr>
            <w:tcW w:type="dxa" w:w="33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Конфликт интересов: владельцы описывают работу, которую предполагается автоматизировать</w:t>
            </w:r>
          </w:p>
        </w:tc>
        <w:tc>
          <w:tcPr>
            <w:tcW w:type="dxa" w:w="63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Стартовая коммуникация менеджера процесса проговаривает это прямо; сверка по логам делает искажения видимыми без обвинений — расхождение разбирается содержательно (недели 0 и 5).</w:t>
            </w:r>
          </w:p>
        </w:tc>
      </w:tr>
      <w:tr>
        <w:tc>
          <w:tcPr>
            <w:tcW w:type="dxa" w:w="33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Шаблоны как мнения, а не факты — там, где логов нет</w:t>
            </w:r>
          </w:p>
        </w:tc>
        <w:tc>
          <w:tcPr>
            <w:tcW w:type="dxa" w:w="63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Пакеты без следов помечены заранее (индекс папки 4); по ним обязательны примеры реальных случаев, а спорные утверждения получают статус «подтвердить у смежной роли».</w:t>
            </w:r>
          </w:p>
        </w:tc>
      </w:tr>
      <w:tr>
        <w:tc>
          <w:tcPr>
            <w:tcW w:type="dxa" w:w="33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Позднее обнаружение интеграционных ограничений</w:t>
            </w:r>
          </w:p>
        </w:tc>
        <w:tc>
          <w:tcPr>
            <w:tcW w:type="dxa" w:w="63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Интеграционная разведка и согласования с безопасностью и юридической функцией — с недели 0; пакет «Интеграции» заполняется параллельно шагам, не после.</w:t>
            </w:r>
          </w:p>
        </w:tc>
      </w:tr>
      <w:tr>
        <w:tc>
          <w:tcPr>
            <w:tcW w:type="dxa" w:w="330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Четыре версии одного сквозного правила от четырёх владельцев</w:t>
            </w:r>
          </w:p>
        </w:tc>
        <w:tc>
          <w:tcPr>
            <w:tcW w:type="dxa" w:w="633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3F9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64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Сквозные механизмы вынесены в отдельный пакет с одним владельцем; расхождения версий фиксируются как находка и сводятся к канонической версии на сверке.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2026-08-03T04:56:16.368Z</dcterms:created>
  <dcterms:modified xsi:type="dcterms:W3CDTF">2026-08-03T04:56:16.382Z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