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Цель и границы инвентаризации</w:t>
      </w:r>
    </w:p>
    <w:p>
      <w:r>
        <w:rPr>
          <w:i/>
        </w:rPr>
        <w:t>Карточка на одну страницу. Заполняют до начала поиска и согласуют с владельцем задачи. Серым курсивом — условный пример книги; замените своим.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3402"/>
        <w:gridCol w:w="3402"/>
      </w:tblGrid>
      <w:tr>
        <w:tc>
          <w:tcPr>
            <w:tcW w:type="dxa" w:w="2835"/>
            <w:shd w:val="clear" w:color="auto" w:fill="E7E6E6"/>
          </w:tcPr>
          <w:p>
            <w:r/>
            <w:r>
              <w:rPr>
                <w:b/>
                <w:sz w:val="19"/>
              </w:rPr>
              <w:t>Что записать</w:t>
            </w:r>
          </w:p>
        </w:tc>
        <w:tc>
          <w:tcPr>
            <w:tcW w:type="dxa" w:w="3402"/>
            <w:shd w:val="clear" w:color="auto" w:fill="E7E6E6"/>
          </w:tcPr>
          <w:p>
            <w:r/>
            <w:r>
              <w:rPr>
                <w:b/>
                <w:sz w:val="19"/>
              </w:rPr>
              <w:t>Ваш ответ</w:t>
            </w:r>
          </w:p>
        </w:tc>
        <w:tc>
          <w:tcPr>
            <w:tcW w:type="dxa" w:w="3402"/>
            <w:shd w:val="clear" w:color="auto" w:fill="E7E6E6"/>
          </w:tcPr>
          <w:p>
            <w:r/>
            <w:r>
              <w:rPr>
                <w:b/>
                <w:sz w:val="19"/>
              </w:rPr>
              <w:t>Пример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/>
            <w:r>
              <w:rPr>
                <w:b/>
                <w:sz w:val="19"/>
              </w:rPr>
              <w:t>Цель: что сделают с данными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402"/>
          </w:tcPr>
          <w:p>
            <w:r>
              <w:rPr>
                <w:i/>
                <w:color w:val="767676"/>
              </w:rPr>
            </w:r>
            <w:r>
              <w:rPr>
                <w:sz w:val="19"/>
              </w:rPr>
              <w:t>Найти источники для ответа на 15 вопросов руководства о доступности медицинской помощи в регионах и показать, каких данных нет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/>
            <w:r>
              <w:rPr>
                <w:b/>
                <w:sz w:val="19"/>
              </w:rPr>
              <w:t>Владелец задачи — кто примет результат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402"/>
          </w:tcPr>
          <w:p>
            <w:r>
              <w:rPr>
                <w:i/>
                <w:color w:val="767676"/>
              </w:rPr>
            </w:r>
            <w:r>
              <w:rPr>
                <w:sz w:val="19"/>
              </w:rPr>
              <w:t>Заместитель министра здравоохранения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/>
            <w:r>
              <w:rPr>
                <w:b/>
                <w:sz w:val="19"/>
              </w:rPr>
              <w:t>Кто пользуется результатом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402"/>
          </w:tcPr>
          <w:p>
            <w:r>
              <w:rPr>
                <w:i/>
                <w:color w:val="767676"/>
              </w:rPr>
            </w:r>
            <w:r>
              <w:rPr>
                <w:sz w:val="19"/>
              </w:rPr>
              <w:t>Департамент, который готовит справки для руководства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/>
            <w:r>
              <w:rPr>
                <w:b/>
                <w:sz w:val="19"/>
              </w:rPr>
              <w:t>Как проверить результат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402"/>
          </w:tcPr>
          <w:p>
            <w:r>
              <w:rPr>
                <w:i/>
                <w:color w:val="767676"/>
              </w:rPr>
            </w:r>
            <w:r>
              <w:rPr>
                <w:sz w:val="19"/>
              </w:rPr>
              <w:t>У каждого из 15 вопросов — источник с доступностью и качеством или записанный пробел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/>
            <w:r>
              <w:rPr>
                <w:b/>
                <w:sz w:val="19"/>
              </w:rPr>
              <w:t>Вид результата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402"/>
          </w:tcPr>
          <w:p>
            <w:r>
              <w:rPr>
                <w:i/>
                <w:color w:val="767676"/>
              </w:rPr>
            </w:r>
            <w:r>
              <w:rPr>
                <w:sz w:val="19"/>
              </w:rPr>
              <w:t>Карта данных: таблица «вопрос — источник — статус» и список пробелов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/>
            <w:r>
              <w:rPr>
                <w:b/>
                <w:sz w:val="19"/>
              </w:rPr>
              <w:t>Подход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402"/>
          </w:tcPr>
          <w:p>
            <w:r>
              <w:rPr>
                <w:i/>
                <w:color w:val="767676"/>
              </w:rPr>
            </w:r>
            <w:r>
              <w:rPr>
                <w:sz w:val="19"/>
              </w:rPr>
              <w:t>«Где найти нужное»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/>
            <w:r>
              <w:rPr>
                <w:b/>
                <w:sz w:val="19"/>
              </w:rPr>
              <w:t>Организации и уровни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402"/>
          </w:tcPr>
          <w:p>
            <w:r>
              <w:rPr>
                <w:i/>
                <w:color w:val="767676"/>
              </w:rPr>
            </w:r>
            <w:r>
              <w:rPr>
                <w:sz w:val="19"/>
              </w:rPr>
              <w:t>Государственные источники центрального и регионального уровня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/>
            <w:r>
              <w:rPr>
                <w:b/>
                <w:sz w:val="19"/>
              </w:rPr>
              <w:t>Территория и период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402"/>
          </w:tcPr>
          <w:p>
            <w:r>
              <w:rPr>
                <w:i/>
                <w:color w:val="767676"/>
              </w:rPr>
            </w:r>
            <w:r>
              <w:rPr>
                <w:sz w:val="19"/>
              </w:rPr>
              <w:t>Вся страна по регионам; ряды за последние десять лет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/>
            <w:r>
              <w:rPr>
                <w:b/>
                <w:sz w:val="19"/>
              </w:rPr>
              <w:t>Слои данных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402"/>
          </w:tcPr>
          <w:p>
            <w:r>
              <w:rPr>
                <w:i/>
                <w:color w:val="767676"/>
              </w:rPr>
            </w:r>
            <w:r>
              <w:rPr>
                <w:sz w:val="19"/>
              </w:rPr>
              <w:t>Государственные; международные — для сравнения с другими странами; коммерческих нет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/>
            <w:r>
              <w:rPr>
                <w:b/>
                <w:sz w:val="19"/>
              </w:rPr>
              <w:t>Глубина описания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402"/>
          </w:tcPr>
          <w:p>
            <w:r>
              <w:rPr>
                <w:i/>
                <w:color w:val="767676"/>
              </w:rPr>
            </w:r>
            <w:r>
              <w:rPr>
                <w:sz w:val="19"/>
              </w:rPr>
              <w:t>До наборов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/>
            <w:r>
              <w:rPr>
                <w:b/>
                <w:sz w:val="19"/>
              </w:rPr>
              <w:t>Что исключено и почему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402"/>
          </w:tcPr>
          <w:p>
            <w:r>
              <w:rPr>
                <w:i/>
                <w:color w:val="767676"/>
              </w:rPr>
            </w:r>
            <w:r>
              <w:rPr>
                <w:sz w:val="19"/>
              </w:rPr>
              <w:t>Частная медицина — следующей очередью; лекарственное обеспечение как отдельная тема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/>
            <w:r>
              <w:rPr>
                <w:b/>
                <w:sz w:val="19"/>
              </w:rPr>
              <w:t>Кто согласовал и когда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402"/>
          </w:tcPr>
          <w:p>
            <w:r>
              <w:rPr>
                <w:i/>
                <w:color w:val="767676"/>
              </w:rPr>
            </w:r>
            <w:r>
              <w:rPr>
                <w:sz w:val="19"/>
              </w:rPr>
              <w:t>Заместитель министра, 29 сентября 2026 года</w:t>
            </w:r>
          </w:p>
        </w:tc>
      </w:tr>
    </w:tbl>
    <w:p/>
    <w:p>
      <w:r>
        <w:rPr>
          <w:i/>
        </w:rPr>
        <w:t>Строку «что исключено» забывают чаще остальных. Без неё через год не отличить пропуск от решения.</w:t>
      </w:r>
    </w:p>
    <w:p>
      <w:pPr>
        <w:pStyle w:val="Heading2"/>
      </w:pPr>
      <w:r>
        <w:t>Вопросы к данным</w:t>
      </w:r>
    </w:p>
    <w:p>
      <w:r>
        <w:rPr>
          <w:i w:val="0"/>
        </w:rPr>
        <w:t>Ведут листом «Вопросы» рабочей таблицы: постоянный номер, текст в укрупнённой форме, типовая тема, задача, приоритет и порог «годится» — до проверки.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3402"/>
        <w:gridCol w:w="1417"/>
        <w:gridCol w:w="1417"/>
        <w:gridCol w:w="2835"/>
      </w:tblGrid>
      <w:tr>
        <w:tc>
          <w:tcPr>
            <w:tcW w:type="dxa" w:w="567"/>
            <w:shd w:val="clear" w:color="auto" w:fill="E7E6E6"/>
          </w:tcPr>
          <w:p>
            <w:r/>
            <w:r>
              <w:rPr>
                <w:b/>
                <w:sz w:val="19"/>
              </w:rPr>
              <w:t>№</w:t>
            </w:r>
          </w:p>
        </w:tc>
        <w:tc>
          <w:tcPr>
            <w:tcW w:type="dxa" w:w="3402"/>
            <w:shd w:val="clear" w:color="auto" w:fill="E7E6E6"/>
          </w:tcPr>
          <w:p>
            <w:r/>
            <w:r>
              <w:rPr>
                <w:b/>
                <w:sz w:val="19"/>
              </w:rPr>
              <w:t>Вопрос</w:t>
            </w:r>
          </w:p>
        </w:tc>
        <w:tc>
          <w:tcPr>
            <w:tcW w:type="dxa" w:w="1417"/>
            <w:shd w:val="clear" w:color="auto" w:fill="E7E6E6"/>
          </w:tcPr>
          <w:p>
            <w:r/>
            <w:r>
              <w:rPr>
                <w:b/>
                <w:sz w:val="19"/>
              </w:rPr>
              <w:t>Типовая тема</w:t>
            </w:r>
          </w:p>
        </w:tc>
        <w:tc>
          <w:tcPr>
            <w:tcW w:type="dxa" w:w="1417"/>
            <w:shd w:val="clear" w:color="auto" w:fill="E7E6E6"/>
          </w:tcPr>
          <w:p>
            <w:r/>
            <w:r>
              <w:rPr>
                <w:b/>
                <w:sz w:val="19"/>
              </w:rPr>
              <w:t>Главный или попутный</w:t>
            </w:r>
          </w:p>
        </w:tc>
        <w:tc>
          <w:tcPr>
            <w:tcW w:type="dxa" w:w="2835"/>
            <w:shd w:val="clear" w:color="auto" w:fill="E7E6E6"/>
          </w:tcPr>
          <w:p>
            <w:r/>
            <w:r>
              <w:rPr>
                <w:b/>
                <w:sz w:val="19"/>
              </w:rPr>
              <w:t>Порог «годится»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Где найти сведения о числе врачей по специальностям, регионам и годам — отдельно для городов и сёл?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люди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главный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все регионы, ряд за пять лет, разрез «город — село»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Где найти сведения о сроках ожидания медицинской помощи по регионам?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статистика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главный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дата направления и дата помощи заполнены не меньше чем у 90% записей; данные не старше квартала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808080"/>
        <w:sz w:val="16"/>
      </w:rPr>
      <w:t>Шаблон из книги «Инвентаризация данных» — https://datainventory.begtin.tech/appendices/templates/ · CC BY 4.0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1F1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1F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1F1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Цель и границы инвентаризации</dc:title>
  <dc:subject/>
  <dc:creator>Инвентаризация данных — datainventory.begtin.tech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