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 xml:space="preserve">Traffic Sign Recognition on Video Sequence Using Deep Neural Networks and Matching Algorithm </w:t>
      </w:r>
    </w:p>
    <w:p>
      <w:pPr>
        <w:pStyle w:val="Author"/>
        <w:spacing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280"/>
        <w:rPr/>
      </w:pPr>
      <w:r>
        <w:rPr>
          <w:sz w:val="18"/>
          <w:szCs w:val="18"/>
        </w:rPr>
        <w:t xml:space="preserve">Ilya Belkin </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rPr>
          <w:sz w:val="18"/>
          <w:szCs w:val="18"/>
        </w:rPr>
        <w:t>Sergey Tkachenko</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pStyle w:val="Normal"/>
        <w:rPr/>
      </w:pPr>
      <w:r>
        <w:br w:type="column"/>
      </w:r>
      <w:r>
        <w:rPr>
          <w:sz w:val="18"/>
          <w:szCs w:val="18"/>
        </w:rPr>
        <w:t>Dmitriy Yudin</w:t>
        <w:br/>
        <w:t xml:space="preserve">line 2: </w:t>
      </w:r>
      <w:r>
        <w:rPr>
          <w:i/>
          <w:sz w:val="18"/>
          <w:szCs w:val="18"/>
        </w:rPr>
        <w:t xml:space="preserve">dept. name of organization </w:t>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br/>
        <w:t>(of Affiliation)</w:t>
        <w:br/>
      </w:r>
      <w:r>
        <w:rPr>
          <w:sz w:val="18"/>
          <w:szCs w:val="18"/>
        </w:rPr>
        <w:t>line 4: City, Country</w:t>
        <w:br/>
        <w:t>line 5: email address or ORCID</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Keywords—component, formatting, style, styling, insert (</w:t>
      </w:r>
      <w:r>
        <w:rPr>
          <w:b w:val="false"/>
        </w:rPr>
        <w:t>key words</w:t>
      </w:r>
      <w:r>
        <w:rPr/>
        <w:t>)</w:t>
      </w:r>
    </w:p>
    <w:p>
      <w:pPr>
        <w:pStyle w:val="Heading1"/>
        <w:numPr>
          <w:ilvl w:val="0"/>
          <w:numId w:val="4"/>
        </w:numPr>
        <w:ind w:hanging="0"/>
        <w:rPr/>
      </w:pPr>
      <w:r>
        <w:rPr/>
        <w:t>Introduction (</w:t>
      </w:r>
      <w:r>
        <w:rPr>
          <w:rFonts w:eastAsia="MS Mincho"/>
          <w:i/>
        </w:rPr>
        <w:t>Heading 1</w:t>
      </w:r>
      <w:r>
        <w:rPr/>
        <w:t>)</w:t>
      </w:r>
    </w:p>
    <w:p>
      <w:pPr>
        <w:pStyle w:val="TextBody"/>
        <w:rPr/>
      </w:pPr>
      <w:r>
        <w:rPr/>
        <w:t>Глубокие нейронные сети зарекомендовали себя с лучшей стороны в самых разных задачах в различных областях знаний. В особенности это касается задач связанных с компьютерным зрением и распознаванием образов. За последние годы были достигнуты впечатляющие результаты в этой области, что делает разработанные методы привлекательными с точки зрения применения в реальных приложениях. Одним из таких приложений является автономный транспорт, а точнее системы машинного зрения, настроенные на обработку и распознавание объектов дорожной инфраструктуры. Основные задачи компьютерного зрения в этой области включают в себя семантическую сегментацию (например для выделения дорожного полотна), детекцию объектов (поиск дорожных знаков, светофоров), классификацию изображений (распознавание сигнала светофора), объектную сегментацию (нахождение очертаний пешеходов, автомобилей).</w:t>
      </w:r>
    </w:p>
    <w:p>
      <w:pPr>
        <w:pStyle w:val="TextBody"/>
        <w:rPr/>
      </w:pPr>
      <w:r>
        <w:rPr/>
        <w:t>Как правило, большинство методов глубоко обучения для задач детекции и объектной сегментации хорошо исследованы для покадровой обработки. То есть последовательность кадров рассматривается как набор независимых кадров, а информация между соседними кадрами никак не используется.</w:t>
      </w:r>
    </w:p>
    <w:p>
      <w:pPr>
        <w:pStyle w:val="TextBody"/>
        <w:rPr/>
      </w:pPr>
      <w:r>
        <w:rPr/>
        <w:t>Для использования дополнительной информации, содержащейся в последовательности, были разработаны глубокие сети особой аржитектуры, принимающие на вход сразу несколько кадров, или обрабатывающие их с помощью рекуррентной нейронной сети. Такие подходы не только позволили улучшить качество работы на последовательных кадрах, но и существенно увеличить скорость обработки.</w:t>
      </w:r>
    </w:p>
    <w:p>
      <w:pPr>
        <w:pStyle w:val="TextBody"/>
        <w:rPr/>
      </w:pPr>
      <w:r>
        <w:rPr/>
        <w:t>Тем не менее существенным недостатком этих методов является необходимость использования размеченных последовательностей. Стандартный подход к разметке подразумевает разметку кадров с некоторым шагом, скажем 1 кадр на секунду видеопотока. При частоте 30 кадров в секунду подготовка данных для таких моделей требует выполнения в 30 раз больше работы.</w:t>
      </w:r>
    </w:p>
    <w:p>
      <w:pPr>
        <w:pStyle w:val="TextBody"/>
        <w:rPr/>
      </w:pPr>
      <w:r>
        <w:rPr/>
        <w:t>Другой класс работ направлен на постобработку результатов детекции на отдельных кадров с учетом последовательной природы данных. Примером может служить метод Seq-NMS, являющийся адаптацией алгоритма подавления немаксимумов результатов детекции применительно к целым последовательностям детекций. Другой подход – Seq-Bbox-Matching, который будет подробно описан в соответствующем разделе, позволяет объединить результаты детекции, соответствующие одному объекту используя не только геометрическое расположение охватывающих прямоугольников, но и их семантическое сходство.</w:t>
      </w:r>
    </w:p>
    <w:p>
      <w:pPr>
        <w:pStyle w:val="TextBody"/>
        <w:rPr/>
      </w:pPr>
      <w:r>
        <w:rPr/>
        <w:t>В данной работе исследуются подходы к детекции объектов применительно к задаче обнаружения и одновременного распознавания дорожных знаков. Получены результаты для пяти популярных архитектур. Модели были обучены на базе российских дорожных знаков RTSD, являющейся самой крупной базой знаков дорожного движения, находящейся в открытом доступе. Для тестирования применялся новый набор данных IceVision, собранный с прототипа автономного автомобиля. Получены метрики качества mAP, mAR а также AP, AR для различных классов. Исследован алгоритм seq-bbox-matching при тестировании на разреженной разметке, а также представлена открытая реализация этого алгоритма.</w:t>
      </w:r>
    </w:p>
    <w:p>
      <w:pPr>
        <w:pStyle w:val="Heading1"/>
        <w:numPr>
          <w:ilvl w:val="0"/>
          <w:numId w:val="4"/>
        </w:numPr>
        <w:ind w:hanging="0"/>
        <w:rPr/>
      </w:pPr>
      <w:r>
        <w:rPr/>
        <w:t>Problem Definition</w:t>
      </w:r>
    </w:p>
    <w:p>
      <w:pPr>
        <w:pStyle w:val="TextBody"/>
        <w:rPr/>
      </w:pPr>
      <w:r>
        <w:rPr/>
        <w:t>В данном разделе рассматривается постановка задачи обнаружения и распознавания дорожных знаков на видеопоследовательностях. Приводятся используемые метрики качества а также обсуждается метод оценки качества алгоритма при наличии разметки только для некоторых кадров.</w:t>
      </w:r>
    </w:p>
    <w:p>
      <w:pPr>
        <w:pStyle w:val="Heading2"/>
        <w:numPr>
          <w:ilvl w:val="1"/>
          <w:numId w:val="4"/>
        </w:numPr>
        <w:rPr/>
      </w:pPr>
      <w:r>
        <w:rPr/>
        <w:t>Описание задачи</w:t>
      </w:r>
    </w:p>
    <w:p>
      <w:pPr>
        <w:pStyle w:val="TextBody"/>
        <w:rPr/>
      </w:pPr>
      <w:r>
        <w:rPr/>
        <w:t xml:space="preserve">Формально, нам дана упорядоченная последовательность кадров </w:t>
      </w:r>
      <w:r>
        <w:rPr/>
        <w:t>F</w:t>
      </w:r>
      <w:r>
        <w:rPr/>
        <w:t xml:space="preserve"> = (</w:t>
      </w:r>
      <w:r>
        <w:rPr/>
        <w:t>f_i</w:t>
      </w:r>
      <w:r>
        <w:rPr/>
        <w:t xml:space="preserve">)_1^N длины N, где каждый кадр это RGB изображение фиксированного разрешения (w, h) </w:t>
      </w:r>
      <w:r>
        <w:rPr/>
        <w:t>полученное с RGB камеры, закрепленной на автомобиле</w:t>
      </w:r>
      <w:r>
        <w:rPr/>
        <w:t xml:space="preserve">. </w:t>
      </w:r>
      <w:r>
        <w:rPr/>
        <w:t>Требутеся каждому кадру сопоставить набор b_i = (o_i^j), где каждый o_i^j представляет собой упорядоченную четверку чисел (x_tl, y_tl, w, h) задающую ограничивающий прямоугольник, где x_tl, y_tl координаты левого верхнего угла, а w, h – ширина и высота прямоугольника соответственно. Каждый прямоугольник суть гипотеза того, что в этой области находится некоторый объект, в нашем случае – знак дорожного движения. Кроме того, требуется определить тип знака. Из всех типов знаков, мы сосредоточили свое внимение на следующих типах: … Кроме того, мы объединили типы 5.19.1 и 5.19.2 в один тип – 5.19, а также … Идеальные изображения приведены на рис. ?. Более подробно, в качестве выхода алгоритма для каждого изображения наряду с b_i мы считаем d_i = (p_i^j), где каждый p_i^j – суть вектор длины (N + 1), каждый элемент которого представляет собой вероятность принадлежности объекта определенному классу, т.е. типу знака.</w:t>
      </w:r>
    </w:p>
    <w:p>
      <w:pPr>
        <w:pStyle w:val="Heading2"/>
        <w:numPr>
          <w:ilvl w:val="1"/>
          <w:numId w:val="4"/>
        </w:numPr>
        <w:ind w:hanging="0"/>
        <w:rPr>
          <w:i/>
          <w:i/>
          <w:iCs/>
        </w:rPr>
      </w:pPr>
      <w:r>
        <w:rPr>
          <w:i/>
          <w:iCs/>
        </w:rPr>
        <w:t>Оцека качества</w:t>
      </w:r>
    </w:p>
    <w:p>
      <w:pPr>
        <w:pStyle w:val="TextBody"/>
        <w:ind w:hanging="0"/>
        <w:jc w:val="left"/>
        <w:rPr/>
      </w:pPr>
      <w:r>
        <w:rPr/>
        <w:tab/>
      </w:r>
      <w:r>
        <w:rPr/>
        <w:t>Стандартной метрикой оценки качества алгоритмов обнаружения объектов является mAP ([]). При этом имеются открытые реализации этой метрики ([], []). Она позволяет оценить среднее качество детекции объектов нескольких классов. При этом она имеет несколько параметров. Параметры, с которыми были расчитаны метрики в данной работе отличаются от параметров, используемых в COCO challenge ([]). Во-первых, мы не рассматриваем при расчете метрик объекты размера меньше 20*20 пикселей, так ка</w:t>
      </w:r>
    </w:p>
    <w:p>
      <w:pPr>
        <w:pStyle w:val="Heading1"/>
        <w:numPr>
          <w:ilvl w:val="0"/>
          <w:numId w:val="4"/>
        </w:numPr>
        <w:ind w:hanging="0"/>
        <w:rPr/>
      </w:pPr>
      <w:r>
        <w:rPr/>
        <w:t>Prepare Your Paper Before Styling</w:t>
      </w:r>
    </w:p>
    <w:p>
      <w:pPr>
        <w:pStyle w:val="TextBody"/>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TextBody"/>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numPr>
          <w:ilvl w:val="1"/>
          <w:numId w:val="4"/>
        </w:numPr>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4"/>
        </w:numPr>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left="576" w:hanging="288"/>
        <w:rPr/>
      </w:pPr>
      <w:r>
        <w:rPr/>
        <w:t>Use a zero before decimal points: “0.25”, not “.25”. Use “cm3”, not “cc”. (</w:t>
      </w:r>
      <w:r>
        <w:rPr>
          <w:i/>
          <w:iCs/>
        </w:rPr>
        <w:t>bullet list</w:t>
      </w:r>
      <w:r>
        <w:rPr/>
        <w:t>)</w:t>
      </w:r>
    </w:p>
    <w:p>
      <w:pPr>
        <w:pStyle w:val="Heading2"/>
        <w:numPr>
          <w:ilvl w:val="1"/>
          <w:numId w:val="4"/>
        </w:numPr>
        <w:rPr/>
      </w:pPr>
      <w:r>
        <w:rPr/>
        <w:t>Equations</w:t>
      </w:r>
    </w:p>
    <w:p>
      <w:pPr>
        <w:pStyle w:val="Sponsors"/>
        <w:pBdr/>
        <w:ind w:firstLine="289"/>
        <w:rPr/>
        <w:framePr w:w="4711" w:h="274" w:x="918" w:y="15121" w:wrap="auto" w:vAnchor="page" w:hAnchor="page" w:hRule="exact"/>
      </w:pPr>
      <w:r>
        <w:rPr/>
        <w:t xml:space="preserve">Identify applicable funding agency here. </w:t>
      </w:r>
      <w:r>
        <w:rPr>
          <w:iCs/>
        </w:rPr>
        <w:t>If none, delete this text box.</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Body"/>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numPr>
          <w:ilvl w:val="1"/>
          <w:numId w:val="4"/>
        </w:numPr>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TextBody"/>
        <w:rPr/>
      </w:pPr>
      <w:r>
        <w:rPr/>
        <w:t>An excellent style manual for science writers is [7].</w:t>
      </w:r>
    </w:p>
    <w:p>
      <w:pPr>
        <w:pStyle w:val="Heading1"/>
        <w:numPr>
          <w:ilvl w:val="0"/>
          <w:numId w:val="4"/>
        </w:numPr>
        <w:ind w:hanging="0"/>
        <w:rPr/>
      </w:pPr>
      <w:r>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4"/>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4"/>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4"/>
        </w:numPr>
        <w:ind w:firstLine="288"/>
        <w:rPr/>
      </w:pPr>
      <w:r>
        <w:rPr/>
        <w:t xml:space="preserve">For papers with less than six authors: </w:t>
      </w:r>
      <w:r>
        <w:rPr>
          <w:i w:val="false"/>
        </w:rPr>
        <w:t>To change the default, adjust the template as follows.</w:t>
      </w:r>
    </w:p>
    <w:p>
      <w:pPr>
        <w:pStyle w:val="Heading4"/>
        <w:numPr>
          <w:ilvl w:val="3"/>
          <w:numId w:val="4"/>
        </w:numPr>
        <w:ind w:firstLine="504"/>
        <w:rPr/>
      </w:pPr>
      <w:r>
        <w:rPr/>
        <w:t xml:space="preserve">Selection: </w:t>
      </w:r>
      <w:r>
        <w:rPr>
          <w:i w:val="false"/>
        </w:rPr>
        <w:t>Highlight all author and affiliation lines.</w:t>
      </w:r>
    </w:p>
    <w:p>
      <w:pPr>
        <w:pStyle w:val="Heading4"/>
        <w:numPr>
          <w:ilvl w:val="3"/>
          <w:numId w:val="4"/>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4"/>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4"/>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4"/>
        </w:numPr>
        <w:rPr/>
      </w:pPr>
      <w:r>
        <w:rPr/>
        <w:t>Figures and Tables</w:t>
      </w:r>
    </w:p>
    <w:p>
      <w:pPr>
        <w:pStyle w:val="Heading4"/>
        <w:numPr>
          <w:ilvl w:val="3"/>
          <w:numId w:val="4"/>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6" w:type="dxa"/>
          <w:bottom w:w="0" w:type="dxa"/>
          <w:right w:w="108" w:type="dxa"/>
        </w:tblCellMar>
        <w:tblLook w:noVBand="0" w:noHBand="0" w:lastColumn="0" w:firstColumn="0" w:lastRow="0" w:firstRow="0"/>
      </w:tblPr>
      <w:tblGrid>
        <w:gridCol w:w="718"/>
        <w:gridCol w:w="2341"/>
        <w:gridCol w:w="901"/>
        <w:gridCol w:w="900"/>
      </w:tblGrid>
      <w:tr>
        <w:trPr>
          <w:tblHeader w:val="true"/>
          <w:trHeight w:val="240" w:hRule="atLeast"/>
          <w:cantSplit w:val="true"/>
        </w:trPr>
        <w:tc>
          <w:tcPr>
            <w:tcW w:w="718"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8"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7"/>
        </w:numPr>
        <w:ind w:left="58" w:hanging="29"/>
        <w:rPr/>
      </w:pPr>
      <w:r>
        <w:rPr/>
        <w:t>Sample of a Table footnote. (</w:t>
      </w:r>
      <w:r>
        <w:rPr>
          <w:i/>
        </w:rPr>
        <w:t>Table footnote</w:t>
      </w:r>
      <w:r>
        <w:rPr/>
        <w:t>)</w:t>
      </w:r>
    </w:p>
    <w:p>
      <w:pPr>
        <w:pStyle w:val="Figurecaption"/>
        <w:numPr>
          <w:ilvl w:val="0"/>
          <w:numId w:val="3"/>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left="354" w:hanging="354"/>
        <w:rPr/>
      </w:pPr>
      <w:r>
        <w:rPr/>
        <w:t>J. Clerk Maxwell, A Treatise on Electricity and Magnetism, 3rd ed., vol. 2. Oxford: Clarendon, 1892, pp.68–73.</w:t>
      </w:r>
    </w:p>
    <w:p>
      <w:pPr>
        <w:pStyle w:val="References"/>
        <w:numPr>
          <w:ilvl w:val="0"/>
          <w:numId w:val="5"/>
        </w:numPr>
        <w:ind w:left="354" w:hanging="354"/>
        <w:rPr/>
      </w:pPr>
      <w:r>
        <w:rPr/>
        <w:t>I. S. Jacobs and C. P. Bean, “Fine particles, thin films and exchange anisotropy,” in Magnetism, vol. III, G. T. Rado and H. Suhl, Eds. New York: Academic, 1963, pp. 271–350.</w:t>
      </w:r>
    </w:p>
    <w:p>
      <w:pPr>
        <w:pStyle w:val="References"/>
        <w:numPr>
          <w:ilvl w:val="0"/>
          <w:numId w:val="5"/>
        </w:numPr>
        <w:ind w:left="354" w:hanging="354"/>
        <w:rPr/>
      </w:pPr>
      <w:r>
        <w:rPr/>
        <w:t>K. Elissa, “Title of paper if known,” unpublished.</w:t>
      </w:r>
    </w:p>
    <w:p>
      <w:pPr>
        <w:pStyle w:val="References"/>
        <w:numPr>
          <w:ilvl w:val="0"/>
          <w:numId w:val="5"/>
        </w:numPr>
        <w:ind w:left="354" w:hanging="354"/>
        <w:rPr/>
      </w:pPr>
      <w:r>
        <w:rPr/>
        <w:t>R. Nicole, “Title of paper with only first word capitalized,” J. Name Stand. Abbrev., in press.</w:t>
      </w:r>
    </w:p>
    <w:p>
      <w:pPr>
        <w:pStyle w:val="References"/>
        <w:numPr>
          <w:ilvl w:val="0"/>
          <w:numId w:val="5"/>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left="354" w:hanging="354"/>
        <w:rPr/>
      </w:pPr>
      <w:r>
        <w:rPr/>
        <w:t>M. Young, The Technical Writer’s Handbook. Mill Valley, CA: University Science, 1989.</w:t>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auto"/>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auto"/>
      <w:spacing w:val="0"/>
      <w:w w:val="100"/>
      <w:kern w:val="0"/>
      <w:sz w:val="16"/>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LibreOffice/6.1.3.2$Linux_X86_64 LibreOffice_project/86daf60bf00efa86ad547e59e09d6bb77c699acb</Application>
  <Pages>4</Pages>
  <Words>2653</Words>
  <Characters>14512</Characters>
  <CharactersWithSpaces>17033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2019-09-26T19:25:26Z</dcterms:modified>
  <cp:revision>5</cp:revision>
  <dc:subject/>
  <dc:title>Paper Title (use style: paper title)</dc:title>
</cp:coreProperties>
</file>