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Traffic Sign Recognition on Video Sequence Using Deep Neural Networks and Matching Algorithm </w:t>
      </w:r>
    </w:p>
    <w:p>
      <w:pPr>
        <w:pStyle w:val="Author"/>
        <w:spacing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 xml:space="preserve">Ilya Belkin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rPr>
          <w:sz w:val="18"/>
          <w:szCs w:val="18"/>
        </w:rPr>
        <w:t>Sergey Tkachenko</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Dmitriy Yudin</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numPr>
          <w:ilvl w:val="0"/>
          <w:numId w:val="3"/>
        </w:numPr>
        <w:ind w:hanging="0"/>
        <w:rPr/>
      </w:pPr>
      <w:r>
        <w:rPr/>
        <w:t>Introduction (</w:t>
      </w:r>
      <w:r>
        <w:rPr>
          <w:rFonts w:eastAsia="MS Mincho"/>
          <w:i/>
        </w:rPr>
        <w:t>Heading 1</w:t>
      </w:r>
      <w:r>
        <w:rPr/>
        <w:t>)</w:t>
      </w:r>
    </w:p>
    <w:p>
      <w:pPr>
        <w:pStyle w:val="TextBody"/>
        <w:rPr/>
      </w:pPr>
      <w:r>
        <w:rPr/>
        <w:t xml:space="preserve">Глубокие нейронные сети зарекомендовали себя с лучшей стороны в самых разных задачах в различных областях знаний. В особенности это касается задач связанных с компьютерным зрением и распознаванием образов[1]. За последние годы были достигнуты впечатляющие результаты в этой области, что делает разработанные методы[2, 3, </w:t>
      </w:r>
      <w:hyperlink r:id="rId4">
        <w:r>
          <w:rPr>
            <w:rStyle w:val="Style11"/>
          </w:rPr>
          <w:t>4</w:t>
        </w:r>
      </w:hyperlink>
      <w:r>
        <w:rPr/>
        <w:t>] привлекательными с точки зрения применения в реальных приложениях. Одним из таких приложений является автономный транспорт, а точнее системы машинного зрения, настроенные на обработку и распознавание объектов дорожной инфраструктуры. Основные задачи компьютерного зрения в этой области включают в себя семантическую сегментацию[5] (например для выделения дорожного полотна), детекцию объектов (поиск дорожных знаков, светофоров), классификацию изображений (распознавание сигнала светофора), объектную сегментацию (нахождение очертаний пешеходов, автомобилей).</w:t>
      </w:r>
    </w:p>
    <w:p>
      <w:pPr>
        <w:pStyle w:val="TextBody"/>
        <w:rPr/>
      </w:pPr>
      <w:r>
        <w:rPr/>
        <w:t>Как правило, большинство методов глубоко обучения для задач детекции и объектной сегментации хорошо исследованы для покадровой обработки. То есть последовательность кадров рассматривается как набор независимых кадров, а информация между соседними кадрами никак не используется.</w:t>
      </w:r>
    </w:p>
    <w:p>
      <w:pPr>
        <w:pStyle w:val="TextBody"/>
        <w:rPr/>
      </w:pPr>
      <w:r>
        <w:rPr/>
        <w:t>Для использования дополнительной информации, содержащейся в последовательности, были разработаны глубокие сети особой архитектуры, принимающие на вход сразу несколько кадров, или обрабатывающие их с помощью рекуррентной нейронной сети. Такие подходы[6] не только позволили улучшить качество работы на последовательных кадрах, но и существенно увеличить скорость обработки.</w:t>
      </w:r>
    </w:p>
    <w:p>
      <w:pPr>
        <w:pStyle w:val="TextBody"/>
        <w:rPr/>
      </w:pPr>
      <w:r>
        <w:rPr/>
        <w:t>Тем не менее существенным недостатком этих методов является необходимость использования размеченных последовательностей. Стандартный подход к разметке подразумевает разметку кадров с некоторым шагом, скажем 1 кадр на секунду видеопотока. При частоте 30 кадров в секунду подготовка данных для таких моделей требует выполнения в 30 раз больше работы.</w:t>
      </w:r>
    </w:p>
    <w:p>
      <w:pPr>
        <w:pStyle w:val="TextBody"/>
        <w:rPr/>
      </w:pPr>
      <w:r>
        <w:rPr/>
        <w:t>Другой класс работ направлен на постобработку результатов детекции на отдельных кадров с учетом последовательной природы данных. Примером может служить метод Seq-NMS[7], являющийся адаптацией алгоритма подавления немаксимумов результатов детекции применительно к целым последовательностям детекций. Другой подход – Seq-Bbox-Matching[8], который будет подробно описан в соответствующем разделе, позволяет объединить результаты детекции, соответствующие одному объекту используя не только геометрическое расположение охватывающих прямоугольников, но и их семантическое сходство.</w:t>
      </w:r>
    </w:p>
    <w:p>
      <w:pPr>
        <w:pStyle w:val="TextBody"/>
        <w:rPr/>
      </w:pPr>
      <w:r>
        <w:rPr/>
        <w:t>В данной работе исследуются подходы к детекции объектов применительно к задаче обнаружения и одновременного распознавания дорожных знаков. Получены результаты для пяти популярных архитектур. Модели были обучены на базе российских дорожных знаков RTSD[9], являющейся самой крупной базой знаков дорожного движения, находящейся в открытом доступе. Для тестирования применялся новый набор данных IceVision[10], собранный с прототипа автономного автомобиля. Получены метрики качества mAP[13], mAR а также AP, AR для различных классов. Исследован алгоритм seq-bbox-matching при тестировании на разреженной разметке, а также представлена открытая реализация этого алгоритма.</w:t>
      </w:r>
    </w:p>
    <w:p>
      <w:pPr>
        <w:pStyle w:val="Heading1"/>
        <w:numPr>
          <w:ilvl w:val="0"/>
          <w:numId w:val="3"/>
        </w:numPr>
        <w:ind w:hanging="0"/>
        <w:rPr/>
      </w:pPr>
      <w:r>
        <w:rPr/>
        <w:t>Problem Definition</w:t>
      </w:r>
    </w:p>
    <w:p>
      <w:pPr>
        <w:pStyle w:val="TextBody"/>
        <w:rPr/>
      </w:pPr>
      <w:r>
        <w:rPr/>
        <w:t>В данном разделе рассматривается постановка задачи обнаружения и распознавания дорожных знаков на видеопоследовательностях. Приводятся используемые метрики качества а также обсуждается метод оценки качества алгоритма при наличии разметки только для некоторых кадров.</w:t>
      </w:r>
    </w:p>
    <w:p>
      <w:pPr>
        <w:pStyle w:val="Heading2"/>
        <w:numPr>
          <w:ilvl w:val="1"/>
          <w:numId w:val="3"/>
        </w:numPr>
        <w:rPr/>
      </w:pPr>
      <w:r>
        <w:rPr/>
        <w:t>Описание задачи</w:t>
      </w:r>
    </w:p>
    <w:p>
      <w:pPr>
        <w:pStyle w:val="TextBody"/>
        <w:rPr/>
      </w:pPr>
      <w:r>
        <w:rPr/>
        <w:t>Формально, нам дана упорядоченная последовательность кадров F = (f_i)_1^N длины N, где каждый кадр это RGB изображение фиксированного разрешения (w, h) полученное с RGB камеры, закрепленной на автомобиле. Требутеся каждому кадру сопоставить набор b_i = (o_i^j), где каждый o_i^j представляет собой упорядоченную четверку чисел (x_tl, y_tl, w, h) задающую ограничивающий прямоугольник, где x_tl, y_tl координаты левого верхнего угла, а w, h – ширина и высота прямоугольника соответственно. Каждый прямоугольник суть гипотеза того, что в этой области находится некоторый объект, в нашем случае – знак дорожного движения. Кроме того, требуется определить тип знака. Из всех типов знаков, мы сосредоточили свое внимение на следующих типах: … Кроме того, мы объединили типы 5.19.1 и 5.19.2 в один тип – 5.19, а также … Идеальные изображения приведены на рис. ?. Более подробно, в качестве выхода алгоритма для каждого изображения наряду с b_i мы считаем d_i = (p_i^j), где каждый p_i^j – суть вектор длины (N + 1), каждый элемент которого представляет собой вероятность принадлежности объекта определенному классу, т.е. типу знака.</w:t>
      </w:r>
    </w:p>
    <w:p>
      <w:pPr>
        <w:pStyle w:val="Heading2"/>
        <w:numPr>
          <w:ilvl w:val="1"/>
          <w:numId w:val="3"/>
        </w:numPr>
        <w:ind w:left="288" w:hanging="0"/>
        <w:rPr>
          <w:i/>
          <w:i/>
          <w:iCs/>
        </w:rPr>
      </w:pPr>
      <w:r>
        <w:rPr>
          <w:i/>
          <w:iCs/>
        </w:rPr>
        <w:t>Оцека качества</w:t>
      </w:r>
    </w:p>
    <w:p>
      <w:pPr>
        <w:pStyle w:val="TextBody"/>
        <w:ind w:hanging="0"/>
        <w:jc w:val="left"/>
        <w:rPr/>
      </w:pPr>
      <w:r>
        <w:rPr/>
        <w:tab/>
        <w:t xml:space="preserve">Стандартной метрикой оценки качества алгоритмов обнаружения объектов является mAP ([13]). При этом имеются открытые реализации этой метрики ([], []). Она позволяет оценить среднее качество детекции объектов нескольких классов. При этом она имеет несколько параметров. Параметры, с которыми были расчитаны метрики в данной работе отличаются от параметров, используемых в COCO challenge ([]). Во-первых, мы не рассматриваем при расчете метрик объекты размера меньше 20*20 пикселей. Данная цифра была подобрана эммпирически, но она в целом отражает ситуацию на реальных изображениях: разметка, а так же детекция объектов меньшего размера вызвает серьёзные заттруднения. Повышение качества распознавания на небольших объектах связано с определёнными трудностями, в первую очередь с тем, что разрешение камер, а так же ограничения чувствительности человеческого глаза не позволяют корректно разметить такие объекты. Во-вторых, при подсчете mAP порог IOU был выбран 50% - эта цифра была выбрана в свзязи с тем, что именно такой порог фигурирует во многих исследованиях в области CV. В-третьих, при подсчёте метрик мы учитывали каждый 30 кадр. Это связано с тем, что разметка присутствовала только на каждом 30-м изображении. </w:t>
      </w:r>
    </w:p>
    <w:p>
      <w:pPr>
        <w:pStyle w:val="TextBody"/>
        <w:ind w:hanging="0"/>
        <w:jc w:val="left"/>
        <w:rPr/>
      </w:pPr>
      <w:r>
        <w:rPr/>
        <w:t xml:space="preserve">Помимо mAP важной метрикой является FPS – показатель быстродействия данного алгоритма. Зачастую </w:t>
      </w:r>
    </w:p>
    <w:p>
      <w:pPr>
        <w:pStyle w:val="TextBody"/>
        <w:ind w:hanging="0"/>
        <w:jc w:val="left"/>
        <w:rPr/>
      </w:pPr>
      <w:r>
        <w:rPr/>
        <w:t xml:space="preserve">выбор того или иного решения зависит от соотношения качества распознавания объектов и его производительности. </w:t>
      </w:r>
    </w:p>
    <w:p>
      <w:pPr>
        <w:pStyle w:val="Heading1"/>
        <w:numPr>
          <w:ilvl w:val="0"/>
          <w:numId w:val="3"/>
        </w:numPr>
        <w:ind w:hanging="0"/>
        <w:rPr/>
      </w:pPr>
      <w:r>
        <w:rPr/>
        <w:t>Датасеты, использованные нами</w:t>
      </w:r>
    </w:p>
    <w:p>
      <w:pPr>
        <w:pStyle w:val="TextBody"/>
        <w:rPr/>
      </w:pPr>
      <w:r>
        <w:rPr>
          <w:lang w:val="en-US"/>
        </w:rPr>
        <w:t xml:space="preserve">Особое положение в задаче компьютероного зрения отведено разметке и подготовке данных. В нашем исследовании мы использовали в качестве основных два датасета с размеченными российскими дорожными знаками: RTSD( Russian Traffic Sign Dataset)[] и  IceVision[]. </w:t>
      </w:r>
    </w:p>
    <w:p>
      <w:pPr>
        <w:pStyle w:val="TextBody"/>
        <w:rPr/>
      </w:pPr>
      <w:r>
        <w:rPr>
          <w:lang w:val="en-US"/>
        </w:rPr>
        <w:t>A. RTSD</w:t>
      </w:r>
    </w:p>
    <w:p>
      <w:pPr>
        <w:pStyle w:val="TextBody"/>
        <w:rPr/>
      </w:pPr>
      <w:r>
        <w:rPr/>
        <w:t>Набор данных RTSD [9] содержит самое большое количество размеченных изображений с дорожными знаками в различное время суток, разметка соответствует российским ГОСТам и правилам дорожного движения. [10]. Особенности набора данных указаны в таблице 1.</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разрешение</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1280x720</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179138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156</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104358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59188</w:t>
            </w:r>
          </w:p>
        </w:tc>
      </w:tr>
    </w:tbl>
    <w:p>
      <w:pPr>
        <w:pStyle w:val="TextBody"/>
        <w:rPr/>
      </w:pPr>
      <w:r>
        <w:rPr/>
        <w:t>Таблица 1. Характеристики RTSD.</w:t>
      </w:r>
    </w:p>
    <w:p>
      <w:pPr>
        <w:pStyle w:val="TextBody"/>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9435" cy="1999615"/>
                <wp:effectExtent l="0" t="0" r="0" b="0"/>
                <wp:wrapSquare wrapText="largest"/>
                <wp:docPr id="1" name="Врезка2"/>
                <a:graphic xmlns:a="http://schemas.openxmlformats.org/drawingml/2006/main">
                  <a:graphicData uri="http://schemas.microsoft.com/office/word/2010/wordprocessingShape">
                    <wps:wsp>
                      <wps:cNvSpPr/>
                      <wps:spPr>
                        <a:xfrm>
                          <a:off x="0" y="0"/>
                          <a:ext cx="3098880" cy="1999080"/>
                        </a:xfrm>
                        <a:prstGeom prst="rect">
                          <a:avLst/>
                        </a:prstGeom>
                        <a:noFill/>
                        <a:ln>
                          <a:noFill/>
                        </a:ln>
                      </wps:spPr>
                      <wps:style>
                        <a:lnRef idx="0"/>
                        <a:fillRef idx="0"/>
                        <a:effectRef idx="0"/>
                        <a:fontRef idx="minor"/>
                      </wps:style>
                      <wps:txbx>
                        <w:txbxContent>
                          <w:p>
                            <w:pPr>
                              <w:pStyle w:val="Style16"/>
                              <w:spacing w:before="120" w:after="120"/>
                              <w:rPr>
                                <w:color w:val="auto"/>
                              </w:rPr>
                            </w:pPr>
                            <w:r>
                              <w:rPr>
                                <w:color w:val="auto"/>
                              </w:rPr>
                              <w:drawing>
                                <wp:inline distT="0" distB="0" distL="0" distR="0">
                                  <wp:extent cx="3098800" cy="174307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color w:val="auto"/>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wps:txbx>
                      <wps:bodyPr lIns="0" rIns="0" tIns="0" bIns="0">
                        <a:noAutofit/>
                      </wps:bodyPr>
                    </wps:wsp>
                  </a:graphicData>
                </a:graphic>
              </wp:anchor>
            </w:drawing>
          </mc:Choice>
          <mc:Fallback>
            <w:pict>
              <v:rect id="shape_0" ID="Врезка2" stroked="f" style="position:absolute;margin-left:0pt;margin-top:0.05pt;width:243.95pt;height:157.35pt;mso-position-horizontal:center">
                <w10:wrap type="square"/>
                <v:fill o:detectmouseclick="t" on="false"/>
                <v:stroke color="#3465a4" joinstyle="round" endcap="flat"/>
                <v:textbox>
                  <w:txbxContent>
                    <w:p>
                      <w:pPr>
                        <w:pStyle w:val="Style16"/>
                        <w:spacing w:before="120" w:after="120"/>
                        <w:rPr>
                          <w:color w:val="auto"/>
                        </w:rPr>
                      </w:pPr>
                      <w:r>
                        <w:rPr>
                          <w:color w:val="auto"/>
                        </w:rPr>
                        <w:drawing>
                          <wp:inline distT="0" distB="0" distL="0" distR="0">
                            <wp:extent cx="3098800" cy="174307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098800" cy="1743075"/>
                                    </a:xfrm>
                                    <a:prstGeom prst="rect">
                                      <a:avLst/>
                                    </a:prstGeom>
                                  </pic:spPr>
                                </pic:pic>
                              </a:graphicData>
                            </a:graphic>
                          </wp:inline>
                        </w:drawing>
                      </w:r>
                      <w:r>
                        <w:rPr>
                          <w:vanish/>
                          <w:color w:val="auto"/>
                        </w:rPr>
                        <w:br/>
                      </w:r>
                      <w:r>
                        <w:rPr>
                          <w:i w:val="false"/>
                          <w:iCs w:val="false"/>
                          <w:color w:val="auto"/>
                          <w:sz w:val="20"/>
                          <w:szCs w:val="20"/>
                        </w:rPr>
                        <w:t xml:space="preserve">Иллюстрация </w:t>
                      </w:r>
                      <w:r>
                        <w:rPr>
                          <w:i w:val="false"/>
                          <w:iCs w:val="false"/>
                          <w:color w:val="auto"/>
                          <w:sz w:val="20"/>
                          <w:szCs w:val="20"/>
                        </w:rPr>
                        <w:fldChar w:fldCharType="begin"/>
                      </w:r>
                      <w:r>
                        <w:rPr>
                          <w:sz w:val="20"/>
                          <w:i w:val="false"/>
                          <w:szCs w:val="20"/>
                          <w:iCs w:val="false"/>
                        </w:rPr>
                        <w:instrText> SEQ Иллюстрация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i w:val="false"/>
                          <w:iCs w:val="false"/>
                          <w:color w:val="auto"/>
                          <w:sz w:val="20"/>
                          <w:szCs w:val="20"/>
                        </w:rPr>
                        <w:t>: Пример разметки в RTSD.</w:t>
                      </w:r>
                    </w:p>
                  </w:txbxContent>
                </v:textbox>
              </v:rect>
            </w:pict>
          </mc:Fallback>
        </mc:AlternateContent>
      </w:r>
      <w:r>
        <w:rPr/>
        <w:t>Для классов 3.11, 3.12, 3.13, 3.14, 3.16, 3.24, 3.25, 3.4, 6.2 указаны дополнительные данные: числовое значение на знаке.</w:t>
      </w:r>
    </w:p>
    <w:p>
      <w:pPr>
        <w:pStyle w:val="TextBody"/>
        <w:rPr/>
      </w:pPr>
      <w:r>
        <w:rPr/>
        <w:t>База достаточно разнообразна, собрана в разные сезоны, при разных погодных условиях. Ночных изображений нет, есть вечерние. Снималось на видеорегистратор, установленный внутри автомобиля. Ездили со скоростью обычного авто, многие фото смазаны. В оригинальной базе отсутствуют знаки 8.22.1 - 8.22.3, но были размечены в лаборатории.</w:t>
      </w:r>
    </w:p>
    <w:p>
      <w:pPr>
        <w:pStyle w:val="TextBody"/>
        <w:rPr/>
      </w:pPr>
      <w:r>
        <w:rPr>
          <w:lang w:val="en-US"/>
        </w:rPr>
        <w:t>B. IceVision</w:t>
      </w:r>
    </w:p>
    <w:p>
      <w:pPr>
        <w:pStyle w:val="TextBody"/>
        <w:rPr/>
      </w:pPr>
      <w:r>
        <w:rPr>
          <w:lang w:val="en-US"/>
        </w:rPr>
        <w:t>В рамках проводимого конкурса Ice Vision в 2019 году был опубликован набор данных, содержащий видеозаписи с размеченными дорожными знаками в зимних условиях и условиях плохой видимости[11].</w:t>
      </w:r>
    </w:p>
    <w:p>
      <w:pPr>
        <w:pStyle w:val="TextBody"/>
        <w:rPr/>
      </w:pPr>
      <w:r>
        <w:rPr>
          <w:lang w:val="en-US"/>
        </w:rPr>
        <w:t>Детали открытого набора данных Ice Vision представлены в таблице 2.</w:t>
      </w:r>
    </w:p>
    <w:tbl>
      <w:tblPr>
        <w:tblW w:w="48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440"/>
        <w:gridCol w:w="2439"/>
      </w:tblGrid>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Характеристика</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Значение</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 xml:space="preserve">Разрешение </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2448х2048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Всего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212965</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Размечено кадров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8563</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классов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178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Число боксов</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42758</w:t>
            </w:r>
          </w:p>
        </w:tc>
      </w:tr>
      <w:tr>
        <w:trPr/>
        <w:tc>
          <w:tcPr>
            <w:tcW w:w="2440" w:type="dxa"/>
            <w:tcBorders>
              <w:top w:val="single" w:sz="2" w:space="0" w:color="000000"/>
              <w:left w:val="single" w:sz="2" w:space="0" w:color="000000"/>
              <w:bottom w:val="single" w:sz="2" w:space="0" w:color="000000"/>
              <w:insideH w:val="single" w:sz="2" w:space="0" w:color="000000"/>
            </w:tcBorders>
            <w:shd w:fill="auto" w:val="clear"/>
          </w:tcPr>
          <w:p>
            <w:pPr>
              <w:pStyle w:val="Style15"/>
              <w:rPr/>
            </w:pPr>
            <w:r>
              <w:rPr/>
              <w:t>Кадров со знаками</w:t>
            </w:r>
          </w:p>
        </w:tc>
        <w:tc>
          <w:tcPr>
            <w:tcW w:w="24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5"/>
              <w:rPr/>
            </w:pPr>
            <w:r>
              <w:rPr/>
              <w:t>6956</w:t>
            </w:r>
          </w:p>
        </w:tc>
      </w:tr>
    </w:tbl>
    <w:p>
      <w:pPr>
        <w:pStyle w:val="TextBody"/>
        <w:rPr/>
      </w:pPr>
      <w:r>
        <w:rPr>
          <w:lang w:val="en-US"/>
        </w:rPr>
        <w:t>Таблица 2. Характеристики датасета IceVision.</w:t>
      </w:r>
    </w:p>
    <w:p>
      <w:pPr>
        <w:pStyle w:val="TextBody"/>
        <w:ind w:hanging="0"/>
        <w:rPr/>
      </w:pPr>
      <w:r>
        <w:rPr/>
        <w:t>Все знаки также содержат дополнительную разметку в виде содержащегося на них текста. Это касается не только знаков типа ограничения скорости, но и информационных табличек. Также каждый знак имеет метку temporary (является ли знак временным, желтый фон) и occluded (является ли знак частично закрытым другим объектом).</w:t>
      </w:r>
    </w:p>
    <w:p>
      <w:pPr>
        <w:pStyle w:val="TextBody"/>
        <w:ind w:hanging="0"/>
        <w:rPr/>
      </w:pPr>
      <w:r>
        <w:rPr/>
        <w:t>Данные собирались исключительно в зимних условиях в Московской области. Присутствуют как ночные, так и дневные изображения. Исходные данные представляют собой последовательности кадров, записанных с частотой 30fps. При этом размечается примерно каждый 30-й кадр.</w:t>
      </w:r>
    </w:p>
    <w:p>
      <w:pPr>
        <w:pStyle w:val="TextBody"/>
        <w:ind w:hanging="0"/>
        <w:rPr/>
      </w:pPr>
      <w:r>
        <w:rPr/>
        <w:t>В разметке присутствуют знаки с площадью ограничивающего прямоугольника от 100 пикселей. Многие знаки при этом неразличимы. На глаз невозможно не только определить класс знака, но и само его наличие.</w:t>
      </w:r>
    </w:p>
    <w:p>
      <w:pPr>
        <w:pStyle w:val="Heading1"/>
        <w:numPr>
          <w:ilvl w:val="0"/>
          <w:numId w:val="3"/>
        </w:numPr>
        <w:ind w:hanging="0"/>
        <w:rPr/>
      </w:pPr>
      <w:r>
        <w:rPr/>
        <w:t>Deep Learning Approach to traffic sign recognition</w:t>
      </w:r>
    </w:p>
    <w:p>
      <w:pPr>
        <w:pStyle w:val="TextBody"/>
        <w:rPr/>
      </w:pPr>
      <w:r>
        <w:rPr/>
        <w:t>При решении задачи детекции объектов на изображении при помощи методов глубокого обучения встаёт вопрос о выборе оптимальной архитектуры нейросети. Выбор происходит с опором на метрики, которые тот или иной алгоритм показывает на данном датасете. Особое внимание отводится mAP, mAR и FPS. Зачастую вопрос выбора архитектуры нейронной сети сводится к тому, чтобы подобрать решение с максимальными показателями mAP и mAR и удовлетворительным FPS. Во многом именно FPS устанавливает ограничения на применения того или иного алгоритма. В нашей работе мы исследовали 5 архитектур нейростей: Mask R-CNN[3], Faster R-CNN[14], Cascade R-CNN[15], Cascade Mask R-CNN и Retina Net[16]. Все из них были протестированы на датасете IceVision и RTSD. Были проанализированы метрики для каждой архитектуры, а так же время работы на [</w:t>
      </w:r>
      <w:r>
        <w:rPr>
          <w:color w:val="CE181E"/>
        </w:rPr>
        <w:t>УКАЗАТЬ ЖЕЛЕЗО</w:t>
      </w:r>
      <w:r>
        <w:rPr/>
        <w:t>].</w:t>
      </w:r>
    </w:p>
    <w:p>
      <w:pPr>
        <w:pStyle w:val="Heading1"/>
        <w:numPr>
          <w:ilvl w:val="0"/>
          <w:numId w:val="3"/>
        </w:numPr>
        <w:ind w:hanging="0"/>
        <w:rPr/>
      </w:pPr>
      <w:r>
        <w:rPr/>
        <w:t>Matching Algorithm</w:t>
      </w:r>
    </w:p>
    <w:p>
      <w:pPr>
        <w:pStyle w:val="TextBody"/>
        <w:ind w:hanging="0"/>
        <w:rPr/>
      </w:pPr>
      <w:r>
        <w:rPr/>
        <w:tab/>
      </w:r>
      <w:r>
        <w:rPr/>
        <w:t>Стандартной проблемой, возникающей при попытке применения подхода still image detection к задаче детекции объектов на видеопоследовательностях является периодическая потеря объекта. Как правило, объект теряется на небольшое количество кадров. Возможна и обратная ситуация, когда в последовательности детекций возникает объект, которого не было на предыдущих и нет на последующих кадрах. Возникает идея использования информации с предыдущих кадров для калибровки результатов на последующих. Один возможный подход это использование трекера объектов, для продолжения (propogation) ограничивающих прямоугольников на последующие кадры. Последние работы по детекции объектов на видео предлагают end-to-end подходы, позволяющие достигнуть значительного увеличения качества и скорости обработки. В то же время, эти подходя требуют размеченных последовательностей кадров, что является очень трудоемкой задачей. Здесь мы применяем другой подход, позволяющий сглаживать результаты still image detection на последовательных кадрах используя информацию с предыдущих кадров. Причем мы используем как геометрическую информацию, так и семантическую. Этот подход, называемый Seq-Bbox-Matching, позволяет с минимальными дополнительными расходами увеличить качество детектирования и не требует дополнительных модификаций процесса обучения/тестирования моделей.</w:t>
      </w:r>
    </w:p>
    <w:p>
      <w:pPr>
        <w:pStyle w:val="TextBody"/>
        <w:ind w:hanging="0"/>
        <w:rPr/>
      </w:pPr>
      <w:r>
        <w:rPr/>
        <w:tab/>
      </w:r>
      <w:r>
        <w:rPr/>
        <w:t xml:space="preserve">Алгоритм Seq-Bbox-Matching заключается в объединении результатов детекции на текущем кадре с результатом на предыдущем кадре. Вводится метрика между ограничивающими прямоугольникми на друх последовательных кадрах, учитывающаяя как их геометрическое расположение посредствам IoU, так и семантическое сходство, посредствам вычисления косинусного расстояния между векторами, представляющими собой выходы сети классификации анкоров (anchor). Отметим, что в оригинальной работе использовалось скалярное произведение между векторами вероятностей. Мы обнаружли, что косинусное расстояние позволяет достигнуть лучшего результата, не требуя существенного увеличения вычислительных ресурсов. В остальном наш алгоритм повторяет оригинальную работу. Кроме того, мы предоставляем открытую реализацию метода </w:t>
      </w:r>
      <w:hyperlink r:id="rId6">
        <w:r>
          <w:rPr>
            <w:rStyle w:val="InternetLink"/>
          </w:rPr>
          <w:t>https://github.com/ivbelkin/icevision/blob/master/icevision/seq_bbox_matching.py</w:t>
        </w:r>
      </w:hyperlink>
      <w:r>
        <w:rPr/>
        <w:t>.</w:t>
      </w:r>
    </w:p>
    <w:p>
      <w:pPr>
        <w:pStyle w:val="Heading2"/>
        <w:numPr>
          <w:ilvl w:val="1"/>
          <w:numId w:val="3"/>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3"/>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3"/>
        </w:numPr>
        <w:ind w:firstLine="288"/>
        <w:rPr/>
      </w:pPr>
      <w:r>
        <w:rPr/>
        <w:t xml:space="preserve">For papers with less than six authors: </w:t>
      </w:r>
      <w:r>
        <w:rPr>
          <w:i w:val="false"/>
        </w:rPr>
        <w:t>To change the default, adjust the template as follows.</w:t>
      </w:r>
    </w:p>
    <w:p>
      <w:pPr>
        <w:pStyle w:val="Heading4"/>
        <w:numPr>
          <w:ilvl w:val="3"/>
          <w:numId w:val="3"/>
        </w:numPr>
        <w:ind w:firstLine="504"/>
        <w:rPr/>
      </w:pPr>
      <w:r>
        <w:rPr/>
        <w:t xml:space="preserve">Selection: </w:t>
      </w:r>
      <w:r>
        <w:rPr>
          <w:i w:val="false"/>
        </w:rPr>
        <w:t>Highlight all author and affiliation lines.</w:t>
      </w:r>
    </w:p>
    <w:p>
      <w:pPr>
        <w:pStyle w:val="Heading4"/>
        <w:numPr>
          <w:ilvl w:val="3"/>
          <w:numId w:val="3"/>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3"/>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3"/>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5"/>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Look w:noVBand="0" w:noHBand="0" w:lastColumn="0" w:firstColumn="0" w:lastRow="0" w:firstRow="0"/>
      </w:tblPr>
      <w:tblGrid>
        <w:gridCol w:w="717"/>
        <w:gridCol w:w="2342"/>
        <w:gridCol w:w="901"/>
        <w:gridCol w:w="900"/>
      </w:tblGrid>
      <w:tr>
        <w:trPr>
          <w:tblHeader w:val="true"/>
          <w:trHeight w:val="240" w:hRule="atLeast"/>
          <w:cantSplit w:val="true"/>
        </w:trPr>
        <w:tc>
          <w:tcPr>
            <w:tcW w:w="7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6"/>
        </w:numPr>
        <w:ind w:left="58" w:hanging="29"/>
        <w:rPr/>
      </w:pPr>
      <w:r>
        <w:rPr/>
        <w:t>Sample of a Table footnote. (</w:t>
      </w:r>
      <w:r>
        <w:rPr>
          <w:i/>
        </w:rPr>
        <w:t>Table footnote</w:t>
      </w:r>
      <w:r>
        <w:rPr/>
        <w:t>)</w:t>
      </w:r>
    </w:p>
    <w:p>
      <w:pPr>
        <w:pStyle w:val="Figurecaption"/>
        <w:numPr>
          <w:ilvl w:val="0"/>
          <w:numId w:val="2"/>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TextBody"/>
        <w:numPr>
          <w:ilvl w:val="0"/>
          <w:numId w:val="4"/>
        </w:numPr>
        <w:rPr/>
      </w:pPr>
      <w:hyperlink r:id="rId7">
        <w:r>
          <w:rPr>
            <w:rStyle w:val="Style11"/>
            <w:b w:val="false"/>
            <w:bCs w:val="false"/>
            <w:i w:val="false"/>
            <w:iCs w:val="false"/>
            <w:u w:val="none"/>
          </w:rPr>
          <w:t>http://papers.nips.cc/paper/5207-deep-neural-networks-for-object-detection</w:t>
        </w:r>
      </w:hyperlink>
      <w:hyperlink r:id="rId8">
        <w:r>
          <w:rPr>
            <w:rStyle w:val="Style11"/>
            <w:b w:val="false"/>
            <w:bCs w:val="false"/>
            <w:i w:val="false"/>
            <w:iCs w:val="false"/>
            <w:u w:val="none"/>
          </w:rPr>
          <w:t>http://papers.nips.cc/paper/5207-deep-neural-networks-for-object-detection</w:t>
        </w:r>
      </w:hyperlink>
    </w:p>
    <w:p>
      <w:pPr>
        <w:pStyle w:val="TextBody"/>
        <w:numPr>
          <w:ilvl w:val="0"/>
          <w:numId w:val="4"/>
        </w:numPr>
        <w:rPr/>
      </w:pPr>
      <w:hyperlink r:id="rId9">
        <w:r>
          <w:rPr>
            <w:rStyle w:val="Style11"/>
          </w:rPr>
          <w:t>http://openaccess.thecvf.com/content_CVPR_2</w:t>
        </w:r>
      </w:hyperlink>
      <w:hyperlink r:id="rId10">
        <w:r>
          <w:rPr>
            <w:rStyle w:val="Style11"/>
          </w:rPr>
          <w:t>019/html/Chen_Hybrid_Task_Cascade_for_Instance_Se</w:t>
        </w:r>
      </w:hyperlink>
      <w:hyperlink r:id="rId11">
        <w:r>
          <w:rPr>
            <w:rStyle w:val="Style11"/>
          </w:rPr>
          <w:t>gmentation_CVPR_2019_paper.html</w:t>
        </w:r>
      </w:hyperlink>
    </w:p>
    <w:p>
      <w:pPr>
        <w:pStyle w:val="TextBody"/>
        <w:numPr>
          <w:ilvl w:val="0"/>
          <w:numId w:val="4"/>
        </w:numPr>
        <w:rPr/>
      </w:pPr>
      <w:hyperlink r:id="rId12">
        <w:r>
          <w:rPr>
            <w:rStyle w:val="Style11"/>
          </w:rPr>
          <w:t>http://openaccess.thecvf.com/content_iccv_2017/html/He_Mask_R-CNN_ICCV_2017_paper.htmlhttp://openaccess.thecvf.com/content_iccv_2017/html/He_Mask_R-CNN_ICCV_2017_paper.html</w:t>
        </w:r>
      </w:hyperlink>
    </w:p>
    <w:p>
      <w:pPr>
        <w:pStyle w:val="TextBody"/>
        <w:numPr>
          <w:ilvl w:val="0"/>
          <w:numId w:val="0"/>
        </w:numPr>
        <w:ind w:left="360" w:hanging="0"/>
        <w:rPr/>
      </w:pPr>
      <w:r>
        <w:rPr/>
      </w:r>
    </w:p>
    <w:p>
      <w:pPr>
        <w:pStyle w:val="TextBody"/>
        <w:numPr>
          <w:ilvl w:val="0"/>
          <w:numId w:val="4"/>
        </w:numPr>
        <w:rPr/>
      </w:pPr>
      <w:hyperlink r:id="rId13">
        <w:r>
          <w:rPr>
            <w:rStyle w:val="Style11"/>
          </w:rPr>
          <w:t>http://openaccess.thecvf.com/content_cvpr_2018/html/Cai_Cascade_R-CNN_Delving_CVPR_2018_paper.html</w:t>
        </w:r>
      </w:hyperlink>
    </w:p>
    <w:p>
      <w:pPr>
        <w:pStyle w:val="References"/>
        <w:numPr>
          <w:ilvl w:val="0"/>
          <w:numId w:val="4"/>
        </w:numPr>
        <w:ind w:left="354" w:hanging="354"/>
        <w:rPr/>
      </w:pPr>
      <w:r>
        <w:rPr/>
        <w:t>https://www.cv-foundation.org/openaccess/content_cvpr_2015/html/Long_Fully_Convolutional_Networks_2015_CVPR_paper.html</w:t>
      </w:r>
    </w:p>
    <w:p>
      <w:pPr>
        <w:pStyle w:val="References"/>
        <w:numPr>
          <w:ilvl w:val="0"/>
          <w:numId w:val="4"/>
        </w:numPr>
        <w:ind w:left="354" w:hanging="354"/>
        <w:rPr/>
      </w:pPr>
      <w:r>
        <w:rPr/>
        <w:t>https://arxiv.org/abs/1710.03958</w:t>
      </w:r>
    </w:p>
    <w:p>
      <w:pPr>
        <w:pStyle w:val="References"/>
        <w:numPr>
          <w:ilvl w:val="0"/>
          <w:numId w:val="4"/>
        </w:numPr>
        <w:ind w:left="354" w:hanging="354"/>
        <w:rPr/>
      </w:pPr>
      <w:hyperlink r:id="rId14">
        <w:r>
          <w:rPr>
            <w:rStyle w:val="Style11"/>
          </w:rPr>
          <w:t>https://arxiv.org/abs/1602.08465</w:t>
        </w:r>
      </w:hyperlink>
    </w:p>
    <w:p>
      <w:pPr>
        <w:pStyle w:val="References"/>
        <w:numPr>
          <w:ilvl w:val="0"/>
          <w:numId w:val="4"/>
        </w:numPr>
        <w:ind w:left="354" w:hanging="354"/>
        <w:rPr/>
      </w:pPr>
      <w:r>
        <w:rPr/>
        <w:t>Hatem Belhassen, Heng Zhang, Fresse, Virginie, El-Bey Bourennane. Improving Video Object Detection by Seq-Bbox Matching. 14th International Joint Conference on Computer Vision, Imaging and Computer Graphics Theory and Applications, Feb 2019, Prague, Czech Republic. ⟨hal-02050829⟩</w:t>
      </w:r>
    </w:p>
    <w:p>
      <w:pPr>
        <w:pStyle w:val="TextBody"/>
        <w:numPr>
          <w:ilvl w:val="0"/>
          <w:numId w:val="4"/>
        </w:numPr>
        <w:rPr/>
      </w:pPr>
      <w:r>
        <w:rPr/>
        <w:t xml:space="preserve">Лаборатория компьютерной графики и мультимедиа. URL: </w:t>
      </w:r>
      <w:hyperlink r:id="rId15">
        <w:r>
          <w:rPr>
            <w:rStyle w:val="Style11"/>
          </w:rPr>
          <w:t>http://graphics.cs.msu.ru/ru/node/1266</w:t>
        </w:r>
      </w:hyperlink>
    </w:p>
    <w:p>
      <w:pPr>
        <w:pStyle w:val="TextBody"/>
        <w:numPr>
          <w:ilvl w:val="0"/>
          <w:numId w:val="4"/>
        </w:numPr>
        <w:rPr/>
      </w:pPr>
      <w:r>
        <w:rPr/>
        <w:t xml:space="preserve">В.И. Шахуро, А.С. Конушин. Российская база изображений автодорожных знаков, Компьютерная оптика. - 2016. - Т.40 № 2. - С. 294-300. </w:t>
      </w:r>
      <w:hyperlink r:id="rId16">
        <w:r>
          <w:rPr>
            <w:rStyle w:val="Style11"/>
          </w:rPr>
          <w:t>https://cyberleninka.ru/article/v/rossiyskaya-baza-izobrazheniy-avtodorozhnyh-znakov</w:t>
        </w:r>
      </w:hyperlink>
    </w:p>
    <w:p>
      <w:pPr>
        <w:pStyle w:val="TextBody"/>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rPr>
        <w:t>Artem L. Pavlov, Pavel A. Karpyshev, George V. Ovchinnikov, Ivan V. Oseledets, and Dzmitry Tsetserukou, "IceVisionSet: lossless video dataset collected on Russian winter roads with traffic sign annotations", IEEE International Conference on Robotics and Automation (ICRA), 2019.</w:t>
      </w:r>
    </w:p>
    <w:p>
      <w:pPr>
        <w:pStyle w:val="TextBody"/>
        <w:numPr>
          <w:ilvl w:val="0"/>
          <w:numId w:val="4"/>
        </w:numPr>
        <w:rPr/>
      </w:pPr>
      <w:r>
        <w:rPr>
          <w:b w:val="false"/>
          <w:i w:val="false"/>
          <w:caps w:val="false"/>
          <w:smallCaps w:val="false"/>
          <w:color w:val="000000"/>
          <w:spacing w:val="0"/>
          <w:sz w:val="20"/>
          <w:szCs w:val="20"/>
        </w:rPr>
        <w:t xml:space="preserve"> </w:t>
      </w:r>
      <w:hyperlink r:id="rId17">
        <w:r>
          <w:rPr>
            <w:rStyle w:val="Style11"/>
            <w:b w:val="false"/>
            <w:i w:val="false"/>
            <w:caps w:val="false"/>
            <w:smallCaps w:val="false"/>
            <w:color w:val="000000"/>
            <w:spacing w:val="0"/>
            <w:sz w:val="20"/>
            <w:szCs w:val="20"/>
            <w:lang w:val="en-US"/>
          </w:rPr>
          <w:t>https://github.com/icevision/annotations</w:t>
        </w:r>
      </w:hyperlink>
    </w:p>
    <w:p>
      <w:pPr>
        <w:pStyle w:val="TextBody"/>
        <w:numPr>
          <w:ilvl w:val="0"/>
          <w:numId w:val="4"/>
        </w:numPr>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 xml:space="preserve">Everingham, M., Van Gool, L., Williams, C.K.I. et al. Int J Comput Vis (2010) 88: 303. </w:t>
      </w:r>
      <w:hyperlink r:id="rId18">
        <w:r>
          <w:rPr>
            <w:rStyle w:val="Style11"/>
            <w:b w:val="false"/>
            <w:i w:val="false"/>
            <w:caps w:val="false"/>
            <w:smallCaps w:val="false"/>
            <w:color w:val="000000"/>
            <w:spacing w:val="0"/>
            <w:sz w:val="20"/>
            <w:szCs w:val="20"/>
            <w:lang w:val="en-US"/>
          </w:rPr>
          <w:t>https://doi.org/10.1007/s11263-009-0275-4</w:t>
        </w:r>
      </w:hyperlink>
    </w:p>
    <w:p>
      <w:pPr>
        <w:pStyle w:val="TextBody"/>
        <w:numPr>
          <w:ilvl w:val="0"/>
          <w:numId w:val="4"/>
        </w:numPr>
        <w:rPr/>
      </w:pPr>
      <w:r>
        <w:rPr>
          <w:b w:val="false"/>
          <w:i w:val="false"/>
          <w:caps w:val="false"/>
          <w:smallCaps w:val="false"/>
          <w:color w:val="000000"/>
          <w:spacing w:val="0"/>
          <w:sz w:val="20"/>
          <w:szCs w:val="20"/>
          <w:lang w:val="en-US"/>
        </w:rPr>
        <w:t xml:space="preserve"> </w:t>
      </w:r>
      <w:hyperlink r:id="rId19">
        <w:r>
          <w:rPr>
            <w:rStyle w:val="Style11"/>
            <w:b w:val="false"/>
            <w:i w:val="false"/>
            <w:caps w:val="false"/>
            <w:smallCaps w:val="false"/>
            <w:color w:val="000000"/>
            <w:spacing w:val="0"/>
            <w:sz w:val="20"/>
            <w:szCs w:val="20"/>
            <w:lang w:val="en-US"/>
          </w:rPr>
          <w:t>http://papers.nips.cc/paper/5638-faster-r-cnn-towards-real-time-object-detection-with-region-proposal-networks</w:t>
        </w:r>
      </w:hyperlink>
    </w:p>
    <w:p>
      <w:pPr>
        <w:pStyle w:val="TextBody"/>
        <w:numPr>
          <w:ilvl w:val="0"/>
          <w:numId w:val="4"/>
        </w:numPr>
        <w:rPr/>
      </w:pPr>
      <w:hyperlink r:id="rId20">
        <w:r>
          <w:rPr>
            <w:rStyle w:val="Style11"/>
            <w:b w:val="false"/>
            <w:i w:val="false"/>
            <w:caps w:val="false"/>
            <w:smallCaps w:val="false"/>
            <w:color w:val="000000"/>
            <w:spacing w:val="0"/>
            <w:sz w:val="20"/>
            <w:szCs w:val="20"/>
            <w:lang w:val="en-US"/>
          </w:rPr>
          <w:t>http://openaccess.thecvf.com/content_cvpr_2018/html/Cai_Cascade_R-CNN_Delving_CVPR_2018_paper.html</w:t>
        </w:r>
      </w:hyperlink>
    </w:p>
    <w:p>
      <w:pPr>
        <w:pStyle w:val="TextBody"/>
        <w:numPr>
          <w:ilvl w:val="0"/>
          <w:numId w:val="4"/>
        </w:numPr>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0"/>
          <w:szCs w:val="20"/>
          <w:lang w:val="en-US"/>
        </w:rPr>
        <w:t xml:space="preserve"> </w:t>
      </w:r>
      <w:r>
        <w:rPr>
          <w:b w:val="false"/>
          <w:i w:val="false"/>
          <w:caps w:val="false"/>
          <w:smallCaps w:val="false"/>
          <w:color w:val="000000"/>
          <w:spacing w:val="0"/>
          <w:sz w:val="20"/>
          <w:szCs w:val="20"/>
          <w:lang w:val="en-US"/>
        </w:rPr>
        <w:t>https://arxiv.org/abs/1708.02002</w:t>
      </w:r>
    </w:p>
    <w:p>
      <w:pPr>
        <w:pStyle w:val="TextBody"/>
        <w:rPr>
          <w:sz w:val="20"/>
          <w:szCs w:val="20"/>
          <w:lang w:val="en-US"/>
        </w:rPr>
      </w:pPr>
      <w:r>
        <w:rPr>
          <w:sz w:val="20"/>
          <w:szCs w:val="20"/>
          <w:lang w:val="en-US"/>
        </w:rPr>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28"/>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Style9">
    <w:name w:val="Символ нумерации"/>
    <w:qForma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Style10">
    <w:name w:val="Исходный текст"/>
    <w:qFormat/>
    <w:rPr>
      <w:rFonts w:ascii="Liberation Mono" w:hAnsi="Liberation Mono" w:eastAsia="Liberation Mono" w:cs="Liberation Mono"/>
    </w:rPr>
  </w:style>
  <w:style w:type="character" w:styleId="Style11">
    <w:name w:val="Интернет-ссылка"/>
    <w:qFormat/>
    <w:rPr>
      <w:color w:val="000080"/>
      <w:u w:val="single"/>
      <w:lang w:val="zxx" w:eastAsia="zxx" w:bidi="zxx"/>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Times New Roman"/>
      <w:b w:val="false"/>
      <w:bCs w:val="false"/>
      <w:i w:val="false"/>
      <w:iCs w:val="false"/>
      <w:color w:val="auto"/>
      <w:sz w:val="16"/>
      <w:szCs w:val="16"/>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caps w:val="false"/>
      <w:smallCaps w:val="false"/>
      <w:strike w:val="false"/>
      <w:dstrike w:val="false"/>
      <w:vanish w:val="false"/>
      <w:color w:val="auto"/>
      <w:position w:val="0"/>
      <w:sz w:val="20"/>
      <w:sz w:val="20"/>
      <w:szCs w:val="20"/>
      <w:vertAlign w:val="baseline"/>
    </w:rPr>
  </w:style>
  <w:style w:type="character" w:styleId="ListLabel152">
    <w:name w:val="ListLabel 15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3">
    <w:name w:val="ListLabel 15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4">
    <w:name w:val="ListLabel 154"/>
    <w:qFormat/>
    <w:rPr>
      <w:rFonts w:cs="Times New Roman"/>
      <w:b w:val="false"/>
      <w:bCs w:val="false"/>
      <w:i/>
      <w:iCs/>
      <w:sz w:val="20"/>
      <w:szCs w:val="20"/>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ascii="Times New Roman" w:hAnsi="Times New Roman" w:cs="Times New Roman"/>
      <w:b w:val="false"/>
      <w:bCs w:val="false"/>
      <w:i w:val="false"/>
      <w:iCs w:val="false"/>
      <w:sz w:val="28"/>
      <w:szCs w:val="16"/>
    </w:rPr>
  </w:style>
  <w:style w:type="character" w:styleId="ListLabel161">
    <w:name w:val="ListLabel 161"/>
    <w:qFormat/>
    <w:rPr>
      <w:rFonts w:cs="Times New Roman"/>
      <w:b w:val="false"/>
      <w:bCs w:val="false"/>
      <w:i w:val="false"/>
      <w:iCs w:val="false"/>
      <w:sz w:val="16"/>
      <w:szCs w:val="16"/>
    </w:rPr>
  </w:style>
  <w:style w:type="character" w:styleId="ListLabel162">
    <w:name w:val="ListLabel 162"/>
    <w:qFormat/>
    <w:rPr>
      <w:b w:val="false"/>
      <w:i w:val="false"/>
      <w:caps w:val="false"/>
      <w:smallCaps w:val="false"/>
      <w:strike w:val="false"/>
      <w:dstrike w:val="false"/>
      <w:vanish w:val="false"/>
      <w:color w:val="auto"/>
      <w:spacing w:val="0"/>
      <w:w w:val="100"/>
      <w:kern w:val="0"/>
      <w:sz w:val="16"/>
      <w:vertAlign w:val="superscript"/>
    </w:rPr>
  </w:style>
  <w:style w:type="character" w:styleId="ListLabel163">
    <w:name w:val="ListLabel 163"/>
    <w:qFormat/>
    <w:rPr/>
  </w:style>
  <w:style w:type="character" w:styleId="InternetLink">
    <w:name w:val="Internet Link"/>
    <w:rPr>
      <w:color w:val="000080"/>
      <w:u w:val="single"/>
      <w:lang w:val="zxx" w:eastAsia="zxx" w:bidi="zxx"/>
    </w:rPr>
  </w:style>
  <w:style w:type="character" w:styleId="ListLabel164">
    <w:name w:val="ListLabel 164"/>
    <w:qFormat/>
    <w:rPr>
      <w:b w:val="false"/>
      <w:bCs w:val="false"/>
      <w:i w:val="false"/>
      <w:iCs w:val="false"/>
      <w:u w:val="none"/>
    </w:rPr>
  </w:style>
  <w:style w:type="character" w:styleId="ListLabel165">
    <w:name w:val="ListLabel 165"/>
    <w:qFormat/>
    <w:rPr>
      <w:rFonts w:ascii="Times New Roman" w:hAnsi="Times New Roman"/>
      <w:b w:val="false"/>
      <w:i w:val="false"/>
      <w:caps w:val="false"/>
      <w:smallCaps w:val="false"/>
      <w:color w:val="000000"/>
      <w:spacing w:val="0"/>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name w:val="Заголовок"/>
    <w:basedOn w:val="Normal"/>
    <w:next w:val="TextBody"/>
    <w:qFormat/>
    <w:pPr>
      <w:keepNext w:val="true"/>
      <w:spacing w:before="240" w:after="120"/>
    </w:pPr>
    <w:rPr>
      <w:rFonts w:ascii="Liberation Sans" w:hAnsi="Liberation Sans" w:eastAsia="Noto Sans CJK SC" w:cs="Lohit Devanagari"/>
      <w:sz w:val="28"/>
      <w:szCs w:val="28"/>
    </w:rPr>
  </w:style>
  <w:style w:type="paragraph" w:styleId="Style13">
    <w:name w:val="Указатель"/>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Style14">
    <w:name w:val="Содержимое врезки"/>
    <w:basedOn w:val="Normal"/>
    <w:qFormat/>
    <w:pPr/>
    <w:rPr/>
  </w:style>
  <w:style w:type="paragraph" w:styleId="Style15">
    <w:name w:val="Содержимое таблицы"/>
    <w:basedOn w:val="Normal"/>
    <w:qFormat/>
    <w:pPr>
      <w:suppressLineNumbers/>
    </w:pPr>
    <w:rPr/>
  </w:style>
  <w:style w:type="paragraph" w:styleId="Style16">
    <w:name w:val="Иллюстрация"/>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openaccess.thecvf.com/content_cvpr_2018/html/Cai_Cascade_R-CNN_Delving_CVPR_2018_paper.html" TargetMode="External"/><Relationship Id="rId5" Type="http://schemas.openxmlformats.org/officeDocument/2006/relationships/image" Target="media/image1.jpeg"/><Relationship Id="rId6" Type="http://schemas.openxmlformats.org/officeDocument/2006/relationships/hyperlink" Target="https://github.com/ivbelkin/icevision/blob/master/icevision/seq_bbox_matching.py" TargetMode="External"/><Relationship Id="rId7" Type="http://schemas.openxmlformats.org/officeDocument/2006/relationships/hyperlink" Target="http://papers.nips.cc/paper/5207-deep-neural-networks-for-object-detection" TargetMode="External"/><Relationship Id="rId8" Type="http://schemas.openxmlformats.org/officeDocument/2006/relationships/hyperlink" Target="http://papers.nips.cc/paper/5207-deep-neural-networks-for-object-detection" TargetMode="External"/><Relationship Id="rId9" Type="http://schemas.openxmlformats.org/officeDocument/2006/relationships/hyperlink" Target="http://openaccess.thecvf.com/content_CVPR_2019/html/Chen_Hybrid_Task_Cascade_for_Instance_Segmentation_CVPR_2019_paper.html" TargetMode="External"/><Relationship Id="rId10" Type="http://schemas.openxmlformats.org/officeDocument/2006/relationships/hyperlink" Target="http://openaccess.thecvf.com/content_CVPR_2019/html/Chen_Hybrid_Task_Cascade_for_Instance_Segmentation_CVPR_2019_paper.html" TargetMode="External"/><Relationship Id="rId11" Type="http://schemas.openxmlformats.org/officeDocument/2006/relationships/hyperlink" Target="http://openaccess.thecvf.com/content_CVPR_2019/html/Chen_Hybrid_Task_Cascade_for_Instance_Segmentation_CVPR_2019_paper.html" TargetMode="External"/><Relationship Id="rId12" Type="http://schemas.openxmlformats.org/officeDocument/2006/relationships/hyperlink" Target="http://openaccess.thecvf.com/content_iccv_2017/html/He_Mask_R-CNN_ICCV_2017_paper.htmlhttp://openaccess.thecvf.com/content_iccv_2017/html/He_Mask_R-CNN_ICCV_2017_paper.html" TargetMode="External"/><Relationship Id="rId13" Type="http://schemas.openxmlformats.org/officeDocument/2006/relationships/hyperlink" Target="http://openaccess.thecvf.com/content_cvpr_2018/html/Cai_Cascade_R-CNN_Delving_CVPR_2018_paper.html" TargetMode="External"/><Relationship Id="rId14" Type="http://schemas.openxmlformats.org/officeDocument/2006/relationships/hyperlink" Target="https://arxiv.org/abs/1602.08465" TargetMode="External"/><Relationship Id="rId15" Type="http://schemas.openxmlformats.org/officeDocument/2006/relationships/hyperlink" Target="http://graphics.cs.msu.ru/ru/node/1266" TargetMode="External"/><Relationship Id="rId16" Type="http://schemas.openxmlformats.org/officeDocument/2006/relationships/hyperlink" Target="https://cyberleninka.ru/article/v/rossiyskaya-baza-izobrazheniy-avtodorozhnyh-znakov" TargetMode="External"/><Relationship Id="rId17" Type="http://schemas.openxmlformats.org/officeDocument/2006/relationships/hyperlink" Target="https://github.com/icevision/annotations" TargetMode="External"/><Relationship Id="rId18" Type="http://schemas.openxmlformats.org/officeDocument/2006/relationships/hyperlink" Target="https://doi.org/10.1007/s11263-009-0275-4" TargetMode="External"/><Relationship Id="rId19" Type="http://schemas.openxmlformats.org/officeDocument/2006/relationships/hyperlink" Target="http://papers.nips.cc/paper/5638-faster-r-cnn-towards-real-time-object-detection-with-region-proposal-networks" TargetMode="External"/><Relationship Id="rId20" Type="http://schemas.openxmlformats.org/officeDocument/2006/relationships/hyperlink" Target="http://openaccess.thecvf.com/content_cvpr_2018/html/Cai_Cascade_R-CNN_Delving_CVPR_2018_paper.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528</TotalTime>
  <Application>LibreOffice/6.1.3.2$Linux_X86_64 LibreOffice_project/86daf60bf00efa86ad547e59e09d6bb77c699acb</Application>
  <Pages>5</Pages>
  <Words>2591</Words>
  <Characters>17123</Characters>
  <CharactersWithSpaces>19594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2019-09-27T23:21:53Z</dcterms:modified>
  <cp:revision>14</cp:revision>
  <dc:subject/>
  <dc:title>Paper Title (use style: paper title)</dc:title>
</cp:coreProperties>
</file>