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1"/>
        <w:numPr>
          <w:ilvl w:val="0"/>
          <w:numId w:val="3"/>
        </w:numPr>
        <w:ind w:hanging="0"/>
        <w:rPr/>
      </w:pPr>
      <w:r>
        <w:rPr/>
        <w:t>Introduction (</w:t>
      </w:r>
      <w:r>
        <w:rPr>
          <w:rFonts w:eastAsia="MS Mincho"/>
          <w:i/>
        </w:rPr>
        <w:t>Heading 1</w:t>
      </w:r>
      <w:r>
        <w:rPr/>
        <w:t>)</w:t>
      </w:r>
    </w:p>
    <w:p>
      <w:pPr>
        <w:pStyle w:val="Style13"/>
        <w:rPr/>
      </w:pPr>
      <w:r>
        <w:rPr/>
        <w:t>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w:t>
      </w:r>
      <w:r>
        <w:rPr/>
        <w:t>[1]</w:t>
      </w:r>
      <w:r>
        <w:rPr/>
        <w:t>. За последние годы были достигнуты впечатляющие результаты в этой области, что делает разработанные методы</w:t>
      </w:r>
      <w:r>
        <w:rPr/>
        <w:t xml:space="preserve">[2, 3, </w:t>
      </w:r>
      <w:hyperlink r:id="rId4">
        <w:r>
          <w:rPr>
            <w:rStyle w:val="Style11"/>
          </w:rPr>
          <w:t>4</w:t>
        </w:r>
      </w:hyperlink>
      <w:r>
        <w:rPr/>
        <w:t>]</w:t>
      </w:r>
      <w:r>
        <w:rPr/>
        <w:t xml:space="preserve">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w:t>
      </w:r>
      <w:r>
        <w:rPr/>
        <w:t>[5]</w:t>
      </w:r>
      <w:r>
        <w:rPr/>
        <w:t xml:space="preserve">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Style13"/>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Style13"/>
        <w:rPr/>
      </w:pPr>
      <w:r>
        <w:rPr/>
        <w:t>Для использования дополнительной информации, содержащейся в последовательности, были разработаны глубокие сети особой ар</w:t>
      </w:r>
      <w:r>
        <w:rPr/>
        <w:t>х</w:t>
      </w:r>
      <w:r>
        <w:rPr/>
        <w:t>итектуры, принимающие на вход сразу несколько кадров, или обрабатывающие их с помощью рекуррентной нейронной сети. Такие подходы</w:t>
      </w:r>
      <w:r>
        <w:rPr/>
        <w:t>[6]</w:t>
      </w:r>
      <w:r>
        <w:rPr/>
        <w:t xml:space="preserve"> не только позволили улучшить качество работы на последовательных кадрах, но и существенно увеличить скорость обработки.</w:t>
      </w:r>
    </w:p>
    <w:p>
      <w:pPr>
        <w:pStyle w:val="Style13"/>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Style13"/>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w:t>
      </w:r>
      <w:r>
        <w:rPr/>
        <w:t>[7]</w:t>
      </w:r>
      <w:r>
        <w:rPr/>
        <w:t>,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w:t>
      </w:r>
      <w:r>
        <w:rPr/>
        <w:t>[8]</w:t>
      </w:r>
      <w:r>
        <w:rPr/>
        <w:t>,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Style13"/>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w:t>
      </w:r>
      <w:r>
        <w:rPr/>
        <w:t>[9]</w:t>
      </w:r>
      <w:r>
        <w:rPr/>
        <w:t>, являющейся самой крупной базой знаков дорожного движения, находящейся в открытом доступе. Для тестирования применялся новый набор данных IceVision</w:t>
      </w:r>
      <w:r>
        <w:rPr/>
        <w:t>[10]</w:t>
      </w:r>
      <w:r>
        <w:rPr/>
        <w:t>, собранный с прототипа автономного автомобиля. Получены метрики качества mAP</w:t>
      </w:r>
      <w:r>
        <w:rPr/>
        <w:t>[13]</w:t>
      </w:r>
      <w:r>
        <w:rPr/>
        <w:t>,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1"/>
        <w:numPr>
          <w:ilvl w:val="0"/>
          <w:numId w:val="3"/>
        </w:numPr>
        <w:ind w:hanging="0"/>
        <w:rPr/>
      </w:pPr>
      <w:r>
        <w:rPr/>
        <w:t>Problem Definition</w:t>
      </w:r>
    </w:p>
    <w:p>
      <w:pPr>
        <w:pStyle w:val="Style13"/>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2"/>
        <w:numPr>
          <w:ilvl w:val="1"/>
          <w:numId w:val="3"/>
        </w:numPr>
        <w:rPr/>
      </w:pPr>
      <w:r>
        <w:rPr/>
        <w:t>Описание задачи</w:t>
      </w:r>
    </w:p>
    <w:p>
      <w:pPr>
        <w:pStyle w:val="Style13"/>
        <w:rPr/>
      </w:pPr>
      <w:r>
        <w:rPr/>
        <w:t>Формально, нам дана упорядоченная последовательность кадров F = (f_i)_1^N длины N, где каждый кадр это RGB изображение фиксированного разрешения (w, h) полученное с RGB камеры, закрепленной на автомобиле. 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2"/>
        <w:numPr>
          <w:ilvl w:val="1"/>
          <w:numId w:val="3"/>
        </w:numPr>
        <w:ind w:left="288" w:hanging="0"/>
        <w:rPr>
          <w:i/>
          <w:i/>
          <w:iCs/>
        </w:rPr>
      </w:pPr>
      <w:r>
        <w:rPr>
          <w:i/>
          <w:iCs/>
        </w:rPr>
        <w:t>Оцека качества</w:t>
      </w:r>
    </w:p>
    <w:p>
      <w:pPr>
        <w:pStyle w:val="Style13"/>
        <w:ind w:hanging="0"/>
        <w:jc w:val="left"/>
        <w:rPr/>
      </w:pPr>
      <w:r>
        <w:rPr/>
        <w:tab/>
        <w:t>Стандартной метрикой оценки качества алгоритмов обнаружения объектов является mAP ([</w:t>
      </w:r>
      <w:r>
        <w:rPr/>
        <w:t>13</w:t>
      </w:r>
      <w:r>
        <w:rPr/>
        <w:t xml:space="preserve">]).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w:t>
      </w:r>
      <w:r>
        <w:rPr/>
        <w:t xml:space="preserve">Данная цифра была подобрана эммпирически, но она в целом отражает ситуацию на реальных изображениях: разметка, а так же детекция объектов меньшего размера вызвает серьёзные заттруднения. Повышение качества распознавания на небольших объектах связано с определёнными трудностями, в первую очередь с тем, что разрешение камер, а так же ограничения чувствительности человеческого глаза не позволяют корректно разметить такие объекты. Во-вторых, при подсчете mAP порог IOU был выбран 50% - эта цифра была выбрана в свзязи с тем, что именно такой порог фигурирует во многих исследованиях в области CV. В-третьих, при подсчёте метрик мы учитывали каждый 30 кадр. Это связано с тем, что разметка присутствовала только на каждом 30-м изображении. </w:t>
      </w:r>
    </w:p>
    <w:p>
      <w:pPr>
        <w:pStyle w:val="Style13"/>
        <w:ind w:hanging="0"/>
        <w:jc w:val="left"/>
        <w:rPr/>
      </w:pPr>
      <w:r>
        <w:rPr/>
        <w:t xml:space="preserve">Помимо mAP </w:t>
      </w:r>
      <w:r>
        <w:rPr/>
        <w:t xml:space="preserve">важной метрикой является FPS – показатель быстродействия данного алгоритма. Зачастую </w:t>
      </w:r>
    </w:p>
    <w:p>
      <w:pPr>
        <w:pStyle w:val="Style13"/>
        <w:ind w:hanging="0"/>
        <w:jc w:val="left"/>
        <w:rPr/>
      </w:pPr>
      <w:r>
        <w:rPr/>
        <w:t xml:space="preserve">выбор того или иного решения зависит от соотношения качества распознавания объектов и его производительности. </w:t>
      </w:r>
    </w:p>
    <w:p>
      <w:pPr>
        <w:pStyle w:val="1"/>
        <w:numPr>
          <w:ilvl w:val="0"/>
          <w:numId w:val="3"/>
        </w:numPr>
        <w:ind w:hanging="0"/>
        <w:rPr/>
      </w:pPr>
      <w:r>
        <w:rPr/>
        <w:t>Датасеты, использованные нами</w:t>
      </w:r>
    </w:p>
    <w:p>
      <w:pPr>
        <w:pStyle w:val="Style13"/>
        <w:rPr/>
      </w:pPr>
      <w:r>
        <w:rPr>
          <w:lang w:val="en-US"/>
        </w:rPr>
        <w:t xml:space="preserve">Особое положение в задаче компьютероного зрения отведено разметке и подготовке данных. В нашем исследовании мы использовали в качестве основных два датасета с размеченными российскими дорожными знаками: RTSD( Russian Traffic Sign Dataset)[] и  IceVision[]. </w:t>
      </w:r>
    </w:p>
    <w:p>
      <w:pPr>
        <w:pStyle w:val="Style13"/>
        <w:rPr/>
      </w:pPr>
      <w:r>
        <w:rPr>
          <w:lang w:val="en-US"/>
        </w:rPr>
        <w:t>A. RTSD</w:t>
      </w:r>
    </w:p>
    <w:p>
      <w:pPr>
        <w:pStyle w:val="Style13"/>
        <w:rPr/>
      </w:pPr>
      <w:r>
        <w:rPr/>
        <w:t>Набор данных RTSD [</w:t>
      </w:r>
      <w:r>
        <w:rPr/>
        <w:t>9</w:t>
      </w:r>
      <w:r>
        <w:rPr/>
        <w:t>] содержит самое большое количество размеченных изображений с дорожными знаками в различное время суток, разметка соответствует российским ГОСТам и правилам дорожного движения. [</w:t>
      </w:r>
      <w:r>
        <w:rPr/>
        <w:t>10</w:t>
      </w:r>
      <w:r>
        <w:rPr/>
        <w:t>]. Особенности набора данных указаны в таблице 1.</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0"/>
        <w:gridCol w:w="2440"/>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разрешение</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1280x720</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156</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104358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59188</w:t>
            </w:r>
          </w:p>
        </w:tc>
      </w:tr>
    </w:tbl>
    <w:p>
      <w:pPr>
        <w:pStyle w:val="Style13"/>
        <w:rPr/>
      </w:pPr>
      <w:r>
        <w:rPr/>
        <w:t>Таблица 1. Характеристики RTSD.</w:t>
      </w:r>
    </w:p>
    <w:p>
      <w:pPr>
        <w:pStyle w:val="Style13"/>
        <w:rPr/>
      </w:pPr>
      <w:r>
        <w:rPr/>
        <w:t>Для к</w:t>
      </w:r>
      <w:r>
        <w:rPr/>
        <w:t>ласс</w:t>
      </w:r>
      <w:r>
        <w:rPr/>
        <w:t>ов</w:t>
      </w:r>
      <w:r>
        <w:rPr/>
        <w:t xml:space="preserve"> 3.11, 3.12, 3.13, 3.14, 3.16, 3.24, 3.25, 3.4, 6.2 </w:t>
      </w:r>
      <w:r>
        <w:rPr/>
        <w:t>указаны</w:t>
      </w:r>
      <w:r>
        <w:rPr/>
        <w:t xml:space="preserve"> дополнительные данные: числовое значение на знаке.</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8800" cy="1998980"/>
                <wp:effectExtent l="0" t="0" r="0" b="0"/>
                <wp:wrapSquare wrapText="largest"/>
                <wp:docPr id="1" name="Врезка2"/>
                <a:graphic xmlns:a="http://schemas.openxmlformats.org/drawingml/2006/main">
                  <a:graphicData uri="http://schemas.microsoft.com/office/word/2010/wordprocessingShape">
                    <wps:wsp>
                      <wps:cNvSpPr txBox="1"/>
                      <wps:spPr>
                        <a:xfrm>
                          <a:off x="0" y="0"/>
                          <a:ext cx="3098800" cy="1998980"/>
                        </a:xfrm>
                        <a:prstGeom prst="rect"/>
                      </wps:spPr>
                      <wps:txbx>
                        <w:txbxContent>
                          <w:p>
                            <w:pPr>
                              <w:pStyle w:val="Style21"/>
                              <w:spacing w:before="120" w:after="120"/>
                              <w:rPr/>
                            </w:pPr>
                            <w:r>
                              <w:rPr/>
                              <w:drawing>
                                <wp:inline distT="0" distB="0" distL="0" distR="0">
                                  <wp:extent cx="3098800" cy="174307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rPr>
                              <w:br/>
                            </w:r>
                            <w:r>
                              <w:rPr>
                                <w:i w:val="false"/>
                                <w:iCs w:val="false"/>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sz w:val="20"/>
                                <w:szCs w:val="20"/>
                              </w:rPr>
                              <w:t>: Пример разметки в RTSD.</w:t>
                            </w:r>
                          </w:p>
                        </w:txbxContent>
                      </wps:txbx>
                      <wps:bodyPr anchor="t" lIns="0" tIns="0" rIns="0" bIns="0">
                        <a:noAutofit/>
                      </wps:bodyPr>
                    </wps:wsp>
                  </a:graphicData>
                </a:graphic>
              </wp:anchor>
            </w:drawing>
          </mc:Choice>
          <mc:Fallback>
            <w:pict>
              <v:rect style="position:absolute;rotation:0;width:244pt;height:157.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21"/>
                        <w:spacing w:before="120" w:after="120"/>
                        <w:rPr/>
                      </w:pPr>
                      <w:r>
                        <w:rPr/>
                        <w:drawing>
                          <wp:inline distT="0" distB="0" distL="0" distR="0">
                            <wp:extent cx="3098800" cy="17430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rPr>
                        <w:br/>
                      </w:r>
                      <w:r>
                        <w:rPr>
                          <w:i w:val="false"/>
                          <w:iCs w:val="false"/>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sz w:val="20"/>
                          <w:szCs w:val="20"/>
                        </w:rPr>
                        <w:t>: Пример разметки в RTSD.</w:t>
                      </w:r>
                    </w:p>
                  </w:txbxContent>
                </v:textbox>
                <w10:wrap type="square" side="largest"/>
              </v:rect>
            </w:pict>
          </mc:Fallback>
        </mc:AlternateContent>
      </w:r>
    </w:p>
    <w:p>
      <w:pPr>
        <w:pStyle w:val="Style13"/>
        <w:rPr/>
      </w:pPr>
      <w:r>
        <w:rPr/>
        <w:t>База достаточно разнообразна, собрана в разные сезоны, при разных погодных условиях. Ночных изображений нет, есть вечерние. Снималось на видеорегистратор, установленный внутри автомобиля. Ездили со скоростью обычного авто, многие фото смазаны. В оригинальной базе отсутствуют знаки 8.22.1 - 8.22.3, но были размечены в лаборатории.</w:t>
      </w:r>
    </w:p>
    <w:p>
      <w:pPr>
        <w:pStyle w:val="Style13"/>
        <w:rPr/>
      </w:pPr>
      <w:r>
        <w:rPr>
          <w:lang w:val="en-US"/>
        </w:rPr>
        <w:t>B</w:t>
      </w:r>
      <w:r>
        <w:rPr>
          <w:lang w:val="en-US"/>
        </w:rPr>
        <w:t xml:space="preserve">. </w:t>
      </w:r>
      <w:r>
        <w:rPr>
          <w:lang w:val="en-US"/>
        </w:rPr>
        <w:t>IceVision</w:t>
      </w:r>
    </w:p>
    <w:p>
      <w:pPr>
        <w:pStyle w:val="Style13"/>
        <w:rPr/>
      </w:pPr>
      <w:r>
        <w:rPr>
          <w:lang w:val="en-US"/>
        </w:rPr>
        <w:t>В рамках проводимого конкурса Ice Vision в 2019 году был опубликован набор данных, содержащий видеозаписи с размеченными дорожными знаками в зимних условиях и условиях плохой видимости[</w:t>
      </w:r>
      <w:r>
        <w:rPr>
          <w:lang w:val="en-US"/>
        </w:rPr>
        <w:t>11</w:t>
      </w:r>
      <w:r>
        <w:rPr>
          <w:lang w:val="en-US"/>
        </w:rPr>
        <w:t>].</w:t>
      </w:r>
    </w:p>
    <w:p>
      <w:pPr>
        <w:pStyle w:val="Style13"/>
        <w:rPr/>
      </w:pPr>
      <w:r>
        <w:rPr>
          <w:lang w:val="en-US"/>
        </w:rPr>
        <w:t>Детали открытого набора данных Ice Vision представлены в таблице 2.</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0"/>
        <w:gridCol w:w="2440"/>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 xml:space="preserve">Разрешение </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2448х2048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212965</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8563</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42758</w:t>
            </w:r>
          </w:p>
        </w:tc>
      </w:tr>
      <w:tr>
        <w:trPr/>
        <w:tc>
          <w:tcPr>
            <w:tcW w:w="2440" w:type="dxa"/>
            <w:tcBorders>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6956</w:t>
            </w:r>
          </w:p>
        </w:tc>
      </w:tr>
    </w:tbl>
    <w:p>
      <w:pPr>
        <w:pStyle w:val="Style13"/>
        <w:rPr/>
      </w:pPr>
      <w:r>
        <w:rPr>
          <w:lang w:val="en-US"/>
        </w:rPr>
        <w:t>Таблица 2. Характеристики датасета IceVision.</w:t>
      </w:r>
    </w:p>
    <w:p>
      <w:pPr>
        <w:pStyle w:val="Style13"/>
        <w:ind w:hanging="0"/>
        <w:rPr/>
      </w:pPr>
      <w:r>
        <w:rPr/>
        <w:t>Все знаки также содержат дополнительную разметку в виде содержащегося на них текста. Это касается не только знаков типа ограничения скорости, но и информационных табличек. Также каждый знак имеет метку temporary (является ли знак временным, желтый фон) и occluded (является ли знак частично закрытым другим объектом).</w:t>
      </w:r>
    </w:p>
    <w:p>
      <w:pPr>
        <w:pStyle w:val="Style13"/>
        <w:ind w:hanging="0"/>
        <w:rPr/>
      </w:pPr>
      <w:r>
        <w:rPr/>
        <w:t>Данные собирались исключительно в зимних условиях в Московской области. Присутствуют как ночные, так и дневные изображения. Исходные данные представляют собой последовательности кадров, записанных с частотой 30fps. При этом размечается примерно каждый 30-й кадр.</w:t>
      </w:r>
    </w:p>
    <w:p>
      <w:pPr>
        <w:pStyle w:val="Style13"/>
        <w:ind w:hanging="0"/>
        <w:rPr/>
      </w:pPr>
      <w:r>
        <w:rPr/>
        <w:t>В разметке присутствуют знаки с площадью ограничивающего прямоугольника от 100 пикселей. Многие знаки при этом неразличимы. На глаз невозможно не только определить класс знака, но и само его наличие.</w:t>
      </w:r>
    </w:p>
    <w:p>
      <w:pPr>
        <w:pStyle w:val="1"/>
        <w:numPr>
          <w:ilvl w:val="0"/>
          <w:numId w:val="3"/>
        </w:numPr>
        <w:ind w:hanging="0"/>
        <w:rPr/>
      </w:pPr>
      <w:r>
        <w:rPr/>
        <w:t>Deep Learning Approach to traffic sign recognition</w:t>
      </w:r>
    </w:p>
    <w:p>
      <w:pPr>
        <w:pStyle w:val="Style13"/>
        <w:rPr/>
      </w:pPr>
      <w:r>
        <w:rPr/>
        <w:t>При решении задачи детекции объектов на изображении при помощи методов глубокого обучения встаёт вопрос о выборе оптимальной архитектуры нейросети. Выбор происходит с опором на метрики, которые тот или иной алгоритм показывает на данном датасете. Особое внимание отводится mAP, mAR и FPS. Зачастую вопрос выбора архитектуры нейронной сети сводится к тому, чтобы подобрать решение с максимальными показателями mAP и mAR и удовлетворительным FPS. Во многом именно FPS устанавливает ограничения на применения того или иного алгоритма. В наш</w:t>
      </w:r>
      <w:r>
        <w:rPr/>
        <w:t>ей работе мы исследовали 5 архитектур нейростей: Mask R-CNN[3], Faster R-CNN[14], Cascade R-CNN[15], Cascade Mask R-CNN и Retina Net[16]. Все из них были протестированы на датасете IceVision и RTSD. Были проанализированы метрики для каждой архитектуры, а так же время работы на [</w:t>
      </w:r>
      <w:r>
        <w:rPr>
          <w:color w:val="CE181E"/>
        </w:rPr>
        <w:t>УКАЗАТЬ ЖЕЛЕЗО</w:t>
      </w:r>
      <w:r>
        <w:rPr/>
        <w:t>].</w:t>
      </w:r>
    </w:p>
    <w:p>
      <w:pPr>
        <w:pStyle w:val="2"/>
        <w:numPr>
          <w:ilvl w:val="1"/>
          <w:numId w:val="3"/>
        </w:numPr>
        <w:rPr/>
      </w:pPr>
      <w:r>
        <w:rPr/>
        <w:t>Authors and Affiliations</w:t>
      </w:r>
    </w:p>
    <w:p>
      <w:pPr>
        <w:pStyle w:val="Style13"/>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3"/>
        <w:numPr>
          <w:ilvl w:val="2"/>
          <w:numId w:val="3"/>
        </w:numPr>
        <w:ind w:firstLine="288"/>
        <w:rPr/>
      </w:pPr>
      <w:r>
        <w:rPr/>
        <w:t xml:space="preserve">For papers with less than six authors: </w:t>
      </w:r>
      <w:r>
        <w:rPr>
          <w:i w:val="false"/>
        </w:rPr>
        <w:t>To change the default, adjust the template as follows.</w:t>
      </w:r>
    </w:p>
    <w:p>
      <w:pPr>
        <w:pStyle w:val="4"/>
        <w:numPr>
          <w:ilvl w:val="3"/>
          <w:numId w:val="3"/>
        </w:numPr>
        <w:ind w:firstLine="504"/>
        <w:rPr/>
      </w:pPr>
      <w:r>
        <w:rPr/>
        <w:t xml:space="preserve">Selection: </w:t>
      </w:r>
      <w:r>
        <w:rPr>
          <w:i w:val="false"/>
        </w:rPr>
        <w:t>Highlight all author and affiliation lines.</w:t>
      </w:r>
    </w:p>
    <w:p>
      <w:pPr>
        <w:pStyle w:val="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2"/>
        <w:numPr>
          <w:ilvl w:val="1"/>
          <w:numId w:val="3"/>
        </w:numPr>
        <w:rPr/>
      </w:pPr>
      <w:r>
        <w:rPr/>
        <w:t>Identify the Headings</w:t>
      </w:r>
    </w:p>
    <w:p>
      <w:pPr>
        <w:pStyle w:val="Style13"/>
        <w:rPr/>
      </w:pPr>
      <w:r>
        <w:rPr/>
        <w:t>Headings, or heads, are organizational devices that guide the reader through your paper. There are two types: component heads and text heads.</w:t>
      </w:r>
    </w:p>
    <w:p>
      <w:pPr>
        <w:pStyle w:val="Style13"/>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13"/>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2"/>
        <w:numPr>
          <w:ilvl w:val="1"/>
          <w:numId w:val="3"/>
        </w:numPr>
        <w:rPr/>
      </w:pPr>
      <w:r>
        <w:rPr/>
        <w:t>Figures and Tables</w:t>
      </w:r>
    </w:p>
    <w:p>
      <w:pPr>
        <w:pStyle w:val="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noHBand="0" w:firstColumn="0" w:lastRow="0" w:lastColumn="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Style13"/>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5"/>
        <w:rPr/>
      </w:pPr>
      <w:r>
        <w:rPr/>
        <w:t xml:space="preserve">Acknowledgment </w:t>
      </w:r>
      <w:r>
        <w:rPr>
          <w:i/>
          <w:iCs/>
        </w:rPr>
        <w:t>(</w:t>
      </w:r>
      <w:r>
        <w:rPr>
          <w:i/>
          <w:iCs/>
          <w:caps w:val="false"/>
          <w:smallCaps w:val="false"/>
        </w:rPr>
        <w:t>Heading 5</w:t>
      </w:r>
      <w:r>
        <w:rPr>
          <w:i/>
          <w:iCs/>
        </w:rPr>
        <w:t>)</w:t>
      </w:r>
    </w:p>
    <w:p>
      <w:pPr>
        <w:pStyle w:val="Style13"/>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5"/>
        <w:rPr/>
      </w:pPr>
      <w:r>
        <w:rPr/>
        <w:t>References</w:t>
      </w:r>
    </w:p>
    <w:p>
      <w:pPr>
        <w:pStyle w:val="Style13"/>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Style13"/>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Style13"/>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13"/>
        <w:rPr/>
      </w:pPr>
      <w:r>
        <w:rPr/>
        <w:t>For papers published in translation journals, please give the English citation first, followed by the original foreign-language citation [6].</w:t>
      </w:r>
    </w:p>
    <w:p>
      <w:pPr>
        <w:pStyle w:val="Normal"/>
        <w:rPr/>
      </w:pPr>
      <w:r>
        <w:rPr/>
      </w:r>
    </w:p>
    <w:p>
      <w:pPr>
        <w:pStyle w:val="Style13"/>
        <w:numPr>
          <w:ilvl w:val="0"/>
          <w:numId w:val="4"/>
        </w:numPr>
        <w:rPr/>
      </w:pPr>
      <w:hyperlink r:id="rId6">
        <w:r>
          <w:rPr>
            <w:rStyle w:val="Style11"/>
            <w:b w:val="false"/>
            <w:bCs w:val="false"/>
            <w:i w:val="false"/>
            <w:iCs w:val="false"/>
            <w:u w:val="none"/>
          </w:rPr>
          <w:t>http://papers.nips.cc/paper/5207-deep-neural-networks-for-object-detection</w:t>
        </w:r>
      </w:hyperlink>
      <w:hyperlink r:id="rId7">
        <w:r>
          <w:rPr>
            <w:rStyle w:val="Style11"/>
            <w:b w:val="false"/>
            <w:bCs w:val="false"/>
            <w:i w:val="false"/>
            <w:iCs w:val="false"/>
            <w:u w:val="none"/>
          </w:rPr>
          <w:t>http://papers.nips.cc/paper/5207-deep-neural-networks-for-object-detection</w:t>
        </w:r>
      </w:hyperlink>
    </w:p>
    <w:p>
      <w:pPr>
        <w:pStyle w:val="Style13"/>
        <w:numPr>
          <w:ilvl w:val="0"/>
          <w:numId w:val="4"/>
        </w:numPr>
        <w:rPr/>
      </w:pPr>
      <w:hyperlink r:id="rId8">
        <w:r>
          <w:rPr>
            <w:rStyle w:val="Style11"/>
          </w:rPr>
          <w:t>http://openaccess.thecvf.com/content_CVPR_2</w:t>
        </w:r>
      </w:hyperlink>
      <w:hyperlink r:id="rId9">
        <w:r>
          <w:rPr>
            <w:rStyle w:val="Style11"/>
          </w:rPr>
          <w:t>019/html/Chen_Hybrid_Task_Cascade_for_Instance_Se</w:t>
        </w:r>
      </w:hyperlink>
      <w:hyperlink r:id="rId10">
        <w:r>
          <w:rPr>
            <w:rStyle w:val="Style11"/>
          </w:rPr>
          <w:t>gmentation_CVPR_2019_paper.html</w:t>
        </w:r>
      </w:hyperlink>
    </w:p>
    <w:p>
      <w:pPr>
        <w:pStyle w:val="Style13"/>
        <w:numPr>
          <w:ilvl w:val="0"/>
          <w:numId w:val="4"/>
        </w:numPr>
        <w:rPr/>
      </w:pPr>
      <w:hyperlink r:id="rId11">
        <w:r>
          <w:rPr>
            <w:rStyle w:val="Style11"/>
          </w:rPr>
          <w:t>http://openaccess.thecvf.com/content_iccv_2017/html/He_Mask_R-CNN_ICCV_2017_paper.htmlhttp://openaccess.thecvf.com/content_iccv_2017/html/He_Mask_R-CNN_ICCV_2017_paper.html</w:t>
        </w:r>
      </w:hyperlink>
    </w:p>
    <w:p>
      <w:pPr>
        <w:pStyle w:val="Style13"/>
        <w:numPr>
          <w:ilvl w:val="0"/>
          <w:numId w:val="0"/>
        </w:numPr>
        <w:ind w:left="360" w:hanging="0"/>
        <w:rPr/>
      </w:pPr>
      <w:r>
        <w:rPr/>
      </w:r>
    </w:p>
    <w:p>
      <w:pPr>
        <w:pStyle w:val="Style13"/>
        <w:numPr>
          <w:ilvl w:val="0"/>
          <w:numId w:val="4"/>
        </w:numPr>
        <w:rPr/>
      </w:pPr>
      <w:hyperlink r:id="rId12">
        <w:r>
          <w:rPr>
            <w:rStyle w:val="Style11"/>
          </w:rPr>
          <w:t>http://openaccess.thecvf.com/content_cvpr_2018/html/Cai_Cascade_R-CNN_Delving_CVPR_2018_paper.html</w:t>
        </w:r>
      </w:hyperlink>
    </w:p>
    <w:p>
      <w:pPr>
        <w:pStyle w:val="References"/>
        <w:numPr>
          <w:ilvl w:val="0"/>
          <w:numId w:val="4"/>
        </w:numPr>
        <w:ind w:left="354" w:hanging="354"/>
        <w:rPr/>
      </w:pPr>
      <w:r>
        <w:rPr/>
        <w:t>https://www.cv-foundation.org/openaccess/content_cvpr_2015/html/Long_Fully_Convolutional_Networks_2015_CVPR_paper.html</w:t>
      </w:r>
    </w:p>
    <w:p>
      <w:pPr>
        <w:pStyle w:val="References"/>
        <w:numPr>
          <w:ilvl w:val="0"/>
          <w:numId w:val="4"/>
        </w:numPr>
        <w:ind w:left="354" w:hanging="354"/>
        <w:rPr/>
      </w:pPr>
      <w:r>
        <w:rPr/>
        <w:t>https://arxiv.org/abs/1710.03958</w:t>
      </w:r>
    </w:p>
    <w:p>
      <w:pPr>
        <w:pStyle w:val="References"/>
        <w:numPr>
          <w:ilvl w:val="0"/>
          <w:numId w:val="4"/>
        </w:numPr>
        <w:ind w:left="354" w:hanging="354"/>
        <w:rPr/>
      </w:pPr>
      <w:hyperlink r:id="rId13">
        <w:r>
          <w:rPr>
            <w:rStyle w:val="Style11"/>
          </w:rPr>
          <w:t>https://arxiv.org/abs/1602.08465</w:t>
        </w:r>
      </w:hyperlink>
    </w:p>
    <w:p>
      <w:pPr>
        <w:pStyle w:val="References"/>
        <w:numPr>
          <w:ilvl w:val="0"/>
          <w:numId w:val="4"/>
        </w:numPr>
        <w:ind w:left="354" w:hanging="354"/>
        <w:rPr/>
      </w:pPr>
      <w:r>
        <w:rPr/>
        <w:t>Hatem Belhassen, Heng Zhang, Fresse, Virginie, El-Bey Bourennane. Improving Video Object Detection by Seq-Bbox Matching. 14th International Joint Conference on Computer Vision, Imaging and Computer Graphics Theory and Applications, Feb 2019, Prague, Czech Republic. ⟨hal-02050829⟩</w:t>
      </w:r>
    </w:p>
    <w:p>
      <w:pPr>
        <w:pStyle w:val="Style13"/>
        <w:numPr>
          <w:ilvl w:val="0"/>
          <w:numId w:val="4"/>
        </w:numPr>
        <w:rPr/>
      </w:pPr>
      <w:r>
        <w:rPr/>
        <w:t xml:space="preserve">Лаборатория компьютерной графики и мультимедиа. URL: </w:t>
      </w:r>
      <w:hyperlink r:id="rId14">
        <w:r>
          <w:rPr>
            <w:rStyle w:val="Style11"/>
          </w:rPr>
          <w:t>http://graphics.cs.msu.ru/ru/node/1266</w:t>
        </w:r>
      </w:hyperlink>
    </w:p>
    <w:p>
      <w:pPr>
        <w:pStyle w:val="Style13"/>
        <w:numPr>
          <w:ilvl w:val="0"/>
          <w:numId w:val="4"/>
        </w:numPr>
        <w:rPr/>
      </w:pPr>
      <w:r>
        <w:rPr/>
        <w:t xml:space="preserve">В.И. Шахуро, А.С. Конушин. Российская база изображений автодорожных знаков, Компьютерная оптика. - 2016. - Т.40 № 2. - С. 294-300. </w:t>
      </w:r>
      <w:hyperlink r:id="rId15">
        <w:r>
          <w:rPr>
            <w:rStyle w:val="Style11"/>
          </w:rPr>
          <w:t>https://cyberleninka.ru/article/v/rossiyskaya-baza-izobrazheniy-avtodorozhnyh-znakov</w:t>
        </w:r>
      </w:hyperlink>
    </w:p>
    <w:p>
      <w:pPr>
        <w:pStyle w:val="Style13"/>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0"/>
          <w:szCs w:val="20"/>
        </w:rPr>
        <w:t>Artem L. Pavlov, Pavel A. Karpyshev, George V. Ovchinnikov, Ivan V. Oseledets, and Dzmitry Tsetserukou, "IceVisionSet: lossless video dataset collected on Russian winter roads with traffic sign annotations", IEEE International Conference on Robotics and Automation (ICRA), 2019.</w:t>
      </w:r>
    </w:p>
    <w:p>
      <w:pPr>
        <w:pStyle w:val="Style13"/>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0"/>
          <w:szCs w:val="20"/>
        </w:rPr>
        <w:t xml:space="preserve"> </w:t>
      </w:r>
      <w:hyperlink r:id="rId16">
        <w:r>
          <w:rPr>
            <w:rStyle w:val="Style11"/>
            <w:rFonts w:ascii="Times New Roman" w:hAnsi="Times New Roman"/>
            <w:b w:val="false"/>
            <w:i w:val="false"/>
            <w:caps w:val="false"/>
            <w:smallCaps w:val="false"/>
            <w:color w:val="000000"/>
            <w:spacing w:val="0"/>
            <w:sz w:val="20"/>
            <w:szCs w:val="20"/>
            <w:lang w:val="en-US"/>
          </w:rPr>
          <w:t>https://github.com/icevision/annotations</w:t>
        </w:r>
      </w:hyperlink>
    </w:p>
    <w:p>
      <w:pPr>
        <w:pStyle w:val="Style13"/>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 xml:space="preserve">Everingham, M., Van Gool, L., Williams, C.K.I. et al. Int J Comput Vis (2010) 88: 303. </w:t>
      </w:r>
      <w:hyperlink r:id="rId17">
        <w:r>
          <w:rPr>
            <w:rStyle w:val="Style11"/>
            <w:rFonts w:ascii="Times New Roman" w:hAnsi="Times New Roman"/>
            <w:b w:val="false"/>
            <w:i w:val="false"/>
            <w:caps w:val="false"/>
            <w:smallCaps w:val="false"/>
            <w:color w:val="000000"/>
            <w:spacing w:val="0"/>
            <w:sz w:val="20"/>
            <w:szCs w:val="20"/>
            <w:lang w:val="en-US"/>
          </w:rPr>
          <w:t>https://doi.org/10.1007/s11263-009-0275-4</w:t>
        </w:r>
      </w:hyperlink>
    </w:p>
    <w:p>
      <w:pPr>
        <w:pStyle w:val="Style13"/>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0"/>
          <w:szCs w:val="20"/>
          <w:lang w:val="en-US"/>
        </w:rPr>
        <w:t xml:space="preserve"> </w:t>
      </w:r>
      <w:hyperlink r:id="rId18">
        <w:r>
          <w:rPr>
            <w:rStyle w:val="Style11"/>
            <w:rFonts w:ascii="Times New Roman" w:hAnsi="Times New Roman"/>
            <w:b w:val="false"/>
            <w:i w:val="false"/>
            <w:caps w:val="false"/>
            <w:smallCaps w:val="false"/>
            <w:color w:val="000000"/>
            <w:spacing w:val="0"/>
            <w:sz w:val="20"/>
            <w:szCs w:val="20"/>
            <w:lang w:val="en-US"/>
          </w:rPr>
          <w:t>http://papers.nips.cc/paper/5638-faster-r-cnn-towards-real-time-object-detection-with-region-proposal-networks</w:t>
        </w:r>
      </w:hyperlink>
    </w:p>
    <w:p>
      <w:pPr>
        <w:pStyle w:val="Style13"/>
        <w:numPr>
          <w:ilvl w:val="0"/>
          <w:numId w:val="4"/>
        </w:numPr>
        <w:rPr>
          <w:rFonts w:ascii="Times New Roman" w:hAnsi="Times New Roman"/>
          <w:b w:val="false"/>
          <w:i w:val="false"/>
          <w:caps w:val="false"/>
          <w:smallCaps w:val="false"/>
          <w:color w:val="000000"/>
          <w:spacing w:val="0"/>
          <w:sz w:val="28"/>
        </w:rPr>
      </w:pPr>
      <w:hyperlink r:id="rId19">
        <w:r>
          <w:rPr>
            <w:rStyle w:val="Style11"/>
            <w:rFonts w:ascii="Times New Roman" w:hAnsi="Times New Roman"/>
            <w:b w:val="false"/>
            <w:i w:val="false"/>
            <w:caps w:val="false"/>
            <w:smallCaps w:val="false"/>
            <w:color w:val="000000"/>
            <w:spacing w:val="0"/>
            <w:sz w:val="20"/>
            <w:szCs w:val="20"/>
            <w:lang w:val="en-US"/>
          </w:rPr>
          <w:t>http://openaccess.thecvf.com/content_cvpr_2018/html/Cai_Cascade_R-CNN_Delving_CVPR_2018_paper.html</w:t>
        </w:r>
      </w:hyperlink>
    </w:p>
    <w:p>
      <w:pPr>
        <w:pStyle w:val="Style13"/>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https://arxiv.org/abs/1708.02002</w:t>
      </w:r>
    </w:p>
    <w:p>
      <w:pPr>
        <w:pStyle w:val="Style13"/>
        <w:rPr>
          <w:sz w:val="20"/>
          <w:szCs w:val="20"/>
          <w:lang w:val="en-US"/>
        </w:rPr>
      </w:pPr>
      <w:r>
        <w:rPr>
          <w:rFonts w:ascii="Times New Roman" w:hAnsi="Times New Roman"/>
          <w:b w:val="false"/>
          <w:i w:val="false"/>
          <w:caps w:val="false"/>
          <w:smallCaps w:val="false"/>
          <w:color w:val="000000"/>
          <w:spacing w:val="0"/>
          <w:sz w:val="28"/>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3">
    <w:name w:val="Heading 3"/>
    <w:basedOn w:val="Normal"/>
    <w:next w:val="Normal"/>
    <w:qFormat/>
    <w:rsid w:val="00794804"/>
    <w:pPr>
      <w:numPr>
        <w:ilvl w:val="2"/>
        <w:numId w:val="1"/>
      </w:numPr>
      <w:spacing w:lineRule="exact" w:line="240"/>
      <w:ind w:firstLine="288"/>
      <w:jc w:val="both"/>
      <w:outlineLvl w:val="2"/>
    </w:pPr>
    <w:rPr>
      <w:i/>
      <w:iCs/>
    </w:rPr>
  </w:style>
  <w:style w:type="paragraph" w:styleId="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Style9">
    <w:name w:val="Символ нумерации"/>
    <w:qForma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Style10">
    <w:name w:val="Исходный текст"/>
    <w:qFormat/>
    <w:rPr>
      <w:rFonts w:ascii="Liberation Mono" w:hAnsi="Liberation Mono" w:eastAsia="Liberation Mono" w:cs="Liberation Mono"/>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Style13"/>
    <w:qFormat/>
    <w:rsid w:val="001b67dc"/>
    <w:pPr>
      <w:tabs>
        <w:tab w:val="left" w:pos="288" w:leader="none"/>
      </w:tabs>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yle17">
    <w:name w:val="Header"/>
    <w:basedOn w:val="Normal"/>
    <w:link w:val="HeaderChar"/>
    <w:rsid w:val="001a3b3d"/>
    <w:pPr>
      <w:tabs>
        <w:tab w:val="center" w:pos="4680" w:leader="none"/>
        <w:tab w:val="right" w:pos="9360" w:leader="none"/>
      </w:tabs>
    </w:pPr>
    <w:rPr/>
  </w:style>
  <w:style w:type="paragraph" w:styleId="Style18">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suppressLineNumbers/>
    </w:pPr>
    <w:rPr/>
  </w:style>
  <w:style w:type="paragraph" w:styleId="Style21">
    <w:name w:val="Иллюстрация"/>
    <w:basedOn w:val="Style15"/>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openaccess.thecvf.com/content_cvpr_2018/html/Cai_Cascade_R-CNN_Delving_CVPR_2018_paper.html" TargetMode="External"/><Relationship Id="rId5" Type="http://schemas.openxmlformats.org/officeDocument/2006/relationships/image" Target="media/image1.jpeg"/><Relationship Id="rId6" Type="http://schemas.openxmlformats.org/officeDocument/2006/relationships/hyperlink" Target="http://papers.nips.cc/paper/5207-deep-neural-networks-for-object-detection" TargetMode="External"/><Relationship Id="rId7" Type="http://schemas.openxmlformats.org/officeDocument/2006/relationships/hyperlink" Target="http://papers.nips.cc/paper/5207-deep-neural-networks-for-object-detection" TargetMode="External"/><Relationship Id="rId8" Type="http://schemas.openxmlformats.org/officeDocument/2006/relationships/hyperlink" Target="http://openaccess.thecvf.com/content_CVPR_2019/html/Chen_Hybrid_Task_Cascade_for_Instance_Segmentation_CVPR_2019_paper.html" TargetMode="External"/><Relationship Id="rId9" Type="http://schemas.openxmlformats.org/officeDocument/2006/relationships/hyperlink" Target="http://openaccess.thecvf.com/content_CVPR_2019/html/Chen_Hybrid_Task_Cascade_for_Instance_Segmentation_CVPR_2019_paper.html" TargetMode="External"/><Relationship Id="rId10" Type="http://schemas.openxmlformats.org/officeDocument/2006/relationships/hyperlink" Target="http://openaccess.thecvf.com/content_CVPR_2019/html/Chen_Hybrid_Task_Cascade_for_Instance_Segmentation_CVPR_2019_paper.html" TargetMode="External"/><Relationship Id="rId11" Type="http://schemas.openxmlformats.org/officeDocument/2006/relationships/hyperlink" Target="http://openaccess.thecvf.com/content_iccv_2017/html/He_Mask_R-CNN_ICCV_2017_paper.htmlhttp://openaccess.thecvf.com/content_iccv_2017/html/He_Mask_R-CNN_ICCV_2017_paper.html" TargetMode="External"/><Relationship Id="rId12" Type="http://schemas.openxmlformats.org/officeDocument/2006/relationships/hyperlink" Target="http://openaccess.thecvf.com/content_cvpr_2018/html/Cai_Cascade_R-CNN_Delving_CVPR_2018_paper.html" TargetMode="External"/><Relationship Id="rId13" Type="http://schemas.openxmlformats.org/officeDocument/2006/relationships/hyperlink" Target="https://arxiv.org/abs/1602.08465" TargetMode="External"/><Relationship Id="rId14" Type="http://schemas.openxmlformats.org/officeDocument/2006/relationships/hyperlink" Target="http://graphics.cs.msu.ru/ru/node/1266" TargetMode="External"/><Relationship Id="rId15" Type="http://schemas.openxmlformats.org/officeDocument/2006/relationships/hyperlink" Target="https://cyberleninka.ru/article/v/rossiyskaya-baza-izobrazheniy-avtodorozhnyh-znakov" TargetMode="External"/><Relationship Id="rId16" Type="http://schemas.openxmlformats.org/officeDocument/2006/relationships/hyperlink" Target="https://github.com/icevision/annotations" TargetMode="External"/><Relationship Id="rId17" Type="http://schemas.openxmlformats.org/officeDocument/2006/relationships/hyperlink" Target="https://doi.org/10.1007/s11263-009-0275-4" TargetMode="External"/><Relationship Id="rId18" Type="http://schemas.openxmlformats.org/officeDocument/2006/relationships/hyperlink" Target="http://papers.nips.cc/paper/5638-faster-r-cnn-towards-real-time-object-detection-with-region-proposal-networks" TargetMode="External"/><Relationship Id="rId19" Type="http://schemas.openxmlformats.org/officeDocument/2006/relationships/hyperlink" Target="http://openaccess.thecvf.com/content_cvpr_2018/html/Cai_Cascade_R-CNN_Delving_CVPR_2018_paper.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4</Pages>
  <Words>2343</Words>
  <Characters>15131</Characters>
  <CharactersWithSpaces>17356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2019-09-27T01:01:05Z</dcterms:modified>
  <cp:revision>13</cp:revision>
  <dc:subject/>
  <dc:title>Paper Title (use style: paper title)</dc:title>
</cp:coreProperties>
</file>