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3A5C"/>
          <w:sz w:val="56"/>
        </w:rPr>
        <w:t>Project Overwatch</w:t>
        <w:br/>
        <w:t>Build Specification &amp; Engineering Plan</w:t>
      </w:r>
    </w:p>
    <w:p>
      <w:pPr>
        <w:jc w:val="center"/>
      </w:pPr>
      <w:r>
        <w:rPr>
          <w:color w:val="556B82"/>
          <w:sz w:val="28"/>
        </w:rPr>
        <w:t>Unified AML Transaction Monitoring Platform</w:t>
        <w:br/>
        <w:t>Consolidated Fiat &amp; Regulated Stablecoin Transactions</w:t>
        <w:br/>
        <w:br/>
        <w:t>AnchorPoint (SCB x HKT x Animoca Brands JV) | USDC</w:t>
        <w:br/>
        <w:t>Hong Kong Payments / Remittance Platform</w:t>
      </w:r>
    </w:p>
    <w:p/>
    <w:p>
      <w:pPr>
        <w:jc w:val="center"/>
      </w:pPr>
      <w:r>
        <w:rPr>
          <w:color w:val="777777"/>
          <w:sz w:val="22"/>
        </w:rPr>
        <w:t>Document Version: 2.0</w:t>
        <w:br/>
        <w:t>Date: 03 July 2026</w:t>
        <w:br/>
        <w:t>Classification: Confidential - Project Overwatch</w:t>
      </w:r>
    </w:p>
    <w:p>
      <w:r>
        <w:br w:type="page"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