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8110" w14:textId="77777777" w:rsidR="00C30896" w:rsidRDefault="00000000">
      <w:pPr>
        <w:spacing w:before="157" w:after="157" w:line="270" w:lineRule="auto"/>
      </w:pPr>
      <w:bookmarkStart w:id="0" w:name="project_overwatch"/>
      <w:r>
        <w:rPr>
          <w:rFonts w:eastAsia="Georgia" w:hAnsi="Georgia" w:cs="Georgia"/>
          <w:b/>
          <w:color w:val="000000"/>
          <w:sz w:val="39"/>
        </w:rPr>
        <w:t>Project Overwatch</w:t>
      </w:r>
      <w:bookmarkEnd w:id="0"/>
    </w:p>
    <w:p w14:paraId="2D562F03" w14:textId="77777777" w:rsidR="00C30896" w:rsidRDefault="00000000">
      <w:pPr>
        <w:spacing w:before="315" w:after="105" w:line="360" w:lineRule="auto"/>
        <w:ind w:left="-30"/>
      </w:pPr>
      <w:bookmarkStart w:id="1" w:name="a_comprehensive_proposal_for_unif_e3f98c"/>
      <w:r>
        <w:rPr>
          <w:rFonts w:eastAsia="Georgia" w:hAnsi="Georgia" w:cs="Georgia"/>
          <w:b/>
          <w:color w:val="000000"/>
          <w:sz w:val="24"/>
        </w:rPr>
        <w:t>A Comprehensive Proposal for Unified Transaction Monitoring Across Fiat and Regulated Stablecoin Transactions</w:t>
      </w:r>
      <w:bookmarkEnd w:id="1"/>
    </w:p>
    <w:p w14:paraId="5E5644A7" w14:textId="77777777" w:rsidR="00C30896" w:rsidRDefault="00000000">
      <w:pPr>
        <w:spacing w:before="210" w:after="0" w:line="360" w:lineRule="auto"/>
      </w:pPr>
      <w:r>
        <w:rPr>
          <w:noProof/>
        </w:rPr>
      </w:r>
      <w:r>
        <w:rPr>
          <w:noProof/>
        </w:rPr>
        <w:pict w14:anchorId="1C0BB5E8">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94AE35" w14:textId="77777777" w:rsidR="00C30896" w:rsidRDefault="00000000">
      <w:pPr>
        <w:spacing w:before="315" w:after="105" w:line="360" w:lineRule="auto"/>
        <w:ind w:left="-30"/>
      </w:pPr>
      <w:bookmarkStart w:id="2" w:name="executive_summary"/>
      <w:r>
        <w:rPr>
          <w:rFonts w:eastAsia="Georgia" w:hAnsi="Georgia" w:cs="Georgia"/>
          <w:b/>
          <w:color w:val="000000"/>
          <w:sz w:val="24"/>
        </w:rPr>
        <w:t>Executive Summary</w:t>
      </w:r>
      <w:bookmarkEnd w:id="2"/>
    </w:p>
    <w:p w14:paraId="18EC048B" w14:textId="1D824CD2" w:rsidR="00C30896" w:rsidRDefault="00000000">
      <w:pPr>
        <w:spacing w:after="210" w:line="360" w:lineRule="auto"/>
      </w:pPr>
      <w:r>
        <w:rPr>
          <w:rFonts w:eastAsia="Georgia" w:hAnsi="Georgia" w:cs="Georgia"/>
          <w:color w:val="000000"/>
        </w:rPr>
        <w:t xml:space="preserve">The convergence of traditional fiat payments and regulated </w:t>
      </w:r>
      <w:proofErr w:type="gramStart"/>
      <w:r>
        <w:rPr>
          <w:rFonts w:eastAsia="Georgia" w:hAnsi="Georgia" w:cs="Georgia"/>
          <w:color w:val="000000"/>
        </w:rPr>
        <w:t>stablecoin</w:t>
      </w:r>
      <w:proofErr w:type="gramEnd"/>
      <w:r>
        <w:rPr>
          <w:rFonts w:eastAsia="Georgia" w:hAnsi="Georgia" w:cs="Georgia"/>
          <w:color w:val="000000"/>
        </w:rPr>
        <w:t xml:space="preserve"> transactions has created a new frontier of compliance complexity for financial institutions. Stablecoin </w:t>
      </w:r>
      <w:proofErr w:type="gramStart"/>
      <w:r>
        <w:rPr>
          <w:rFonts w:eastAsia="Georgia" w:hAnsi="Georgia" w:cs="Georgia"/>
          <w:color w:val="000000"/>
        </w:rPr>
        <w:t>transaction volumes</w:t>
      </w:r>
      <w:proofErr w:type="gramEnd"/>
      <w:r>
        <w:rPr>
          <w:rFonts w:eastAsia="Georgia" w:hAnsi="Georgia" w:cs="Georgia"/>
          <w:color w:val="000000"/>
        </w:rPr>
        <w:t xml:space="preserve"> reached </w:t>
      </w:r>
      <w:r>
        <w:rPr>
          <w:rFonts w:eastAsia="Georgia" w:hAnsi="Georgia" w:cs="Georgia"/>
          <w:b/>
          <w:color w:val="000000"/>
        </w:rPr>
        <w:t>$33 trillion globally in 2025</w:t>
      </w:r>
      <w:r>
        <w:rPr>
          <w:rFonts w:eastAsia="Georgia" w:hAnsi="Georgia" w:cs="Georgia"/>
          <w:color w:val="000000"/>
        </w:rPr>
        <w:t xml:space="preserve">, a 72% year-on-year increase, and are projected to hit </w:t>
      </w:r>
      <w:r>
        <w:rPr>
          <w:rFonts w:eastAsia="Georgia" w:hAnsi="Georgia" w:cs="Georgia"/>
          <w:b/>
          <w:color w:val="000000"/>
        </w:rPr>
        <w:t>$56 trillion by 2030</w:t>
      </w:r>
      <w:r>
        <w:rPr>
          <w:rFonts w:eastAsia="Georgia" w:hAnsi="Georgia" w:cs="Georgia"/>
          <w:color w:val="000000"/>
        </w:rPr>
        <w:t xml:space="preserve">. Meanwhile, the regulatory landscape has rapidly </w:t>
      </w:r>
      <w:proofErr w:type="spellStart"/>
      <w:r>
        <w:rPr>
          <w:rFonts w:eastAsia="Georgia" w:hAnsi="Georgia" w:cs="Georgia"/>
          <w:color w:val="000000"/>
        </w:rPr>
        <w:t>crystallised</w:t>
      </w:r>
      <w:proofErr w:type="spellEnd"/>
      <w:r>
        <w:rPr>
          <w:rFonts w:eastAsia="Georgia" w:hAnsi="Georgia" w:cs="Georgia"/>
          <w:color w:val="000000"/>
        </w:rPr>
        <w:t xml:space="preserve">: Hong Kong's Stablecoins Ordinance took effect on August 1, 2025, the EU's </w:t>
      </w:r>
      <w:proofErr w:type="spellStart"/>
      <w:r>
        <w:rPr>
          <w:rFonts w:eastAsia="Georgia" w:hAnsi="Georgia" w:cs="Georgia"/>
          <w:color w:val="000000"/>
        </w:rPr>
        <w:t>MiCA</w:t>
      </w:r>
      <w:proofErr w:type="spellEnd"/>
      <w:r>
        <w:rPr>
          <w:rFonts w:eastAsia="Georgia" w:hAnsi="Georgia" w:cs="Georgia"/>
          <w:color w:val="000000"/>
        </w:rPr>
        <w:t xml:space="preserve"> regulation imposed full stablecoin requirements from June 2024, and the US GENIUS Act </w:t>
      </w:r>
      <w:proofErr w:type="spellStart"/>
      <w:r>
        <w:rPr>
          <w:rFonts w:eastAsia="Georgia" w:hAnsi="Georgia" w:cs="Georgia"/>
          <w:color w:val="000000"/>
        </w:rPr>
        <w:t>formalised</w:t>
      </w:r>
      <w:proofErr w:type="spellEnd"/>
      <w:r>
        <w:rPr>
          <w:rFonts w:eastAsia="Georgia" w:hAnsi="Georgia" w:cs="Georgia"/>
          <w:color w:val="000000"/>
        </w:rPr>
        <w:t xml:space="preserve"> federal stablecoin oversight in mid-2025. All frameworks converge on a single expectation — stablecoin transactions must be monitored with the same </w:t>
      </w:r>
      <w:proofErr w:type="spellStart"/>
      <w:r>
        <w:rPr>
          <w:rFonts w:eastAsia="Georgia" w:hAnsi="Georgia" w:cs="Georgia"/>
          <w:color w:val="000000"/>
        </w:rPr>
        <w:t>rigour</w:t>
      </w:r>
      <w:proofErr w:type="spellEnd"/>
      <w:r>
        <w:rPr>
          <w:rFonts w:eastAsia="Georgia" w:hAnsi="Georgia" w:cs="Georgia"/>
          <w:color w:val="000000"/>
        </w:rPr>
        <w:t xml:space="preserve"> as traditional banking transactions.</w:t>
      </w:r>
    </w:p>
    <w:p w14:paraId="31770171" w14:textId="77777777" w:rsidR="00C30896" w:rsidRDefault="00000000">
      <w:pPr>
        <w:spacing w:after="210" w:line="360" w:lineRule="auto"/>
      </w:pPr>
      <w:r>
        <w:rPr>
          <w:rFonts w:eastAsia="Georgia" w:hAnsi="Georgia" w:cs="Georgia"/>
          <w:b/>
          <w:color w:val="000000"/>
        </w:rPr>
        <w:t>Project Overwatch</w:t>
      </w:r>
      <w:r>
        <w:rPr>
          <w:rFonts w:eastAsia="Georgia" w:hAnsi="Georgia" w:cs="Georgia"/>
          <w:color w:val="000000"/>
        </w:rPr>
        <w:t xml:space="preserve"> is a strategic initiative to design and implement a </w:t>
      </w:r>
      <w:r>
        <w:rPr>
          <w:rFonts w:eastAsia="Georgia" w:hAnsi="Georgia" w:cs="Georgia"/>
          <w:b/>
          <w:color w:val="000000"/>
        </w:rPr>
        <w:t>Unified Transaction Monitoring Platform</w:t>
      </w:r>
      <w:r>
        <w:rPr>
          <w:rFonts w:eastAsia="Georgia" w:hAnsi="Georgia" w:cs="Georgia"/>
          <w:color w:val="000000"/>
        </w:rPr>
        <w:t xml:space="preserve"> that applies consistent Anti-Money Laundering (AML), Counter-Terrorist Financing (CTF), and sanctions screening controls across both fiat and regulated stablecoin payment rails. The proposal addresses the root causes of compliance fragmentation, defines the target operating model, and charts an implementation roadmap grounded in regulatory requirements across multiple jurisdictions.</w:t>
      </w:r>
    </w:p>
    <w:p w14:paraId="3D7F27B0" w14:textId="77777777" w:rsidR="00C30896" w:rsidRDefault="00000000">
      <w:pPr>
        <w:spacing w:before="210" w:after="0" w:line="360" w:lineRule="auto"/>
      </w:pPr>
      <w:r>
        <w:rPr>
          <w:noProof/>
        </w:rPr>
      </w:r>
      <w:r>
        <w:rPr>
          <w:noProof/>
        </w:rPr>
        <w:pict w14:anchorId="3CFDFAFA">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2226A65" w14:textId="77777777" w:rsidR="00C30896" w:rsidRDefault="00000000">
      <w:pPr>
        <w:spacing w:before="315" w:after="105" w:line="360" w:lineRule="auto"/>
        <w:ind w:left="-30"/>
      </w:pPr>
      <w:bookmarkStart w:id="3" w:name="bm_1_problem_statement_the_dual_r_fbe2a3"/>
      <w:r>
        <w:rPr>
          <w:rFonts w:eastAsia="Georgia" w:hAnsi="Georgia" w:cs="Georgia"/>
          <w:b/>
          <w:color w:val="000000"/>
          <w:sz w:val="24"/>
        </w:rPr>
        <w:t>1. Problem Statement: The Dual-Rail Compliance Gap</w:t>
      </w:r>
      <w:bookmarkEnd w:id="3"/>
    </w:p>
    <w:p w14:paraId="0D588E45" w14:textId="77777777" w:rsidR="00C30896" w:rsidRDefault="00000000">
      <w:pPr>
        <w:spacing w:after="210" w:line="360" w:lineRule="auto"/>
      </w:pPr>
      <w:r>
        <w:rPr>
          <w:rFonts w:eastAsia="Georgia" w:hAnsi="Georgia" w:cs="Georgia"/>
          <w:color w:val="000000"/>
        </w:rPr>
        <w:t>Financial institutions operating across both fiat and stablecoin rails have largely inherited a fragmented compliance architecture — separate monitoring systems, separate rule sets, and separate alert queues for each payment type. This architecture is no longer fit for purpose in a world where regulators, criminals, and customers all operate seamlessly across both rails.</w:t>
      </w:r>
    </w:p>
    <w:p w14:paraId="19569DEC" w14:textId="77777777" w:rsidR="00C30896" w:rsidRDefault="00000000">
      <w:pPr>
        <w:spacing w:before="315" w:after="105" w:line="360" w:lineRule="auto"/>
        <w:ind w:left="-30"/>
      </w:pPr>
      <w:bookmarkStart w:id="4" w:name="bm_1_1_the_scale_of_the_challenge"/>
      <w:r>
        <w:rPr>
          <w:rFonts w:eastAsia="Georgia" w:hAnsi="Georgia" w:cs="Georgia"/>
          <w:b/>
          <w:color w:val="000000"/>
          <w:sz w:val="24"/>
        </w:rPr>
        <w:t>1.1 The Scale of the Challenge</w:t>
      </w:r>
      <w:bookmarkEnd w:id="4"/>
    </w:p>
    <w:p w14:paraId="2AF52AB2" w14:textId="2AC9E118" w:rsidR="00C30896" w:rsidRDefault="00000000">
      <w:pPr>
        <w:spacing w:after="210" w:line="360" w:lineRule="auto"/>
      </w:pPr>
      <w:r>
        <w:rPr>
          <w:rFonts w:eastAsia="Georgia" w:hAnsi="Georgia" w:cs="Georgia"/>
          <w:color w:val="000000"/>
        </w:rPr>
        <w:t xml:space="preserve">The </w:t>
      </w:r>
      <w:proofErr w:type="gramStart"/>
      <w:r>
        <w:rPr>
          <w:rFonts w:eastAsia="Georgia" w:hAnsi="Georgia" w:cs="Georgia"/>
          <w:color w:val="000000"/>
        </w:rPr>
        <w:t>stablecoin</w:t>
      </w:r>
      <w:proofErr w:type="gramEnd"/>
      <w:r>
        <w:rPr>
          <w:rFonts w:eastAsia="Georgia" w:hAnsi="Georgia" w:cs="Georgia"/>
          <w:color w:val="000000"/>
        </w:rPr>
        <w:t xml:space="preserve"> market has grown from a niche instrument to a </w:t>
      </w:r>
      <w:r>
        <w:rPr>
          <w:rFonts w:eastAsia="Georgia" w:hAnsi="Georgia" w:cs="Georgia"/>
          <w:b/>
          <w:color w:val="000000"/>
        </w:rPr>
        <w:t>$255 billion market</w:t>
      </w:r>
      <w:r>
        <w:rPr>
          <w:rFonts w:eastAsia="Georgia" w:hAnsi="Georgia" w:cs="Georgia"/>
          <w:color w:val="000000"/>
        </w:rPr>
        <w:t xml:space="preserve">, with projections placing it at </w:t>
      </w:r>
      <w:r>
        <w:rPr>
          <w:rFonts w:eastAsia="Georgia" w:hAnsi="Georgia" w:cs="Georgia"/>
          <w:b/>
          <w:color w:val="000000"/>
        </w:rPr>
        <w:t>$2 trillion within a few years</w:t>
      </w:r>
      <w:r>
        <w:rPr>
          <w:rFonts w:eastAsia="Georgia" w:hAnsi="Georgia" w:cs="Georgia"/>
          <w:color w:val="000000"/>
        </w:rPr>
        <w:t xml:space="preserve">. Major institutions — including Mastercard, Visa, and Worldpay — have embraced hybrid fiat-stablecoin payment infrastructure. Providers such as </w:t>
      </w:r>
      <w:r>
        <w:rPr>
          <w:rFonts w:eastAsia="Georgia" w:hAnsi="Georgia" w:cs="Georgia"/>
          <w:color w:val="000000"/>
        </w:rPr>
        <w:lastRenderedPageBreak/>
        <w:t xml:space="preserve">Mesta offer APIs handling fiat and </w:t>
      </w:r>
      <w:proofErr w:type="gramStart"/>
      <w:r>
        <w:rPr>
          <w:rFonts w:eastAsia="Georgia" w:hAnsi="Georgia" w:cs="Georgia"/>
          <w:color w:val="000000"/>
        </w:rPr>
        <w:t>stablecoin</w:t>
      </w:r>
      <w:proofErr w:type="gramEnd"/>
      <w:r>
        <w:rPr>
          <w:rFonts w:eastAsia="Georgia" w:hAnsi="Georgia" w:cs="Georgia"/>
          <w:color w:val="000000"/>
        </w:rPr>
        <w:t xml:space="preserve"> transactions across more than 100 countries. For financial institutions serving this market, the compliance burden has doubled without a commensurate increase in unified oversight.</w:t>
      </w:r>
    </w:p>
    <w:p w14:paraId="1A73BED7" w14:textId="1DCD102A" w:rsidR="00C30896" w:rsidRDefault="00000000">
      <w:pPr>
        <w:spacing w:after="210" w:line="360" w:lineRule="auto"/>
      </w:pPr>
      <w:r>
        <w:rPr>
          <w:rFonts w:eastAsia="Georgia" w:hAnsi="Georgia" w:cs="Georgia"/>
          <w:color w:val="000000"/>
        </w:rPr>
        <w:t xml:space="preserve">Critically, </w:t>
      </w:r>
      <w:r>
        <w:rPr>
          <w:rFonts w:eastAsia="Georgia" w:hAnsi="Georgia" w:cs="Georgia"/>
          <w:b/>
          <w:color w:val="000000"/>
        </w:rPr>
        <w:t>most on-chain illicit activity now involves stablecoins</w:t>
      </w:r>
      <w:r>
        <w:rPr>
          <w:rFonts w:eastAsia="Georgia" w:hAnsi="Georgia" w:cs="Georgia"/>
          <w:color w:val="000000"/>
        </w:rPr>
        <w:t xml:space="preserve">, according to FATF's 2025 targeted report. A significant and growing share of money laundering patterns involves converting illicit crypto funds into </w:t>
      </w:r>
      <w:proofErr w:type="gramStart"/>
      <w:r>
        <w:rPr>
          <w:rFonts w:eastAsia="Georgia" w:hAnsi="Georgia" w:cs="Georgia"/>
          <w:color w:val="000000"/>
        </w:rPr>
        <w:t>stablecoins</w:t>
      </w:r>
      <w:proofErr w:type="gramEnd"/>
      <w:r>
        <w:rPr>
          <w:rFonts w:eastAsia="Georgia" w:hAnsi="Georgia" w:cs="Georgia"/>
          <w:color w:val="000000"/>
        </w:rPr>
        <w:t>, then redeeming them into fiat via secondary bank accounts — a layering technique that is entirely invisible to monitoring systems that cover only one rail. Without unified oversight, these cross-rail laundering schemes leave no detectable footprint.</w:t>
      </w:r>
    </w:p>
    <w:p w14:paraId="656CFF37" w14:textId="77777777" w:rsidR="00C30896" w:rsidRDefault="00000000">
      <w:pPr>
        <w:spacing w:before="315" w:after="105" w:line="360" w:lineRule="auto"/>
        <w:ind w:left="-30"/>
      </w:pPr>
      <w:bookmarkStart w:id="5" w:name="bm_1_2_the_cost_of_fragmentation"/>
      <w:r>
        <w:rPr>
          <w:rFonts w:eastAsia="Georgia" w:hAnsi="Georgia" w:cs="Georgia"/>
          <w:b/>
          <w:color w:val="000000"/>
          <w:sz w:val="24"/>
        </w:rPr>
        <w:t>1.2 The Cost of Fragmentation</w:t>
      </w:r>
      <w:bookmarkEnd w:id="5"/>
    </w:p>
    <w:p w14:paraId="2187DB44" w14:textId="77777777" w:rsidR="00C30896" w:rsidRDefault="00000000">
      <w:pPr>
        <w:spacing w:after="210" w:line="360" w:lineRule="auto"/>
      </w:pPr>
      <w:r>
        <w:rPr>
          <w:rFonts w:eastAsia="Georgia" w:hAnsi="Georgia" w:cs="Georgia"/>
          <w:color w:val="000000"/>
        </w:rPr>
        <w:t>Operating parallel compliance systems is expensive in financial, operational, and reputational terms:</w:t>
      </w:r>
    </w:p>
    <w:p w14:paraId="73F383F6" w14:textId="4B1A2BD6" w:rsidR="00C30896" w:rsidRDefault="00000000">
      <w:pPr>
        <w:numPr>
          <w:ilvl w:val="0"/>
          <w:numId w:val="1"/>
        </w:numPr>
        <w:spacing w:before="105" w:after="105" w:line="360" w:lineRule="auto"/>
      </w:pPr>
      <w:r>
        <w:rPr>
          <w:rFonts w:eastAsia="Georgia" w:hAnsi="Georgia" w:cs="Georgia"/>
          <w:color w:val="000000"/>
        </w:rPr>
        <w:t xml:space="preserve">Traditional AML systems generate </w:t>
      </w:r>
      <w:r>
        <w:rPr>
          <w:rFonts w:eastAsia="Georgia" w:hAnsi="Georgia" w:cs="Georgia"/>
          <w:b/>
          <w:color w:val="000000"/>
        </w:rPr>
        <w:t>false positive alert rates of 90–95%</w:t>
      </w:r>
      <w:r>
        <w:rPr>
          <w:rFonts w:eastAsia="Georgia" w:hAnsi="Georgia" w:cs="Georgia"/>
          <w:color w:val="000000"/>
        </w:rPr>
        <w:t>, overwhelming compliance teams and masking genuine risk</w:t>
      </w:r>
      <w:r w:rsidR="006F7CDE">
        <w:rPr>
          <w:rFonts w:eastAsia="Georgia" w:hAnsi="Georgia" w:cs="Georgia"/>
          <w:color w:val="000000"/>
        </w:rPr>
        <w:t>.</w:t>
      </w:r>
    </w:p>
    <w:p w14:paraId="601A606A" w14:textId="038D28B6" w:rsidR="00C30896" w:rsidRDefault="00000000">
      <w:pPr>
        <w:numPr>
          <w:ilvl w:val="0"/>
          <w:numId w:val="1"/>
        </w:numPr>
        <w:spacing w:before="105" w:after="105" w:line="360" w:lineRule="auto"/>
      </w:pPr>
      <w:r>
        <w:rPr>
          <w:rFonts w:eastAsia="Georgia" w:hAnsi="Georgia" w:cs="Georgia"/>
          <w:color w:val="000000"/>
        </w:rPr>
        <w:t xml:space="preserve">Compliance teams must manage </w:t>
      </w:r>
      <w:r>
        <w:rPr>
          <w:rFonts w:eastAsia="Georgia" w:hAnsi="Georgia" w:cs="Georgia"/>
          <w:b/>
          <w:color w:val="000000"/>
        </w:rPr>
        <w:t>multiple rulebooks and workflows</w:t>
      </w:r>
      <w:r>
        <w:rPr>
          <w:rFonts w:eastAsia="Georgia" w:hAnsi="Georgia" w:cs="Georgia"/>
          <w:color w:val="000000"/>
        </w:rPr>
        <w:t xml:space="preserve"> across fiat and crypto channels, creating duplication and decision fatigue</w:t>
      </w:r>
      <w:r w:rsidR="006F7CDE">
        <w:rPr>
          <w:rFonts w:eastAsia="Georgia" w:hAnsi="Georgia" w:cs="Georgia"/>
          <w:color w:val="000000"/>
        </w:rPr>
        <w:t xml:space="preserve"> </w:t>
      </w:r>
    </w:p>
    <w:p w14:paraId="6EF199A6" w14:textId="3E7D2717" w:rsidR="00C30896" w:rsidRDefault="00000000">
      <w:pPr>
        <w:numPr>
          <w:ilvl w:val="0"/>
          <w:numId w:val="1"/>
        </w:numPr>
        <w:spacing w:before="105" w:after="105" w:line="360" w:lineRule="auto"/>
      </w:pPr>
      <w:r>
        <w:rPr>
          <w:rFonts w:eastAsia="Georgia" w:hAnsi="Georgia" w:cs="Georgia"/>
          <w:color w:val="000000"/>
        </w:rPr>
        <w:t>Siloed case queues mean that an analyst investigating a suspicious USDC transfer may have no visibility into the same customer's concurrent wire transfer activity</w:t>
      </w:r>
      <w:r w:rsidR="006F7CDE">
        <w:rPr>
          <w:rFonts w:eastAsia="Georgia" w:hAnsi="Georgia" w:cs="Georgia"/>
          <w:color w:val="000000"/>
        </w:rPr>
        <w:t xml:space="preserve"> </w:t>
      </w:r>
    </w:p>
    <w:p w14:paraId="45A058A9" w14:textId="253309CB" w:rsidR="00C30896" w:rsidRDefault="00000000">
      <w:pPr>
        <w:numPr>
          <w:ilvl w:val="0"/>
          <w:numId w:val="1"/>
        </w:numPr>
        <w:spacing w:before="105" w:after="105" w:line="360" w:lineRule="auto"/>
      </w:pPr>
      <w:r>
        <w:rPr>
          <w:rFonts w:eastAsia="Georgia" w:hAnsi="Georgia" w:cs="Georgia"/>
          <w:color w:val="000000"/>
        </w:rPr>
        <w:t>Regulatory enforcement actions have imposed significant penalties on firms with insufficient AML controls — Paxos's $48.5 million fine stands as a direct precedent</w:t>
      </w:r>
      <w:r w:rsidR="006F7CDE">
        <w:rPr>
          <w:rFonts w:eastAsia="Georgia" w:hAnsi="Georgia" w:cs="Georgia"/>
          <w:color w:val="000000"/>
        </w:rPr>
        <w:t xml:space="preserve"> </w:t>
      </w:r>
    </w:p>
    <w:p w14:paraId="33761FD7" w14:textId="7F6612F2" w:rsidR="00C30896" w:rsidRDefault="00000000">
      <w:pPr>
        <w:numPr>
          <w:ilvl w:val="0"/>
          <w:numId w:val="1"/>
        </w:numPr>
        <w:spacing w:before="105" w:after="105" w:line="360" w:lineRule="auto"/>
      </w:pPr>
      <w:r>
        <w:rPr>
          <w:rFonts w:eastAsia="Georgia" w:hAnsi="Georgia" w:cs="Georgia"/>
          <w:color w:val="000000"/>
        </w:rPr>
        <w:t xml:space="preserve">BIS and FSB have explicitly insisted that stablecoins performing payment-like functions be held to </w:t>
      </w:r>
      <w:r>
        <w:rPr>
          <w:rFonts w:eastAsia="Georgia" w:hAnsi="Georgia" w:cs="Georgia"/>
          <w:b/>
          <w:color w:val="000000"/>
        </w:rPr>
        <w:t>equivalent standards as traditional banks</w:t>
      </w:r>
      <w:r w:rsidR="006F7CDE">
        <w:rPr>
          <w:rFonts w:eastAsia="Georgia" w:hAnsi="Georgia" w:cs="Georgia"/>
          <w:color w:val="000000"/>
        </w:rPr>
        <w:t xml:space="preserve"> </w:t>
      </w:r>
    </w:p>
    <w:p w14:paraId="55B049C7" w14:textId="77777777" w:rsidR="00C30896" w:rsidRDefault="00000000">
      <w:pPr>
        <w:spacing w:before="210" w:after="0" w:line="360" w:lineRule="auto"/>
      </w:pPr>
      <w:r>
        <w:rPr>
          <w:noProof/>
        </w:rPr>
      </w:r>
      <w:r>
        <w:rPr>
          <w:noProof/>
        </w:rPr>
        <w:pict w14:anchorId="5E611983">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0B4CDA" w14:textId="77777777" w:rsidR="00C30896" w:rsidRDefault="00000000">
      <w:pPr>
        <w:spacing w:before="315" w:after="105" w:line="360" w:lineRule="auto"/>
        <w:ind w:left="-30"/>
      </w:pPr>
      <w:bookmarkStart w:id="6" w:name="bm_2_business_challenges"/>
      <w:r>
        <w:rPr>
          <w:rFonts w:eastAsia="Georgia" w:hAnsi="Georgia" w:cs="Georgia"/>
          <w:b/>
          <w:color w:val="000000"/>
          <w:sz w:val="24"/>
        </w:rPr>
        <w:t>2. Business Challenges</w:t>
      </w:r>
      <w:bookmarkEnd w:id="6"/>
    </w:p>
    <w:p w14:paraId="3790472C" w14:textId="77777777" w:rsidR="00C30896" w:rsidRDefault="00000000">
      <w:pPr>
        <w:spacing w:before="315" w:after="105" w:line="360" w:lineRule="auto"/>
        <w:ind w:left="-30"/>
      </w:pPr>
      <w:bookmarkStart w:id="7" w:name="bm_2_1_regulatory_complexity_over_41cb70"/>
      <w:r>
        <w:rPr>
          <w:rFonts w:eastAsia="Georgia" w:hAnsi="Georgia" w:cs="Georgia"/>
          <w:b/>
          <w:color w:val="000000"/>
          <w:sz w:val="24"/>
        </w:rPr>
        <w:t>2.1 Regulatory Complexity: Overlapping and Evolving Frameworks</w:t>
      </w:r>
      <w:bookmarkEnd w:id="7"/>
    </w:p>
    <w:p w14:paraId="3507461E" w14:textId="77777777" w:rsidR="00C30896" w:rsidRDefault="00000000">
      <w:pPr>
        <w:spacing w:after="210" w:line="360" w:lineRule="auto"/>
      </w:pPr>
      <w:r>
        <w:rPr>
          <w:rFonts w:eastAsia="Georgia" w:hAnsi="Georgia" w:cs="Georgia"/>
          <w:color w:val="000000"/>
        </w:rPr>
        <w:t>Financial institutions operating in today's hybrid payment environment face compliance obligations drawn from multiple, sometimes overlapping, regulatory regimes simultaneously.</w:t>
      </w:r>
    </w:p>
    <w:p w14:paraId="7319AC49" w14:textId="77777777" w:rsidR="00C30896" w:rsidRDefault="00000000">
      <w:pPr>
        <w:spacing w:before="315" w:after="105" w:line="360" w:lineRule="auto"/>
        <w:ind w:left="-30"/>
      </w:pPr>
      <w:bookmarkStart w:id="8" w:name="bm_2_1_1_hong_kong_hkma"/>
      <w:r>
        <w:rPr>
          <w:rFonts w:eastAsia="Georgia" w:hAnsi="Georgia" w:cs="Georgia"/>
          <w:b/>
          <w:color w:val="000000"/>
          <w:sz w:val="24"/>
        </w:rPr>
        <w:t>2.1.1 Hong Kong (HKMA)</w:t>
      </w:r>
      <w:bookmarkEnd w:id="8"/>
    </w:p>
    <w:p w14:paraId="3AF35FFC" w14:textId="1C468908" w:rsidR="00C30896" w:rsidRDefault="00000000">
      <w:pPr>
        <w:spacing w:after="210" w:line="360" w:lineRule="auto"/>
      </w:pPr>
      <w:r>
        <w:rPr>
          <w:rFonts w:eastAsia="Georgia" w:hAnsi="Georgia" w:cs="Georgia"/>
          <w:color w:val="000000"/>
        </w:rPr>
        <w:t xml:space="preserve">Hong Kong's Stablecoins Ordinance (Cap. 656) came into operation on </w:t>
      </w:r>
      <w:r>
        <w:rPr>
          <w:rFonts w:eastAsia="Georgia" w:hAnsi="Georgia" w:cs="Georgia"/>
          <w:b/>
          <w:color w:val="000000"/>
        </w:rPr>
        <w:t>August 1, 2025</w:t>
      </w:r>
      <w:r>
        <w:rPr>
          <w:rFonts w:eastAsia="Georgia" w:hAnsi="Georgia" w:cs="Georgia"/>
          <w:color w:val="000000"/>
        </w:rPr>
        <w:t xml:space="preserve">, supervised by the HKMA. Licensed Stablecoin Issuers (SIs) are classified as "financial institutions" under the </w:t>
      </w:r>
      <w:r>
        <w:rPr>
          <w:rFonts w:eastAsia="Georgia" w:hAnsi="Georgia" w:cs="Georgia"/>
          <w:color w:val="000000"/>
        </w:rPr>
        <w:lastRenderedPageBreak/>
        <w:t>Anti-Money Laundering and Counter-Terrorist Financing Ordinance (AMLO, Cap.615) — placing them under the same AML/CFT framework as banks (</w:t>
      </w:r>
      <w:proofErr w:type="spellStart"/>
      <w:r>
        <w:rPr>
          <w:rFonts w:eastAsia="Georgia" w:hAnsi="Georgia" w:cs="Georgia"/>
          <w:color w:val="000000"/>
        </w:rPr>
        <w:t>Authorised</w:t>
      </w:r>
      <w:proofErr w:type="spellEnd"/>
      <w:r>
        <w:rPr>
          <w:rFonts w:eastAsia="Georgia" w:hAnsi="Georgia" w:cs="Georgia"/>
          <w:color w:val="000000"/>
        </w:rPr>
        <w:t xml:space="preserve"> Institutions) and stored value facility licensees. Key HKMA expectations include:</w:t>
      </w:r>
      <w:r w:rsidR="006F7CDE">
        <w:rPr>
          <w:rFonts w:eastAsia="Georgia" w:hAnsi="Georgia" w:cs="Georgia"/>
          <w:color w:val="000000"/>
        </w:rPr>
        <w:t xml:space="preserve"> </w:t>
      </w:r>
    </w:p>
    <w:p w14:paraId="25B61CF1" w14:textId="7CFDBE55" w:rsidR="00C30896" w:rsidRDefault="00000000">
      <w:pPr>
        <w:numPr>
          <w:ilvl w:val="0"/>
          <w:numId w:val="2"/>
        </w:numPr>
        <w:spacing w:before="105" w:after="105" w:line="360" w:lineRule="auto"/>
      </w:pPr>
      <w:r>
        <w:rPr>
          <w:rFonts w:eastAsia="Georgia" w:hAnsi="Georgia" w:cs="Georgia"/>
          <w:color w:val="000000"/>
        </w:rPr>
        <w:t xml:space="preserve">Customer Due Diligence (CDD) for transactions at or above </w:t>
      </w:r>
      <w:r>
        <w:rPr>
          <w:rFonts w:eastAsia="Georgia" w:hAnsi="Georgia" w:cs="Georgia"/>
          <w:b/>
          <w:color w:val="000000"/>
        </w:rPr>
        <w:t>HK$8,000</w:t>
      </w:r>
      <w:r>
        <w:rPr>
          <w:rFonts w:eastAsia="Georgia" w:hAnsi="Georgia" w:cs="Georgia"/>
          <w:color w:val="000000"/>
        </w:rPr>
        <w:t xml:space="preserve">, covering both custodial and </w:t>
      </w:r>
      <w:proofErr w:type="spellStart"/>
      <w:r>
        <w:rPr>
          <w:rFonts w:eastAsia="Georgia" w:hAnsi="Georgia" w:cs="Georgia"/>
          <w:color w:val="000000"/>
        </w:rPr>
        <w:t>unhosted</w:t>
      </w:r>
      <w:proofErr w:type="spellEnd"/>
      <w:r>
        <w:rPr>
          <w:rFonts w:eastAsia="Georgia" w:hAnsi="Georgia" w:cs="Georgia"/>
          <w:color w:val="000000"/>
        </w:rPr>
        <w:t xml:space="preserve"> wallets</w:t>
      </w:r>
      <w:r w:rsidR="006F7CDE">
        <w:rPr>
          <w:rFonts w:eastAsia="Georgia" w:hAnsi="Georgia" w:cs="Georgia"/>
          <w:color w:val="000000"/>
        </w:rPr>
        <w:t xml:space="preserve"> </w:t>
      </w:r>
    </w:p>
    <w:p w14:paraId="56810D96" w14:textId="7C62D78D" w:rsidR="00C30896" w:rsidRDefault="00000000">
      <w:pPr>
        <w:numPr>
          <w:ilvl w:val="0"/>
          <w:numId w:val="2"/>
        </w:numPr>
        <w:spacing w:before="105" w:after="105" w:line="360" w:lineRule="auto"/>
      </w:pPr>
      <w:r>
        <w:rPr>
          <w:rFonts w:eastAsia="Georgia" w:hAnsi="Georgia" w:cs="Georgia"/>
          <w:b/>
          <w:color w:val="000000"/>
        </w:rPr>
        <w:t>Enhanced monitoring</w:t>
      </w:r>
      <w:r>
        <w:rPr>
          <w:rFonts w:eastAsia="Georgia" w:hAnsi="Georgia" w:cs="Georgia"/>
          <w:color w:val="000000"/>
        </w:rPr>
        <w:t xml:space="preserve"> for stablecoin transfers to/from </w:t>
      </w:r>
      <w:proofErr w:type="spellStart"/>
      <w:r>
        <w:rPr>
          <w:rFonts w:eastAsia="Georgia" w:hAnsi="Georgia" w:cs="Georgia"/>
          <w:color w:val="000000"/>
        </w:rPr>
        <w:t>unhosted</w:t>
      </w:r>
      <w:proofErr w:type="spellEnd"/>
      <w:r>
        <w:rPr>
          <w:rFonts w:eastAsia="Georgia" w:hAnsi="Georgia" w:cs="Georgia"/>
          <w:color w:val="000000"/>
        </w:rPr>
        <w:t xml:space="preserve"> wallets, including screening, transaction limits, and possible blocking</w:t>
      </w:r>
      <w:r w:rsidR="006F7CDE">
        <w:rPr>
          <w:rFonts w:eastAsia="Georgia" w:hAnsi="Georgia" w:cs="Georgia"/>
          <w:color w:val="000000"/>
        </w:rPr>
        <w:t xml:space="preserve"> </w:t>
      </w:r>
    </w:p>
    <w:p w14:paraId="2FF30AA3" w14:textId="1437827B" w:rsidR="00C30896" w:rsidRDefault="00000000">
      <w:pPr>
        <w:numPr>
          <w:ilvl w:val="0"/>
          <w:numId w:val="2"/>
        </w:numPr>
        <w:spacing w:before="105" w:after="105" w:line="360" w:lineRule="auto"/>
      </w:pPr>
      <w:r>
        <w:rPr>
          <w:rFonts w:eastAsia="Georgia" w:hAnsi="Georgia" w:cs="Georgia"/>
          <w:b/>
          <w:color w:val="000000"/>
        </w:rPr>
        <w:t>Travel Rule</w:t>
      </w:r>
      <w:r>
        <w:rPr>
          <w:rFonts w:eastAsia="Georgia" w:hAnsi="Georgia" w:cs="Georgia"/>
          <w:color w:val="000000"/>
        </w:rPr>
        <w:t xml:space="preserve"> compliance under Section 13A of Schedule 2 of the AMLO, requiring originator/beneficiary information sharing on stablecoin transfers</w:t>
      </w:r>
      <w:r w:rsidR="006F7CDE">
        <w:rPr>
          <w:rFonts w:eastAsia="Georgia" w:hAnsi="Georgia" w:cs="Georgia"/>
          <w:color w:val="000000"/>
        </w:rPr>
        <w:t xml:space="preserve"> </w:t>
      </w:r>
    </w:p>
    <w:p w14:paraId="19EBCC36" w14:textId="6E9B4FF1" w:rsidR="00C30896" w:rsidRDefault="00000000">
      <w:pPr>
        <w:numPr>
          <w:ilvl w:val="0"/>
          <w:numId w:val="2"/>
        </w:numPr>
        <w:spacing w:before="105" w:after="105" w:line="360" w:lineRule="auto"/>
      </w:pPr>
      <w:r>
        <w:rPr>
          <w:rFonts w:eastAsia="Georgia" w:hAnsi="Georgia" w:cs="Georgia"/>
          <w:color w:val="000000"/>
        </w:rPr>
        <w:t xml:space="preserve">Adoption of </w:t>
      </w:r>
      <w:r>
        <w:rPr>
          <w:rFonts w:eastAsia="Georgia" w:hAnsi="Georgia" w:cs="Georgia"/>
          <w:b/>
          <w:color w:val="000000"/>
        </w:rPr>
        <w:t xml:space="preserve">blockchain </w:t>
      </w:r>
      <w:proofErr w:type="gramStart"/>
      <w:r>
        <w:rPr>
          <w:rFonts w:eastAsia="Georgia" w:hAnsi="Georgia" w:cs="Georgia"/>
          <w:b/>
          <w:color w:val="000000"/>
        </w:rPr>
        <w:t>analytics tools</w:t>
      </w:r>
      <w:proofErr w:type="gramEnd"/>
      <w:r>
        <w:rPr>
          <w:rFonts w:eastAsia="Georgia" w:hAnsi="Georgia" w:cs="Georgia"/>
          <w:color w:val="000000"/>
        </w:rPr>
        <w:t xml:space="preserve"> to screen transactions and wallet addresses on an ongoing basis</w:t>
      </w:r>
      <w:r w:rsidR="006F7CDE">
        <w:rPr>
          <w:rFonts w:eastAsia="Georgia" w:hAnsi="Georgia" w:cs="Georgia"/>
          <w:color w:val="000000"/>
        </w:rPr>
        <w:t xml:space="preserve"> </w:t>
      </w:r>
    </w:p>
    <w:p w14:paraId="0605E18D" w14:textId="35D02DAD" w:rsidR="00C30896" w:rsidRDefault="00000000">
      <w:pPr>
        <w:numPr>
          <w:ilvl w:val="0"/>
          <w:numId w:val="2"/>
        </w:numPr>
        <w:spacing w:before="105" w:after="105" w:line="360" w:lineRule="auto"/>
      </w:pPr>
      <w:r>
        <w:rPr>
          <w:rFonts w:eastAsia="Georgia" w:hAnsi="Georgia" w:cs="Georgia"/>
          <w:b/>
          <w:color w:val="000000"/>
        </w:rPr>
        <w:t>Ecosystem monitoring</w:t>
      </w:r>
      <w:r>
        <w:rPr>
          <w:rFonts w:eastAsia="Georgia" w:hAnsi="Georgia" w:cs="Georgia"/>
          <w:color w:val="000000"/>
        </w:rPr>
        <w:t>: issuers must monitor tokens beyond their direct customers, extending oversight across the full stablecoin circulation lifecycle</w:t>
      </w:r>
      <w:r w:rsidR="006F7CDE">
        <w:rPr>
          <w:rFonts w:eastAsia="Georgia" w:hAnsi="Georgia" w:cs="Georgia"/>
          <w:color w:val="000000"/>
        </w:rPr>
        <w:t xml:space="preserve"> </w:t>
      </w:r>
    </w:p>
    <w:p w14:paraId="2AAA9EF6" w14:textId="0E75102E" w:rsidR="00C30896" w:rsidRDefault="00000000">
      <w:pPr>
        <w:spacing w:after="210" w:line="360" w:lineRule="auto"/>
      </w:pPr>
      <w:r>
        <w:rPr>
          <w:rFonts w:eastAsia="Georgia" w:hAnsi="Georgia" w:cs="Georgia"/>
          <w:color w:val="000000"/>
        </w:rPr>
        <w:t xml:space="preserve">The HKMA further requires licensees to implement blacklisting of wallets linked to sanctioned or illicit actors, and to freeze stablecoins promptly upon regulatory or law enforcement </w:t>
      </w:r>
      <w:proofErr w:type="gramStart"/>
      <w:r>
        <w:rPr>
          <w:rFonts w:eastAsia="Georgia" w:hAnsi="Georgia" w:cs="Georgia"/>
          <w:color w:val="000000"/>
        </w:rPr>
        <w:t>request</w:t>
      </w:r>
      <w:proofErr w:type="gramEnd"/>
      <w:r>
        <w:rPr>
          <w:rFonts w:eastAsia="Georgia" w:hAnsi="Georgia" w:cs="Georgia"/>
          <w:color w:val="000000"/>
        </w:rPr>
        <w:t>.</w:t>
      </w:r>
    </w:p>
    <w:p w14:paraId="6EA11ACE" w14:textId="77777777" w:rsidR="00C30896" w:rsidRDefault="00000000">
      <w:pPr>
        <w:spacing w:before="315" w:after="105" w:line="360" w:lineRule="auto"/>
        <w:ind w:left="-30"/>
      </w:pPr>
      <w:bookmarkStart w:id="9" w:name="bm_2_1_2_european_union_mica"/>
      <w:r>
        <w:rPr>
          <w:rFonts w:eastAsia="Georgia" w:hAnsi="Georgia" w:cs="Georgia"/>
          <w:b/>
          <w:color w:val="000000"/>
          <w:sz w:val="24"/>
        </w:rPr>
        <w:t>2.1.2 European Union (</w:t>
      </w:r>
      <w:proofErr w:type="spellStart"/>
      <w:r>
        <w:rPr>
          <w:rFonts w:eastAsia="Georgia" w:hAnsi="Georgia" w:cs="Georgia"/>
          <w:b/>
          <w:color w:val="000000"/>
          <w:sz w:val="24"/>
        </w:rPr>
        <w:t>MiCA</w:t>
      </w:r>
      <w:proofErr w:type="spellEnd"/>
      <w:r>
        <w:rPr>
          <w:rFonts w:eastAsia="Georgia" w:hAnsi="Georgia" w:cs="Georgia"/>
          <w:b/>
          <w:color w:val="000000"/>
          <w:sz w:val="24"/>
        </w:rPr>
        <w:t>)</w:t>
      </w:r>
      <w:bookmarkEnd w:id="9"/>
    </w:p>
    <w:p w14:paraId="358E5011" w14:textId="7FA4D800" w:rsidR="00C30896" w:rsidRDefault="00000000">
      <w:pPr>
        <w:spacing w:after="210" w:line="360" w:lineRule="auto"/>
      </w:pPr>
      <w:r>
        <w:rPr>
          <w:rFonts w:eastAsia="Georgia" w:hAnsi="Georgia" w:cs="Georgia"/>
          <w:color w:val="000000"/>
        </w:rPr>
        <w:t>The EU's Markets in Crypto-Assets Regulation (</w:t>
      </w:r>
      <w:proofErr w:type="spellStart"/>
      <w:r>
        <w:rPr>
          <w:rFonts w:eastAsia="Georgia" w:hAnsi="Georgia" w:cs="Georgia"/>
          <w:color w:val="000000"/>
        </w:rPr>
        <w:t>MiCA</w:t>
      </w:r>
      <w:proofErr w:type="spellEnd"/>
      <w:r>
        <w:rPr>
          <w:rFonts w:eastAsia="Georgia" w:hAnsi="Georgia" w:cs="Georgia"/>
          <w:color w:val="000000"/>
        </w:rPr>
        <w:t xml:space="preserve">) entered into force in June 2023, with stablecoin provisions fully applicable from </w:t>
      </w:r>
      <w:r>
        <w:rPr>
          <w:rFonts w:eastAsia="Georgia" w:hAnsi="Georgia" w:cs="Georgia"/>
          <w:b/>
          <w:color w:val="000000"/>
        </w:rPr>
        <w:t>June 30, 2024</w:t>
      </w:r>
      <w:r>
        <w:rPr>
          <w:rFonts w:eastAsia="Georgia" w:hAnsi="Georgia" w:cs="Georgia"/>
          <w:color w:val="000000"/>
        </w:rPr>
        <w:t xml:space="preserve">. </w:t>
      </w:r>
      <w:proofErr w:type="spellStart"/>
      <w:r>
        <w:rPr>
          <w:rFonts w:eastAsia="Georgia" w:hAnsi="Georgia" w:cs="Georgia"/>
          <w:color w:val="000000"/>
        </w:rPr>
        <w:t>MiCA</w:t>
      </w:r>
      <w:proofErr w:type="spellEnd"/>
      <w:r>
        <w:rPr>
          <w:rFonts w:eastAsia="Georgia" w:hAnsi="Georgia" w:cs="Georgia"/>
          <w:color w:val="000000"/>
        </w:rPr>
        <w:t xml:space="preserve"> defines two regulated stablecoin categories:</w:t>
      </w:r>
    </w:p>
    <w:p w14:paraId="2FA26023" w14:textId="0B8A912C" w:rsidR="00C30896" w:rsidRDefault="00000000">
      <w:pPr>
        <w:numPr>
          <w:ilvl w:val="0"/>
          <w:numId w:val="3"/>
        </w:numPr>
        <w:spacing w:before="105" w:after="105" w:line="360" w:lineRule="auto"/>
      </w:pPr>
      <w:r>
        <w:rPr>
          <w:rFonts w:eastAsia="Georgia" w:hAnsi="Georgia" w:cs="Georgia"/>
          <w:b/>
          <w:color w:val="000000"/>
        </w:rPr>
        <w:t>E-money tokens (EMTs)</w:t>
      </w:r>
      <w:r>
        <w:rPr>
          <w:rFonts w:eastAsia="Georgia" w:hAnsi="Georgia" w:cs="Georgia"/>
          <w:color w:val="000000"/>
        </w:rPr>
        <w:t>: value pegged to a single fiat currency, requiring EMI/credit institution licensing</w:t>
      </w:r>
    </w:p>
    <w:p w14:paraId="034EEEE4" w14:textId="67FABD34" w:rsidR="00C30896" w:rsidRDefault="00000000">
      <w:pPr>
        <w:numPr>
          <w:ilvl w:val="0"/>
          <w:numId w:val="3"/>
        </w:numPr>
        <w:spacing w:before="105" w:after="105" w:line="360" w:lineRule="auto"/>
      </w:pPr>
      <w:r>
        <w:rPr>
          <w:rFonts w:eastAsia="Georgia" w:hAnsi="Georgia" w:cs="Georgia"/>
          <w:b/>
          <w:color w:val="000000"/>
        </w:rPr>
        <w:t>Asset-referenced tokens (ARTs)</w:t>
      </w:r>
      <w:r>
        <w:rPr>
          <w:rFonts w:eastAsia="Georgia" w:hAnsi="Georgia" w:cs="Georgia"/>
          <w:color w:val="000000"/>
        </w:rPr>
        <w:t>: value pegged to a basket of assets, with stringent reserve and disclosure requirements</w:t>
      </w:r>
    </w:p>
    <w:p w14:paraId="062F61F2" w14:textId="436BEFC5" w:rsidR="00C30896" w:rsidRDefault="00000000">
      <w:pPr>
        <w:spacing w:after="210" w:line="360" w:lineRule="auto"/>
      </w:pPr>
      <w:proofErr w:type="spellStart"/>
      <w:r>
        <w:rPr>
          <w:rFonts w:eastAsia="Georgia" w:hAnsi="Georgia" w:cs="Georgia"/>
          <w:color w:val="000000"/>
        </w:rPr>
        <w:t>MiCA</w:t>
      </w:r>
      <w:proofErr w:type="spellEnd"/>
      <w:r>
        <w:rPr>
          <w:rFonts w:eastAsia="Georgia" w:hAnsi="Georgia" w:cs="Georgia"/>
          <w:color w:val="000000"/>
        </w:rPr>
        <w:t xml:space="preserve"> imposes a </w:t>
      </w:r>
      <w:r>
        <w:rPr>
          <w:rFonts w:eastAsia="Georgia" w:hAnsi="Georgia" w:cs="Georgia"/>
          <w:b/>
          <w:color w:val="000000"/>
        </w:rPr>
        <w:t>cap of 1 million transactions per day</w:t>
      </w:r>
      <w:r>
        <w:rPr>
          <w:rFonts w:eastAsia="Georgia" w:hAnsi="Georgia" w:cs="Georgia"/>
          <w:color w:val="000000"/>
        </w:rPr>
        <w:t xml:space="preserve"> for non-EU currency </w:t>
      </w:r>
      <w:proofErr w:type="gramStart"/>
      <w:r>
        <w:rPr>
          <w:rFonts w:eastAsia="Georgia" w:hAnsi="Georgia" w:cs="Georgia"/>
          <w:color w:val="000000"/>
        </w:rPr>
        <w:t>stablecoins</w:t>
      </w:r>
      <w:proofErr w:type="gramEnd"/>
      <w:r>
        <w:rPr>
          <w:rFonts w:eastAsia="Georgia" w:hAnsi="Georgia" w:cs="Georgia"/>
          <w:color w:val="000000"/>
        </w:rPr>
        <w:t xml:space="preserve"> and mandates full Travel Rule compliance under the Transfer of Funds Regulation (TFR) for all crypto-asset service providers (CASPs) from December 2024. CASPs must verify customer identities, monitor transactions for suspicious activity, and report to financial intelligence units — mirroring traditional finance obligations. The European Banking Authority's guidance further urges a risk-based approach where high-risk transactions are flagged and reviewed in real time, regardless of whether they are fiat or crypto.</w:t>
      </w:r>
    </w:p>
    <w:p w14:paraId="62CD2E79" w14:textId="77777777" w:rsidR="00C30896" w:rsidRDefault="00000000">
      <w:pPr>
        <w:spacing w:before="315" w:after="105" w:line="360" w:lineRule="auto"/>
        <w:ind w:left="-30"/>
      </w:pPr>
      <w:bookmarkStart w:id="10" w:name="bm_2_1_3_united_states_genius_act_bsa"/>
      <w:r>
        <w:rPr>
          <w:rFonts w:eastAsia="Georgia" w:hAnsi="Georgia" w:cs="Georgia"/>
          <w:b/>
          <w:color w:val="000000"/>
          <w:sz w:val="24"/>
        </w:rPr>
        <w:t>2.1.3 United States (GENIUS Act &amp; BSA)</w:t>
      </w:r>
      <w:bookmarkEnd w:id="10"/>
    </w:p>
    <w:p w14:paraId="747CB335" w14:textId="789F8573" w:rsidR="00C30896" w:rsidRDefault="00000000">
      <w:pPr>
        <w:spacing w:after="210" w:line="360" w:lineRule="auto"/>
      </w:pPr>
      <w:r>
        <w:rPr>
          <w:rFonts w:eastAsia="Georgia" w:hAnsi="Georgia" w:cs="Georgia"/>
          <w:color w:val="000000"/>
        </w:rPr>
        <w:lastRenderedPageBreak/>
        <w:t xml:space="preserve">The GENIUS Act, passed in mid-2025, establishes federal licensing requirements for all stablecoin </w:t>
      </w:r>
      <w:proofErr w:type="gramStart"/>
      <w:r>
        <w:rPr>
          <w:rFonts w:eastAsia="Georgia" w:hAnsi="Georgia" w:cs="Georgia"/>
          <w:color w:val="000000"/>
        </w:rPr>
        <w:t>issuers</w:t>
      </w:r>
      <w:proofErr w:type="gramEnd"/>
      <w:r>
        <w:rPr>
          <w:rFonts w:eastAsia="Georgia" w:hAnsi="Georgia" w:cs="Georgia"/>
          <w:color w:val="000000"/>
        </w:rPr>
        <w:t xml:space="preserve"> and explicitly subjects them to </w:t>
      </w:r>
      <w:r>
        <w:rPr>
          <w:rFonts w:eastAsia="Georgia" w:hAnsi="Georgia" w:cs="Georgia"/>
          <w:b/>
          <w:color w:val="000000"/>
        </w:rPr>
        <w:t>Bank Secrecy Act (BSA) requirements</w:t>
      </w:r>
      <w:r>
        <w:rPr>
          <w:rFonts w:eastAsia="Georgia" w:hAnsi="Georgia" w:cs="Georgia"/>
          <w:color w:val="000000"/>
        </w:rPr>
        <w:t>. This mandates:</w:t>
      </w:r>
    </w:p>
    <w:p w14:paraId="6EF3F24F" w14:textId="2AAC3B00" w:rsidR="00C30896" w:rsidRDefault="00000000">
      <w:pPr>
        <w:numPr>
          <w:ilvl w:val="0"/>
          <w:numId w:val="4"/>
        </w:numPr>
        <w:spacing w:before="105" w:after="105" w:line="360" w:lineRule="auto"/>
      </w:pPr>
      <w:r>
        <w:rPr>
          <w:rFonts w:eastAsia="Georgia" w:hAnsi="Georgia" w:cs="Georgia"/>
          <w:color w:val="000000"/>
        </w:rPr>
        <w:t>Comprehensive AML/CFT programs with formal risk assessments</w:t>
      </w:r>
    </w:p>
    <w:p w14:paraId="1FA3BCDC" w14:textId="4D5AD38E" w:rsidR="00C30896" w:rsidRDefault="00000000">
      <w:pPr>
        <w:numPr>
          <w:ilvl w:val="0"/>
          <w:numId w:val="4"/>
        </w:numPr>
        <w:spacing w:before="105" w:after="105" w:line="360" w:lineRule="auto"/>
      </w:pPr>
      <w:r>
        <w:rPr>
          <w:rFonts w:eastAsia="Georgia" w:hAnsi="Georgia" w:cs="Georgia"/>
          <w:color w:val="000000"/>
        </w:rPr>
        <w:t>Real-time monitoring across all major blockchains with automated detection of suspicious patterns</w:t>
      </w:r>
    </w:p>
    <w:p w14:paraId="6790F6A5" w14:textId="06B2CEEA" w:rsidR="00C30896" w:rsidRDefault="00000000">
      <w:pPr>
        <w:numPr>
          <w:ilvl w:val="0"/>
          <w:numId w:val="4"/>
        </w:numPr>
        <w:spacing w:before="105" w:after="105" w:line="360" w:lineRule="auto"/>
      </w:pPr>
      <w:r>
        <w:rPr>
          <w:rFonts w:eastAsia="Georgia" w:hAnsi="Georgia" w:cs="Georgia"/>
          <w:color w:val="000000"/>
        </w:rPr>
        <w:t xml:space="preserve">Enhanced due diligence for institutions facilitating </w:t>
      </w:r>
      <w:proofErr w:type="gramStart"/>
      <w:r>
        <w:rPr>
          <w:rFonts w:eastAsia="Georgia" w:hAnsi="Georgia" w:cs="Georgia"/>
          <w:color w:val="000000"/>
        </w:rPr>
        <w:t>stablecoin</w:t>
      </w:r>
      <w:proofErr w:type="gramEnd"/>
      <w:r>
        <w:rPr>
          <w:rFonts w:eastAsia="Georgia" w:hAnsi="Georgia" w:cs="Georgia"/>
          <w:color w:val="000000"/>
        </w:rPr>
        <w:t xml:space="preserve"> transactions</w:t>
      </w:r>
    </w:p>
    <w:p w14:paraId="3F531705" w14:textId="730451C7" w:rsidR="00C30896" w:rsidRDefault="00000000">
      <w:pPr>
        <w:numPr>
          <w:ilvl w:val="0"/>
          <w:numId w:val="4"/>
        </w:numPr>
        <w:spacing w:before="105" w:after="105" w:line="360" w:lineRule="auto"/>
      </w:pPr>
      <w:r>
        <w:rPr>
          <w:rFonts w:eastAsia="Georgia" w:hAnsi="Georgia" w:cs="Georgia"/>
          <w:color w:val="000000"/>
        </w:rPr>
        <w:t xml:space="preserve">Foreign stablecoin </w:t>
      </w:r>
      <w:proofErr w:type="gramStart"/>
      <w:r>
        <w:rPr>
          <w:rFonts w:eastAsia="Georgia" w:hAnsi="Georgia" w:cs="Georgia"/>
          <w:color w:val="000000"/>
        </w:rPr>
        <w:t>issuers</w:t>
      </w:r>
      <w:proofErr w:type="gramEnd"/>
      <w:r>
        <w:rPr>
          <w:rFonts w:eastAsia="Georgia" w:hAnsi="Georgia" w:cs="Georgia"/>
          <w:color w:val="000000"/>
        </w:rPr>
        <w:t xml:space="preserve"> accessing US markets must meet identical AML and sanctions compliance standards as domestic players, eliminating regulatory arbitrage</w:t>
      </w:r>
    </w:p>
    <w:p w14:paraId="71A6F70D" w14:textId="77777777" w:rsidR="00C30896" w:rsidRDefault="00000000">
      <w:pPr>
        <w:spacing w:before="315" w:after="105" w:line="360" w:lineRule="auto"/>
        <w:ind w:left="-30"/>
      </w:pPr>
      <w:bookmarkStart w:id="11" w:name="bm_2_1_4_fatf_global_standards"/>
      <w:r>
        <w:rPr>
          <w:rFonts w:eastAsia="Georgia" w:hAnsi="Georgia" w:cs="Georgia"/>
          <w:b/>
          <w:color w:val="000000"/>
          <w:sz w:val="24"/>
        </w:rPr>
        <w:t>2.1.4 FATF Global Standards</w:t>
      </w:r>
      <w:bookmarkEnd w:id="11"/>
    </w:p>
    <w:p w14:paraId="2D609E91" w14:textId="6B4F14FD" w:rsidR="00C30896" w:rsidRDefault="00000000">
      <w:pPr>
        <w:spacing w:after="210" w:line="360" w:lineRule="auto"/>
      </w:pPr>
      <w:r>
        <w:rPr>
          <w:rFonts w:eastAsia="Georgia" w:hAnsi="Georgia" w:cs="Georgia"/>
          <w:color w:val="000000"/>
        </w:rPr>
        <w:t xml:space="preserve">At the international level, FATF's </w:t>
      </w:r>
      <w:r>
        <w:rPr>
          <w:rFonts w:eastAsia="Georgia" w:hAnsi="Georgia" w:cs="Georgia"/>
          <w:b/>
          <w:color w:val="000000"/>
        </w:rPr>
        <w:t>Recommendation 15</w:t>
      </w:r>
      <w:r>
        <w:rPr>
          <w:rFonts w:eastAsia="Georgia" w:hAnsi="Georgia" w:cs="Georgia"/>
          <w:color w:val="000000"/>
        </w:rPr>
        <w:t xml:space="preserve"> (virtual assets) and </w:t>
      </w:r>
      <w:r>
        <w:rPr>
          <w:rFonts w:eastAsia="Georgia" w:hAnsi="Georgia" w:cs="Georgia"/>
          <w:b/>
          <w:color w:val="000000"/>
        </w:rPr>
        <w:t>Recommendation 16</w:t>
      </w:r>
      <w:r>
        <w:rPr>
          <w:rFonts w:eastAsia="Georgia" w:hAnsi="Georgia" w:cs="Georgia"/>
          <w:color w:val="000000"/>
        </w:rPr>
        <w:t xml:space="preserve"> (Travel Rule) form the baseline. Following the June 2025 FATF Plenary:</w:t>
      </w:r>
    </w:p>
    <w:p w14:paraId="6EAFE96E" w14:textId="5D87DEF3" w:rsidR="00C30896" w:rsidRDefault="00000000">
      <w:pPr>
        <w:numPr>
          <w:ilvl w:val="0"/>
          <w:numId w:val="5"/>
        </w:numPr>
        <w:spacing w:before="105" w:after="105" w:line="360" w:lineRule="auto"/>
      </w:pPr>
      <w:r>
        <w:rPr>
          <w:rFonts w:eastAsia="Georgia" w:hAnsi="Georgia" w:cs="Georgia"/>
          <w:color w:val="000000"/>
        </w:rPr>
        <w:t xml:space="preserve">The Travel Rule has been revised to cover </w:t>
      </w:r>
      <w:r>
        <w:rPr>
          <w:rFonts w:eastAsia="Georgia" w:hAnsi="Georgia" w:cs="Georgia"/>
          <w:b/>
          <w:color w:val="000000"/>
        </w:rPr>
        <w:t>peer-to-peer cross-border transfers above USD/EUR 1,000</w:t>
      </w:r>
      <w:r>
        <w:rPr>
          <w:rFonts w:eastAsia="Georgia" w:hAnsi="Georgia" w:cs="Georgia"/>
          <w:color w:val="000000"/>
        </w:rPr>
        <w:t xml:space="preserve"> with </w:t>
      </w:r>
      <w:proofErr w:type="spellStart"/>
      <w:r>
        <w:rPr>
          <w:rFonts w:eastAsia="Georgia" w:hAnsi="Georgia" w:cs="Georgia"/>
          <w:color w:val="000000"/>
        </w:rPr>
        <w:t>standardised</w:t>
      </w:r>
      <w:proofErr w:type="spellEnd"/>
      <w:r>
        <w:rPr>
          <w:rFonts w:eastAsia="Georgia" w:hAnsi="Georgia" w:cs="Georgia"/>
          <w:color w:val="000000"/>
        </w:rPr>
        <w:t xml:space="preserve"> originator and beneficiary data requirements</w:t>
      </w:r>
    </w:p>
    <w:p w14:paraId="6D9B091C" w14:textId="564BEE5C" w:rsidR="00C30896" w:rsidRDefault="00000000">
      <w:pPr>
        <w:numPr>
          <w:ilvl w:val="0"/>
          <w:numId w:val="5"/>
        </w:numPr>
        <w:spacing w:before="105" w:after="105" w:line="360" w:lineRule="auto"/>
      </w:pPr>
      <w:r>
        <w:rPr>
          <w:rFonts w:eastAsia="Georgia" w:hAnsi="Georgia" w:cs="Georgia"/>
          <w:color w:val="000000"/>
        </w:rPr>
        <w:t xml:space="preserve">Beneficiary verification is now a </w:t>
      </w:r>
      <w:r>
        <w:rPr>
          <w:rFonts w:eastAsia="Georgia" w:hAnsi="Georgia" w:cs="Georgia"/>
          <w:b/>
          <w:color w:val="000000"/>
        </w:rPr>
        <w:t>requirement, not a recommendation</w:t>
      </w:r>
    </w:p>
    <w:p w14:paraId="6FB96397" w14:textId="7BA0211B" w:rsidR="00C30896" w:rsidRDefault="00000000">
      <w:pPr>
        <w:numPr>
          <w:ilvl w:val="0"/>
          <w:numId w:val="5"/>
        </w:numPr>
        <w:spacing w:before="105" w:after="105" w:line="360" w:lineRule="auto"/>
      </w:pPr>
      <w:r>
        <w:rPr>
          <w:rFonts w:eastAsia="Georgia" w:hAnsi="Georgia" w:cs="Georgia"/>
          <w:color w:val="000000"/>
        </w:rPr>
        <w:t xml:space="preserve">The revised rule is designed to work within </w:t>
      </w:r>
      <w:r>
        <w:rPr>
          <w:rFonts w:eastAsia="Georgia" w:hAnsi="Georgia" w:cs="Georgia"/>
          <w:b/>
          <w:color w:val="000000"/>
        </w:rPr>
        <w:t>ISO 20022</w:t>
      </w:r>
      <w:r>
        <w:rPr>
          <w:rFonts w:eastAsia="Georgia" w:hAnsi="Georgia" w:cs="Georgia"/>
          <w:color w:val="000000"/>
        </w:rPr>
        <w:t>, the global standard governing all cross-border SWIFT payments</w:t>
      </w:r>
    </w:p>
    <w:p w14:paraId="362E91C4" w14:textId="4D1A0271" w:rsidR="00C30896" w:rsidRDefault="00000000">
      <w:pPr>
        <w:numPr>
          <w:ilvl w:val="0"/>
          <w:numId w:val="5"/>
        </w:numPr>
        <w:spacing w:before="105" w:after="105" w:line="360" w:lineRule="auto"/>
      </w:pPr>
      <w:r>
        <w:rPr>
          <w:rFonts w:eastAsia="Georgia" w:hAnsi="Georgia" w:cs="Georgia"/>
          <w:color w:val="000000"/>
        </w:rPr>
        <w:t xml:space="preserve">As of early 2026, </w:t>
      </w:r>
      <w:r>
        <w:rPr>
          <w:rFonts w:eastAsia="Georgia" w:hAnsi="Georgia" w:cs="Georgia"/>
          <w:b/>
          <w:color w:val="000000"/>
        </w:rPr>
        <w:t>42 countries</w:t>
      </w:r>
      <w:r>
        <w:rPr>
          <w:rFonts w:eastAsia="Georgia" w:hAnsi="Georgia" w:cs="Georgia"/>
          <w:color w:val="000000"/>
        </w:rPr>
        <w:t xml:space="preserve"> are Travel Rule compliant, and </w:t>
      </w:r>
      <w:r>
        <w:rPr>
          <w:rFonts w:eastAsia="Georgia" w:hAnsi="Georgia" w:cs="Georgia"/>
          <w:b/>
          <w:color w:val="000000"/>
        </w:rPr>
        <w:t>85 of 117 FATF-member jurisdictions</w:t>
      </w:r>
      <w:r>
        <w:rPr>
          <w:rFonts w:eastAsia="Georgia" w:hAnsi="Georgia" w:cs="Georgia"/>
          <w:color w:val="000000"/>
        </w:rPr>
        <w:t xml:space="preserve"> have passed or are actively passing Travel Rule legislation</w:t>
      </w:r>
    </w:p>
    <w:p w14:paraId="339AD40F" w14:textId="3FCF59C1" w:rsidR="00C30896" w:rsidRDefault="00000000">
      <w:pPr>
        <w:numPr>
          <w:ilvl w:val="0"/>
          <w:numId w:val="5"/>
        </w:numPr>
        <w:spacing w:before="105" w:after="105" w:line="360" w:lineRule="auto"/>
      </w:pPr>
      <w:r>
        <w:rPr>
          <w:rFonts w:eastAsia="Georgia" w:hAnsi="Georgia" w:cs="Georgia"/>
          <w:color w:val="000000"/>
        </w:rPr>
        <w:t xml:space="preserve">FATF's 2026 targeted report on stablecoins and </w:t>
      </w:r>
      <w:proofErr w:type="spellStart"/>
      <w:r>
        <w:rPr>
          <w:rFonts w:eastAsia="Georgia" w:hAnsi="Georgia" w:cs="Georgia"/>
          <w:color w:val="000000"/>
        </w:rPr>
        <w:t>unhosted</w:t>
      </w:r>
      <w:proofErr w:type="spellEnd"/>
      <w:r>
        <w:rPr>
          <w:rFonts w:eastAsia="Georgia" w:hAnsi="Georgia" w:cs="Georgia"/>
          <w:color w:val="000000"/>
        </w:rPr>
        <w:t xml:space="preserve"> wallets calls for advanced blockchain analytics, smart-contract-based controls, and strengthened cross-border supervisory coordination</w:t>
      </w:r>
    </w:p>
    <w:p w14:paraId="55C624B5" w14:textId="77777777" w:rsidR="00C30896" w:rsidRDefault="00000000">
      <w:pPr>
        <w:spacing w:before="315" w:after="105" w:line="360" w:lineRule="auto"/>
        <w:ind w:left="-30"/>
      </w:pPr>
      <w:bookmarkStart w:id="12" w:name="bm_2_2_operational_challenges"/>
      <w:r>
        <w:rPr>
          <w:rFonts w:eastAsia="Georgia" w:hAnsi="Georgia" w:cs="Georgia"/>
          <w:b/>
          <w:color w:val="000000"/>
          <w:sz w:val="24"/>
        </w:rPr>
        <w:t>2.2 Operational Challenges</w:t>
      </w:r>
      <w:bookmarkEnd w:id="12"/>
    </w:p>
    <w:p w14:paraId="2D7B04C1" w14:textId="77777777" w:rsidR="00C30896" w:rsidRDefault="00000000">
      <w:pPr>
        <w:spacing w:after="210" w:line="360" w:lineRule="auto"/>
      </w:pPr>
      <w:r>
        <w:rPr>
          <w:rFonts w:eastAsia="Georgia" w:hAnsi="Georgia" w:cs="Georgia"/>
          <w:color w:val="000000"/>
        </w:rPr>
        <w:t>Beyond regulatory complexity, financial institutions face a set of structural operational challenges when running fiat and stablecoin compliance in parallel:</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0"/>
        <w:gridCol w:w="4164"/>
        <w:gridCol w:w="3200"/>
      </w:tblGrid>
      <w:tr w:rsidR="00C30896" w14:paraId="751F4A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722126" w14:textId="77777777" w:rsidR="00C30896" w:rsidRDefault="00000000">
            <w:pPr>
              <w:spacing w:line="360" w:lineRule="auto"/>
            </w:pPr>
            <w:r>
              <w:rPr>
                <w:rFonts w:ascii="helvetica neue" w:eastAsia="helvetica neue" w:hAnsi="helvetica neue" w:cs="helvetica neue"/>
                <w:color w:val="000000"/>
                <w:sz w:val="17"/>
              </w:rPr>
              <w:t>Challenge</w:t>
            </w:r>
          </w:p>
        </w:tc>
        <w:tc>
          <w:tcPr>
            <w:tcW w:w="0" w:type="auto"/>
            <w:tcBorders>
              <w:top w:val="single" w:sz="1" w:space="0" w:color="000000"/>
              <w:bottom w:val="single" w:sz="1" w:space="0" w:color="000000"/>
              <w:right w:val="single" w:sz="1" w:space="0" w:color="000000"/>
            </w:tcBorders>
          </w:tcPr>
          <w:p w14:paraId="2C6EA21F" w14:textId="77777777" w:rsidR="00C30896" w:rsidRDefault="00000000">
            <w:pPr>
              <w:spacing w:line="360" w:lineRule="auto"/>
            </w:pPr>
            <w:r>
              <w:rPr>
                <w:rFonts w:ascii="helvetica neue" w:eastAsia="helvetica neue" w:hAnsi="helvetica neue" w:cs="helvetica neue"/>
                <w:color w:val="000000"/>
                <w:sz w:val="17"/>
              </w:rPr>
              <w:t>Description</w:t>
            </w:r>
          </w:p>
        </w:tc>
        <w:tc>
          <w:tcPr>
            <w:tcW w:w="0" w:type="auto"/>
            <w:tcBorders>
              <w:top w:val="single" w:sz="1" w:space="0" w:color="000000"/>
              <w:bottom w:val="single" w:sz="1" w:space="0" w:color="000000"/>
            </w:tcBorders>
          </w:tcPr>
          <w:p w14:paraId="2B4E47A5" w14:textId="77777777" w:rsidR="00C30896" w:rsidRDefault="00000000">
            <w:pPr>
              <w:spacing w:line="360" w:lineRule="auto"/>
            </w:pPr>
            <w:r>
              <w:rPr>
                <w:rFonts w:ascii="helvetica neue" w:eastAsia="helvetica neue" w:hAnsi="helvetica neue" w:cs="helvetica neue"/>
                <w:color w:val="000000"/>
                <w:sz w:val="17"/>
              </w:rPr>
              <w:t>Impact</w:t>
            </w:r>
          </w:p>
        </w:tc>
      </w:tr>
      <w:tr w:rsidR="00C30896" w14:paraId="42ECA4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7053C3" w14:textId="77777777" w:rsidR="00C30896" w:rsidRDefault="00000000">
            <w:pPr>
              <w:spacing w:line="360" w:lineRule="auto"/>
            </w:pPr>
            <w:r>
              <w:rPr>
                <w:rFonts w:eastAsia="Georgia" w:hAnsi="Georgia" w:cs="Georgia"/>
                <w:b/>
                <w:color w:val="000000"/>
                <w:sz w:val="17"/>
              </w:rPr>
              <w:t>Fragmented Systems</w:t>
            </w:r>
          </w:p>
        </w:tc>
        <w:tc>
          <w:tcPr>
            <w:tcW w:w="0" w:type="auto"/>
            <w:tcBorders>
              <w:top w:val="single" w:sz="1" w:space="0" w:color="000000"/>
              <w:bottom w:val="single" w:sz="1" w:space="0" w:color="000000"/>
              <w:right w:val="single" w:sz="1" w:space="0" w:color="000000"/>
            </w:tcBorders>
          </w:tcPr>
          <w:p w14:paraId="0C4A49DE" w14:textId="77777777" w:rsidR="00C30896" w:rsidRDefault="00000000">
            <w:pPr>
              <w:spacing w:line="360" w:lineRule="auto"/>
            </w:pPr>
            <w:r>
              <w:rPr>
                <w:rFonts w:ascii="helvetica neue" w:eastAsia="helvetica neue" w:hAnsi="helvetica neue" w:cs="helvetica neue"/>
                <w:color w:val="000000"/>
                <w:sz w:val="17"/>
              </w:rPr>
              <w:t>Separate blockchain monitoring tools and fiat transaction monitors with no shared data layer</w:t>
            </w:r>
          </w:p>
        </w:tc>
        <w:tc>
          <w:tcPr>
            <w:tcW w:w="0" w:type="auto"/>
            <w:tcBorders>
              <w:top w:val="single" w:sz="1" w:space="0" w:color="000000"/>
              <w:bottom w:val="single" w:sz="1" w:space="0" w:color="000000"/>
            </w:tcBorders>
          </w:tcPr>
          <w:p w14:paraId="19007DF3" w14:textId="77777777" w:rsidR="00C30896" w:rsidRDefault="00000000">
            <w:pPr>
              <w:spacing w:line="360" w:lineRule="auto"/>
            </w:pPr>
            <w:r>
              <w:rPr>
                <w:rFonts w:ascii="helvetica neue" w:eastAsia="helvetica neue" w:hAnsi="helvetica neue" w:cs="helvetica neue"/>
                <w:color w:val="000000"/>
                <w:sz w:val="17"/>
              </w:rPr>
              <w:t>Blind spots at the rail crossover; same customer, different risk profiles</w:t>
            </w:r>
          </w:p>
        </w:tc>
      </w:tr>
      <w:tr w:rsidR="00C30896" w14:paraId="26D82B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7DF7CD" w14:textId="77777777" w:rsidR="00C30896" w:rsidRDefault="00000000">
            <w:pPr>
              <w:spacing w:line="360" w:lineRule="auto"/>
            </w:pPr>
            <w:r>
              <w:rPr>
                <w:rFonts w:eastAsia="Georgia" w:hAnsi="Georgia" w:cs="Georgia"/>
                <w:b/>
                <w:color w:val="000000"/>
                <w:sz w:val="17"/>
              </w:rPr>
              <w:lastRenderedPageBreak/>
              <w:t>Duplicate Rule Sets</w:t>
            </w:r>
          </w:p>
        </w:tc>
        <w:tc>
          <w:tcPr>
            <w:tcW w:w="0" w:type="auto"/>
            <w:tcBorders>
              <w:top w:val="single" w:sz="1" w:space="0" w:color="000000"/>
              <w:bottom w:val="single" w:sz="1" w:space="0" w:color="000000"/>
              <w:right w:val="single" w:sz="1" w:space="0" w:color="000000"/>
            </w:tcBorders>
          </w:tcPr>
          <w:p w14:paraId="7A981F74" w14:textId="77777777" w:rsidR="00C30896" w:rsidRDefault="00000000">
            <w:pPr>
              <w:spacing w:line="360" w:lineRule="auto"/>
            </w:pPr>
            <w:r>
              <w:rPr>
                <w:rFonts w:ascii="helvetica neue" w:eastAsia="helvetica neue" w:hAnsi="helvetica neue" w:cs="helvetica neue"/>
                <w:color w:val="000000"/>
                <w:sz w:val="17"/>
              </w:rPr>
              <w:t>Separate threshold configurations, detection scenarios, and alert queues for each rail</w:t>
            </w:r>
          </w:p>
        </w:tc>
        <w:tc>
          <w:tcPr>
            <w:tcW w:w="0" w:type="auto"/>
            <w:tcBorders>
              <w:top w:val="single" w:sz="1" w:space="0" w:color="000000"/>
              <w:bottom w:val="single" w:sz="1" w:space="0" w:color="000000"/>
            </w:tcBorders>
          </w:tcPr>
          <w:p w14:paraId="38FB96E2" w14:textId="77777777" w:rsidR="00C30896" w:rsidRDefault="00000000">
            <w:pPr>
              <w:spacing w:line="360" w:lineRule="auto"/>
            </w:pPr>
            <w:r>
              <w:rPr>
                <w:rFonts w:ascii="helvetica neue" w:eastAsia="helvetica neue" w:hAnsi="helvetica neue" w:cs="helvetica neue"/>
                <w:color w:val="000000"/>
                <w:sz w:val="17"/>
              </w:rPr>
              <w:t>Analyst overload; conflicting risk thresholds for the same customer activity</w:t>
            </w:r>
          </w:p>
        </w:tc>
      </w:tr>
      <w:tr w:rsidR="00C30896" w14:paraId="1DB9E5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1341CF" w14:textId="77777777" w:rsidR="00C30896" w:rsidRDefault="00000000">
            <w:pPr>
              <w:spacing w:line="360" w:lineRule="auto"/>
            </w:pPr>
            <w:r>
              <w:rPr>
                <w:rFonts w:eastAsia="Georgia" w:hAnsi="Georgia" w:cs="Georgia"/>
                <w:b/>
                <w:color w:val="000000"/>
                <w:sz w:val="17"/>
              </w:rPr>
              <w:t>No Customer 360 View</w:t>
            </w:r>
          </w:p>
        </w:tc>
        <w:tc>
          <w:tcPr>
            <w:tcW w:w="0" w:type="auto"/>
            <w:tcBorders>
              <w:top w:val="single" w:sz="1" w:space="0" w:color="000000"/>
              <w:bottom w:val="single" w:sz="1" w:space="0" w:color="000000"/>
              <w:right w:val="single" w:sz="1" w:space="0" w:color="000000"/>
            </w:tcBorders>
          </w:tcPr>
          <w:p w14:paraId="53D092F7" w14:textId="77777777" w:rsidR="00C30896" w:rsidRDefault="00000000">
            <w:pPr>
              <w:spacing w:line="360" w:lineRule="auto"/>
            </w:pPr>
            <w:r>
              <w:rPr>
                <w:rFonts w:ascii="helvetica neue" w:eastAsia="helvetica neue" w:hAnsi="helvetica neue" w:cs="helvetica neue"/>
                <w:color w:val="000000"/>
                <w:sz w:val="17"/>
              </w:rPr>
              <w:t>Customer's fiat and crypto activity visible in different systems</w:t>
            </w:r>
          </w:p>
        </w:tc>
        <w:tc>
          <w:tcPr>
            <w:tcW w:w="0" w:type="auto"/>
            <w:tcBorders>
              <w:top w:val="single" w:sz="1" w:space="0" w:color="000000"/>
              <w:bottom w:val="single" w:sz="1" w:space="0" w:color="000000"/>
            </w:tcBorders>
          </w:tcPr>
          <w:p w14:paraId="03A2F5BC" w14:textId="77777777" w:rsidR="00C30896" w:rsidRDefault="00000000">
            <w:pPr>
              <w:spacing w:line="360" w:lineRule="auto"/>
            </w:pPr>
            <w:r>
              <w:rPr>
                <w:rFonts w:ascii="helvetica neue" w:eastAsia="helvetica neue" w:hAnsi="helvetica neue" w:cs="helvetica neue"/>
                <w:color w:val="000000"/>
                <w:sz w:val="17"/>
              </w:rPr>
              <w:t>Inability to detect cross-rail laundering; layering patterns invisible</w:t>
            </w:r>
          </w:p>
        </w:tc>
      </w:tr>
      <w:tr w:rsidR="00C30896" w14:paraId="47F9D4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9D55D7" w14:textId="77777777" w:rsidR="00C30896" w:rsidRDefault="00000000">
            <w:pPr>
              <w:spacing w:line="360" w:lineRule="auto"/>
            </w:pPr>
            <w:r>
              <w:rPr>
                <w:rFonts w:eastAsia="Georgia" w:hAnsi="Georgia" w:cs="Georgia"/>
                <w:b/>
                <w:color w:val="000000"/>
                <w:sz w:val="17"/>
              </w:rPr>
              <w:t>24/7 Blockchain vs. Batch Fiat</w:t>
            </w:r>
          </w:p>
        </w:tc>
        <w:tc>
          <w:tcPr>
            <w:tcW w:w="0" w:type="auto"/>
            <w:tcBorders>
              <w:top w:val="single" w:sz="1" w:space="0" w:color="000000"/>
              <w:bottom w:val="single" w:sz="1" w:space="0" w:color="000000"/>
              <w:right w:val="single" w:sz="1" w:space="0" w:color="000000"/>
            </w:tcBorders>
          </w:tcPr>
          <w:p w14:paraId="51F307C6" w14:textId="77777777" w:rsidR="00C30896" w:rsidRDefault="00000000">
            <w:pPr>
              <w:spacing w:line="360" w:lineRule="auto"/>
            </w:pPr>
            <w:r>
              <w:rPr>
                <w:rFonts w:ascii="helvetica neue" w:eastAsia="helvetica neue" w:hAnsi="helvetica neue" w:cs="helvetica neue"/>
                <w:color w:val="000000"/>
                <w:sz w:val="17"/>
              </w:rPr>
              <w:t>On-chain transactions occur round-the-clock; legacy fiat systems operate in batch cycles</w:t>
            </w:r>
          </w:p>
        </w:tc>
        <w:tc>
          <w:tcPr>
            <w:tcW w:w="0" w:type="auto"/>
            <w:tcBorders>
              <w:top w:val="single" w:sz="1" w:space="0" w:color="000000"/>
              <w:bottom w:val="single" w:sz="1" w:space="0" w:color="000000"/>
            </w:tcBorders>
          </w:tcPr>
          <w:p w14:paraId="737E1BB5" w14:textId="77777777" w:rsidR="00C30896" w:rsidRDefault="00000000">
            <w:pPr>
              <w:spacing w:line="360" w:lineRule="auto"/>
            </w:pPr>
            <w:r>
              <w:rPr>
                <w:rFonts w:ascii="helvetica neue" w:eastAsia="helvetica neue" w:hAnsi="helvetica neue" w:cs="helvetica neue"/>
                <w:color w:val="000000"/>
                <w:sz w:val="17"/>
              </w:rPr>
              <w:t>Monitoring latency for stablecoin flows; delay in detecting time-sensitive risks</w:t>
            </w:r>
          </w:p>
        </w:tc>
      </w:tr>
      <w:tr w:rsidR="00C30896" w14:paraId="129A4F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548C96" w14:textId="77777777" w:rsidR="00C30896" w:rsidRDefault="00000000">
            <w:pPr>
              <w:spacing w:line="360" w:lineRule="auto"/>
            </w:pPr>
            <w:r>
              <w:rPr>
                <w:rFonts w:eastAsia="Georgia" w:hAnsi="Georgia" w:cs="Georgia"/>
                <w:b/>
                <w:color w:val="000000"/>
                <w:sz w:val="17"/>
              </w:rPr>
              <w:t>Cross-Chain Fragmentation</w:t>
            </w:r>
          </w:p>
        </w:tc>
        <w:tc>
          <w:tcPr>
            <w:tcW w:w="0" w:type="auto"/>
            <w:tcBorders>
              <w:top w:val="single" w:sz="1" w:space="0" w:color="000000"/>
              <w:bottom w:val="single" w:sz="1" w:space="0" w:color="000000"/>
              <w:right w:val="single" w:sz="1" w:space="0" w:color="000000"/>
            </w:tcBorders>
          </w:tcPr>
          <w:p w14:paraId="04A2350E" w14:textId="77777777" w:rsidR="00C30896" w:rsidRDefault="00000000">
            <w:pPr>
              <w:spacing w:line="360" w:lineRule="auto"/>
            </w:pPr>
            <w:r>
              <w:rPr>
                <w:rFonts w:ascii="helvetica neue" w:eastAsia="helvetica neue" w:hAnsi="helvetica neue" w:cs="helvetica neue"/>
                <w:color w:val="000000"/>
                <w:sz w:val="17"/>
              </w:rPr>
              <w:t>Stablecoins existing across multiple blockchains via bridges/L2 networks that bypass issuer compliance layers</w:t>
            </w:r>
          </w:p>
        </w:tc>
        <w:tc>
          <w:tcPr>
            <w:tcW w:w="0" w:type="auto"/>
            <w:tcBorders>
              <w:top w:val="single" w:sz="1" w:space="0" w:color="000000"/>
              <w:bottom w:val="single" w:sz="1" w:space="0" w:color="000000"/>
            </w:tcBorders>
          </w:tcPr>
          <w:p w14:paraId="5DDA1667" w14:textId="1E630C8B" w:rsidR="00C30896" w:rsidRDefault="00000000">
            <w:pPr>
              <w:spacing w:line="360" w:lineRule="auto"/>
            </w:pPr>
            <w:r>
              <w:rPr>
                <w:rFonts w:ascii="helvetica neue" w:eastAsia="helvetica neue" w:hAnsi="helvetica neue" w:cs="helvetica neue"/>
                <w:color w:val="000000"/>
                <w:sz w:val="17"/>
              </w:rPr>
              <w:t>Audit trail fragmentation; Travel Rule gaps in multi-chain flows</w:t>
            </w:r>
          </w:p>
        </w:tc>
      </w:tr>
      <w:tr w:rsidR="00C30896" w14:paraId="09331A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F15209" w14:textId="77777777" w:rsidR="00C30896" w:rsidRDefault="00000000">
            <w:pPr>
              <w:spacing w:line="360" w:lineRule="auto"/>
            </w:pPr>
            <w:proofErr w:type="spellStart"/>
            <w:r>
              <w:rPr>
                <w:rFonts w:eastAsia="Georgia" w:hAnsi="Georgia" w:cs="Georgia"/>
                <w:b/>
                <w:color w:val="000000"/>
                <w:sz w:val="17"/>
              </w:rPr>
              <w:t>Unhosted</w:t>
            </w:r>
            <w:proofErr w:type="spellEnd"/>
            <w:r>
              <w:rPr>
                <w:rFonts w:eastAsia="Georgia" w:hAnsi="Georgia" w:cs="Georgia"/>
                <w:b/>
                <w:color w:val="000000"/>
                <w:sz w:val="17"/>
              </w:rPr>
              <w:t xml:space="preserve"> Wallet Opacity</w:t>
            </w:r>
          </w:p>
        </w:tc>
        <w:tc>
          <w:tcPr>
            <w:tcW w:w="0" w:type="auto"/>
            <w:tcBorders>
              <w:top w:val="single" w:sz="1" w:space="0" w:color="000000"/>
              <w:bottom w:val="single" w:sz="1" w:space="0" w:color="000000"/>
              <w:right w:val="single" w:sz="1" w:space="0" w:color="000000"/>
            </w:tcBorders>
          </w:tcPr>
          <w:p w14:paraId="78E4F756" w14:textId="77777777" w:rsidR="00C30896" w:rsidRDefault="00000000">
            <w:pPr>
              <w:spacing w:line="360" w:lineRule="auto"/>
            </w:pPr>
            <w:r>
              <w:rPr>
                <w:rFonts w:ascii="helvetica neue" w:eastAsia="helvetica neue" w:hAnsi="helvetica neue" w:cs="helvetica neue"/>
                <w:color w:val="000000"/>
                <w:sz w:val="17"/>
              </w:rPr>
              <w:t>Self-custodied wallets provide no built-in KYC; enhanced monitoring is required</w:t>
            </w:r>
          </w:p>
        </w:tc>
        <w:tc>
          <w:tcPr>
            <w:tcW w:w="0" w:type="auto"/>
            <w:tcBorders>
              <w:top w:val="single" w:sz="1" w:space="0" w:color="000000"/>
              <w:bottom w:val="single" w:sz="1" w:space="0" w:color="000000"/>
            </w:tcBorders>
          </w:tcPr>
          <w:p w14:paraId="02F196CE" w14:textId="54E4B94A" w:rsidR="00C30896" w:rsidRDefault="00000000">
            <w:pPr>
              <w:spacing w:line="360" w:lineRule="auto"/>
            </w:pPr>
            <w:r>
              <w:rPr>
                <w:rFonts w:ascii="helvetica neue" w:eastAsia="helvetica neue" w:hAnsi="helvetica neue" w:cs="helvetica neue"/>
                <w:color w:val="000000"/>
                <w:sz w:val="17"/>
              </w:rPr>
              <w:t>Higher manual review burden; risk of sanctions evasion via private wallets</w:t>
            </w:r>
          </w:p>
        </w:tc>
      </w:tr>
      <w:tr w:rsidR="00C30896" w14:paraId="096DBA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86CD69" w14:textId="77777777" w:rsidR="00C30896" w:rsidRDefault="00000000">
            <w:pPr>
              <w:spacing w:line="360" w:lineRule="auto"/>
            </w:pPr>
            <w:r>
              <w:rPr>
                <w:rFonts w:eastAsia="Georgia" w:hAnsi="Georgia" w:cs="Georgia"/>
                <w:b/>
                <w:color w:val="000000"/>
                <w:sz w:val="17"/>
              </w:rPr>
              <w:t>Ecosystem Monitoring Scope</w:t>
            </w:r>
          </w:p>
        </w:tc>
        <w:tc>
          <w:tcPr>
            <w:tcW w:w="0" w:type="auto"/>
            <w:tcBorders>
              <w:top w:val="single" w:sz="1" w:space="0" w:color="000000"/>
              <w:bottom w:val="single" w:sz="1" w:space="0" w:color="000000"/>
              <w:right w:val="single" w:sz="1" w:space="0" w:color="000000"/>
            </w:tcBorders>
          </w:tcPr>
          <w:p w14:paraId="3682F008" w14:textId="77777777" w:rsidR="00C30896" w:rsidRDefault="00000000">
            <w:pPr>
              <w:spacing w:line="360" w:lineRule="auto"/>
            </w:pPr>
            <w:r>
              <w:rPr>
                <w:rFonts w:ascii="helvetica neue" w:eastAsia="helvetica neue" w:hAnsi="helvetica neue" w:cs="helvetica neue"/>
                <w:color w:val="000000"/>
                <w:sz w:val="17"/>
              </w:rPr>
              <w:t>Issuers must monitor tokens beyond their direct customers</w:t>
            </w:r>
          </w:p>
        </w:tc>
        <w:tc>
          <w:tcPr>
            <w:tcW w:w="0" w:type="auto"/>
            <w:tcBorders>
              <w:top w:val="single" w:sz="1" w:space="0" w:color="000000"/>
              <w:bottom w:val="single" w:sz="1" w:space="0" w:color="000000"/>
            </w:tcBorders>
          </w:tcPr>
          <w:p w14:paraId="583F24A5" w14:textId="3E3649F7" w:rsidR="00C30896" w:rsidRDefault="00000000">
            <w:pPr>
              <w:spacing w:line="360" w:lineRule="auto"/>
            </w:pPr>
            <w:r>
              <w:rPr>
                <w:rFonts w:ascii="helvetica neue" w:eastAsia="helvetica neue" w:hAnsi="helvetica neue" w:cs="helvetica neue"/>
                <w:color w:val="000000"/>
                <w:sz w:val="17"/>
              </w:rPr>
              <w:t>Requires blockchain analytics beyond internal transaction data</w:t>
            </w:r>
          </w:p>
        </w:tc>
      </w:tr>
      <w:tr w:rsidR="00C30896" w14:paraId="14AFC1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9ED4BD" w14:textId="77777777" w:rsidR="00C30896" w:rsidRDefault="00000000">
            <w:pPr>
              <w:spacing w:line="360" w:lineRule="auto"/>
            </w:pPr>
            <w:r>
              <w:rPr>
                <w:rFonts w:eastAsia="Georgia" w:hAnsi="Georgia" w:cs="Georgia"/>
                <w:b/>
                <w:color w:val="000000"/>
                <w:sz w:val="17"/>
              </w:rPr>
              <w:t>High False Positive Rate</w:t>
            </w:r>
          </w:p>
        </w:tc>
        <w:tc>
          <w:tcPr>
            <w:tcW w:w="0" w:type="auto"/>
            <w:tcBorders>
              <w:top w:val="single" w:sz="1" w:space="0" w:color="000000"/>
              <w:bottom w:val="single" w:sz="1" w:space="0" w:color="000000"/>
              <w:right w:val="single" w:sz="1" w:space="0" w:color="000000"/>
            </w:tcBorders>
          </w:tcPr>
          <w:p w14:paraId="55542D5A" w14:textId="77777777" w:rsidR="00C30896" w:rsidRDefault="00000000">
            <w:pPr>
              <w:spacing w:line="360" w:lineRule="auto"/>
            </w:pPr>
            <w:r>
              <w:rPr>
                <w:rFonts w:ascii="helvetica neue" w:eastAsia="helvetica neue" w:hAnsi="helvetica neue" w:cs="helvetica neue"/>
                <w:color w:val="000000"/>
                <w:sz w:val="17"/>
              </w:rPr>
              <w:t>Traditional rule-based systems flag 90–95% of alerts as non-suspicious</w:t>
            </w:r>
          </w:p>
        </w:tc>
        <w:tc>
          <w:tcPr>
            <w:tcW w:w="0" w:type="auto"/>
            <w:tcBorders>
              <w:top w:val="single" w:sz="1" w:space="0" w:color="000000"/>
              <w:bottom w:val="single" w:sz="1" w:space="0" w:color="000000"/>
            </w:tcBorders>
          </w:tcPr>
          <w:p w14:paraId="195CB59B" w14:textId="677F867E" w:rsidR="00C30896" w:rsidRDefault="00000000">
            <w:pPr>
              <w:spacing w:line="360" w:lineRule="auto"/>
            </w:pPr>
            <w:r>
              <w:rPr>
                <w:rFonts w:ascii="helvetica neue" w:eastAsia="helvetica neue" w:hAnsi="helvetica neue" w:cs="helvetica neue"/>
                <w:color w:val="000000"/>
                <w:sz w:val="17"/>
              </w:rPr>
              <w:t>Compliance team burnout; genuine risks buried in noise</w:t>
            </w:r>
          </w:p>
        </w:tc>
      </w:tr>
      <w:tr w:rsidR="00C30896" w14:paraId="698C3E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B10596" w14:textId="77777777" w:rsidR="00C30896" w:rsidRDefault="00000000">
            <w:pPr>
              <w:spacing w:line="360" w:lineRule="auto"/>
            </w:pPr>
            <w:r>
              <w:rPr>
                <w:rFonts w:eastAsia="Georgia" w:hAnsi="Georgia" w:cs="Georgia"/>
                <w:b/>
                <w:color w:val="000000"/>
                <w:sz w:val="17"/>
              </w:rPr>
              <w:t>Legacy System Auditability</w:t>
            </w:r>
          </w:p>
        </w:tc>
        <w:tc>
          <w:tcPr>
            <w:tcW w:w="0" w:type="auto"/>
            <w:tcBorders>
              <w:top w:val="single" w:sz="1" w:space="0" w:color="000000"/>
              <w:bottom w:val="single" w:sz="1" w:space="0" w:color="000000"/>
              <w:right w:val="single" w:sz="1" w:space="0" w:color="000000"/>
            </w:tcBorders>
          </w:tcPr>
          <w:p w14:paraId="633011B3" w14:textId="77777777" w:rsidR="00C30896" w:rsidRDefault="00000000">
            <w:pPr>
              <w:spacing w:line="360" w:lineRule="auto"/>
            </w:pPr>
            <w:r>
              <w:rPr>
                <w:rFonts w:ascii="helvetica neue" w:eastAsia="helvetica neue" w:hAnsi="helvetica neue" w:cs="helvetica neue"/>
                <w:color w:val="000000"/>
                <w:sz w:val="17"/>
              </w:rPr>
              <w:t>Older solutions lack version-controlled configuration changes, explainability logs</w:t>
            </w:r>
          </w:p>
        </w:tc>
        <w:tc>
          <w:tcPr>
            <w:tcW w:w="0" w:type="auto"/>
            <w:tcBorders>
              <w:top w:val="single" w:sz="1" w:space="0" w:color="000000"/>
              <w:bottom w:val="single" w:sz="1" w:space="0" w:color="000000"/>
            </w:tcBorders>
          </w:tcPr>
          <w:p w14:paraId="4623E16F" w14:textId="2B30C9A4" w:rsidR="00C30896" w:rsidRDefault="00000000">
            <w:pPr>
              <w:spacing w:line="360" w:lineRule="auto"/>
            </w:pPr>
            <w:r>
              <w:rPr>
                <w:rFonts w:ascii="helvetica neue" w:eastAsia="helvetica neue" w:hAnsi="helvetica neue" w:cs="helvetica neue"/>
                <w:color w:val="000000"/>
                <w:sz w:val="17"/>
              </w:rPr>
              <w:t>Regulatory examination failures; inability to demonstrate model governance</w:t>
            </w:r>
          </w:p>
        </w:tc>
      </w:tr>
      <w:tr w:rsidR="00C30896" w14:paraId="23C815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3D4923" w14:textId="77777777" w:rsidR="00C30896" w:rsidRDefault="00000000">
            <w:pPr>
              <w:spacing w:line="360" w:lineRule="auto"/>
            </w:pPr>
            <w:r>
              <w:rPr>
                <w:rFonts w:eastAsia="Georgia" w:hAnsi="Georgia" w:cs="Georgia"/>
                <w:b/>
                <w:color w:val="000000"/>
                <w:sz w:val="17"/>
              </w:rPr>
              <w:t>Cross-Rail Layering</w:t>
            </w:r>
          </w:p>
        </w:tc>
        <w:tc>
          <w:tcPr>
            <w:tcW w:w="0" w:type="auto"/>
            <w:tcBorders>
              <w:top w:val="single" w:sz="1" w:space="0" w:color="000000"/>
              <w:bottom w:val="single" w:sz="1" w:space="0" w:color="000000"/>
              <w:right w:val="single" w:sz="1" w:space="0" w:color="000000"/>
            </w:tcBorders>
          </w:tcPr>
          <w:p w14:paraId="7E2B9169" w14:textId="77777777" w:rsidR="00C30896" w:rsidRDefault="00000000">
            <w:pPr>
              <w:spacing w:line="360" w:lineRule="auto"/>
            </w:pPr>
            <w:r>
              <w:rPr>
                <w:rFonts w:ascii="helvetica neue" w:eastAsia="helvetica neue" w:hAnsi="helvetica neue" w:cs="helvetica neue"/>
                <w:color w:val="000000"/>
                <w:sz w:val="17"/>
              </w:rPr>
              <w:t>Illicit funds converted to stablecoin, then redeemed as fiat in different accounts</w:t>
            </w:r>
          </w:p>
        </w:tc>
        <w:tc>
          <w:tcPr>
            <w:tcW w:w="0" w:type="auto"/>
            <w:tcBorders>
              <w:top w:val="single" w:sz="1" w:space="0" w:color="000000"/>
              <w:bottom w:val="single" w:sz="1" w:space="0" w:color="000000"/>
            </w:tcBorders>
          </w:tcPr>
          <w:p w14:paraId="68767735" w14:textId="6A29B1AE" w:rsidR="00C30896" w:rsidRDefault="00000000">
            <w:pPr>
              <w:spacing w:line="360" w:lineRule="auto"/>
            </w:pPr>
            <w:r>
              <w:rPr>
                <w:rFonts w:ascii="helvetica neue" w:eastAsia="helvetica neue" w:hAnsi="helvetica neue" w:cs="helvetica neue"/>
                <w:color w:val="000000"/>
                <w:sz w:val="17"/>
              </w:rPr>
              <w:t>Undetectable without unified, cross-rail transaction history</w:t>
            </w:r>
          </w:p>
        </w:tc>
      </w:tr>
    </w:tbl>
    <w:p w14:paraId="4DDD7E86" w14:textId="77777777" w:rsidR="00C30896" w:rsidRDefault="00C30896"/>
    <w:p w14:paraId="454BC7DA" w14:textId="77777777" w:rsidR="00C30896" w:rsidRDefault="00000000">
      <w:pPr>
        <w:spacing w:before="315" w:after="105" w:line="360" w:lineRule="auto"/>
        <w:ind w:left="-30"/>
      </w:pPr>
      <w:bookmarkStart w:id="13" w:name="bm_2_3_strategic_business_risks_o_4e9169"/>
      <w:r>
        <w:rPr>
          <w:rFonts w:eastAsia="Georgia" w:hAnsi="Georgia" w:cs="Georgia"/>
          <w:b/>
          <w:color w:val="000000"/>
          <w:sz w:val="24"/>
        </w:rPr>
        <w:t>2.3 Strategic Business Risks of Inaction</w:t>
      </w:r>
      <w:bookmarkEnd w:id="13"/>
    </w:p>
    <w:p w14:paraId="073EC2A0" w14:textId="77777777" w:rsidR="00C30896" w:rsidRDefault="00000000">
      <w:pPr>
        <w:spacing w:after="210" w:line="360" w:lineRule="auto"/>
      </w:pPr>
      <w:r>
        <w:rPr>
          <w:rFonts w:eastAsia="Georgia" w:hAnsi="Georgia" w:cs="Georgia"/>
          <w:color w:val="000000"/>
        </w:rPr>
        <w:t xml:space="preserve">Failure to address these challenges </w:t>
      </w:r>
      <w:proofErr w:type="gramStart"/>
      <w:r>
        <w:rPr>
          <w:rFonts w:eastAsia="Georgia" w:hAnsi="Georgia" w:cs="Georgia"/>
          <w:color w:val="000000"/>
        </w:rPr>
        <w:t>carries</w:t>
      </w:r>
      <w:proofErr w:type="gramEnd"/>
      <w:r>
        <w:rPr>
          <w:rFonts w:eastAsia="Georgia" w:hAnsi="Georgia" w:cs="Georgia"/>
          <w:color w:val="000000"/>
        </w:rPr>
        <w:t xml:space="preserve"> compounding consequences:</w:t>
      </w:r>
    </w:p>
    <w:p w14:paraId="0DBD3218" w14:textId="77777777" w:rsidR="00C30896" w:rsidRDefault="00000000">
      <w:pPr>
        <w:numPr>
          <w:ilvl w:val="0"/>
          <w:numId w:val="6"/>
        </w:numPr>
        <w:spacing w:before="105" w:after="105" w:line="360" w:lineRule="auto"/>
      </w:pPr>
      <w:r>
        <w:rPr>
          <w:rFonts w:eastAsia="Georgia" w:hAnsi="Georgia" w:cs="Georgia"/>
          <w:b/>
          <w:color w:val="000000"/>
        </w:rPr>
        <w:t>Regulatory enforcement risk</w:t>
      </w:r>
      <w:r>
        <w:rPr>
          <w:rFonts w:eastAsia="Georgia" w:hAnsi="Georgia" w:cs="Georgia"/>
          <w:color w:val="000000"/>
        </w:rPr>
        <w:t xml:space="preserve">: Regulators in HK, EU, and US have </w:t>
      </w:r>
      <w:proofErr w:type="spellStart"/>
      <w:r>
        <w:rPr>
          <w:rFonts w:eastAsia="Georgia" w:hAnsi="Georgia" w:cs="Georgia"/>
          <w:color w:val="000000"/>
        </w:rPr>
        <w:t>signalled</w:t>
      </w:r>
      <w:proofErr w:type="spellEnd"/>
      <w:r>
        <w:rPr>
          <w:rFonts w:eastAsia="Georgia" w:hAnsi="Georgia" w:cs="Georgia"/>
          <w:color w:val="000000"/>
        </w:rPr>
        <w:t xml:space="preserve"> zero tolerance for gaps in AML controls. Enforcement actions carry monetary penalties and, increasingly, operating </w:t>
      </w:r>
      <w:proofErr w:type="spellStart"/>
      <w:r>
        <w:rPr>
          <w:rFonts w:eastAsia="Georgia" w:hAnsi="Georgia" w:cs="Georgia"/>
          <w:color w:val="000000"/>
        </w:rPr>
        <w:t>licence</w:t>
      </w:r>
      <w:proofErr w:type="spellEnd"/>
      <w:r>
        <w:rPr>
          <w:rFonts w:eastAsia="Georgia" w:hAnsi="Georgia" w:cs="Georgia"/>
          <w:color w:val="000000"/>
        </w:rPr>
        <w:t xml:space="preserve"> revocations.</w:t>
      </w:r>
    </w:p>
    <w:p w14:paraId="2E377E83" w14:textId="77777777" w:rsidR="00C30896" w:rsidRDefault="00000000">
      <w:pPr>
        <w:numPr>
          <w:ilvl w:val="0"/>
          <w:numId w:val="6"/>
        </w:numPr>
        <w:spacing w:before="105" w:after="105" w:line="360" w:lineRule="auto"/>
      </w:pPr>
      <w:r>
        <w:rPr>
          <w:rFonts w:eastAsia="Georgia" w:hAnsi="Georgia" w:cs="Georgia"/>
          <w:b/>
          <w:color w:val="000000"/>
        </w:rPr>
        <w:t>Reputational risk</w:t>
      </w:r>
      <w:r>
        <w:rPr>
          <w:rFonts w:eastAsia="Georgia" w:hAnsi="Georgia" w:cs="Georgia"/>
          <w:color w:val="000000"/>
        </w:rPr>
        <w:t>: Public regulatory actions erode customer trust and institutional partnerships.</w:t>
      </w:r>
    </w:p>
    <w:p w14:paraId="21FD3F7C" w14:textId="0AD8521A" w:rsidR="00C30896" w:rsidRDefault="00000000">
      <w:pPr>
        <w:numPr>
          <w:ilvl w:val="0"/>
          <w:numId w:val="6"/>
        </w:numPr>
        <w:spacing w:before="105" w:after="105" w:line="360" w:lineRule="auto"/>
      </w:pPr>
      <w:r>
        <w:rPr>
          <w:rFonts w:eastAsia="Georgia" w:hAnsi="Georgia" w:cs="Georgia"/>
          <w:b/>
          <w:color w:val="000000"/>
        </w:rPr>
        <w:t>Revenue opportunity cost</w:t>
      </w:r>
      <w:r>
        <w:rPr>
          <w:rFonts w:eastAsia="Georgia" w:hAnsi="Georgia" w:cs="Georgia"/>
          <w:color w:val="000000"/>
        </w:rPr>
        <w:t xml:space="preserve">: 52% of corporate/financial services executives cite lower transaction costs as the top reason for adopting stablecoins; 48% cite faster settlements. Institutions that cannot compliantly support </w:t>
      </w:r>
      <w:proofErr w:type="gramStart"/>
      <w:r>
        <w:rPr>
          <w:rFonts w:eastAsia="Georgia" w:hAnsi="Georgia" w:cs="Georgia"/>
          <w:color w:val="000000"/>
        </w:rPr>
        <w:t>stablecoins</w:t>
      </w:r>
      <w:proofErr w:type="gramEnd"/>
      <w:r>
        <w:rPr>
          <w:rFonts w:eastAsia="Georgia" w:hAnsi="Georgia" w:cs="Georgia"/>
          <w:color w:val="000000"/>
        </w:rPr>
        <w:t xml:space="preserve"> will cede this market to competitors.</w:t>
      </w:r>
    </w:p>
    <w:p w14:paraId="0B792E00" w14:textId="77777777" w:rsidR="00C30896" w:rsidRDefault="00000000">
      <w:pPr>
        <w:numPr>
          <w:ilvl w:val="0"/>
          <w:numId w:val="6"/>
        </w:numPr>
        <w:spacing w:before="105" w:after="105" w:line="360" w:lineRule="auto"/>
      </w:pPr>
      <w:r>
        <w:rPr>
          <w:rFonts w:eastAsia="Georgia" w:hAnsi="Georgia" w:cs="Georgia"/>
          <w:b/>
          <w:color w:val="000000"/>
        </w:rPr>
        <w:lastRenderedPageBreak/>
        <w:t>Operational inefficiency</w:t>
      </w:r>
      <w:r>
        <w:rPr>
          <w:rFonts w:eastAsia="Georgia" w:hAnsi="Georgia" w:cs="Georgia"/>
          <w:color w:val="000000"/>
        </w:rPr>
        <w:t>: Maintaining two parallel compliance teams, toolsets, and vendor contracts is materially more expensive than a unified approach.</w:t>
      </w:r>
    </w:p>
    <w:p w14:paraId="1B274D7B" w14:textId="47B0A118" w:rsidR="00C30896" w:rsidRDefault="00000000" w:rsidP="006F7CDE">
      <w:pPr>
        <w:numPr>
          <w:ilvl w:val="0"/>
          <w:numId w:val="6"/>
        </w:numPr>
        <w:spacing w:before="105" w:after="105" w:line="360" w:lineRule="auto"/>
      </w:pPr>
      <w:r>
        <w:rPr>
          <w:rFonts w:eastAsia="Georgia" w:hAnsi="Georgia" w:cs="Georgia"/>
          <w:b/>
          <w:color w:val="000000"/>
        </w:rPr>
        <w:t>Criminal exploitation</w:t>
      </w:r>
      <w:r>
        <w:rPr>
          <w:rFonts w:eastAsia="Georgia" w:hAnsi="Georgia" w:cs="Georgia"/>
          <w:color w:val="000000"/>
        </w:rPr>
        <w:t>: Sophisticated actors actively exploit the gap between fiat and crypto monitoring systems. Without unified oversight, institutions become inadvertent conduits.</w:t>
      </w:r>
    </w:p>
    <w:p w14:paraId="4DD41BE8" w14:textId="77777777" w:rsidR="00C30896" w:rsidRDefault="00000000">
      <w:pPr>
        <w:spacing w:before="315" w:after="105" w:line="360" w:lineRule="auto"/>
        <w:ind w:left="-30"/>
      </w:pPr>
      <w:bookmarkStart w:id="14" w:name="bm_3_proposed_solution_project_ov_145884"/>
      <w:r>
        <w:rPr>
          <w:rFonts w:eastAsia="Georgia" w:hAnsi="Georgia" w:cs="Georgia"/>
          <w:b/>
          <w:color w:val="000000"/>
          <w:sz w:val="24"/>
        </w:rPr>
        <w:t>3. Proposed Solution: Project Overwatch — Unified Transaction Monitoring Platform</w:t>
      </w:r>
      <w:bookmarkEnd w:id="14"/>
    </w:p>
    <w:p w14:paraId="5D3F8446" w14:textId="77777777" w:rsidR="00C30896" w:rsidRDefault="00000000">
      <w:pPr>
        <w:spacing w:after="210" w:line="360" w:lineRule="auto"/>
      </w:pPr>
      <w:r>
        <w:rPr>
          <w:rFonts w:eastAsia="Georgia" w:hAnsi="Georgia" w:cs="Georgia"/>
          <w:color w:val="000000"/>
        </w:rPr>
        <w:t xml:space="preserve">Project Overwatch proposes a </w:t>
      </w:r>
      <w:r>
        <w:rPr>
          <w:rFonts w:eastAsia="Georgia" w:hAnsi="Georgia" w:cs="Georgia"/>
          <w:b/>
          <w:color w:val="000000"/>
        </w:rPr>
        <w:t>purpose-built, unified compliance platform</w:t>
      </w:r>
      <w:r>
        <w:rPr>
          <w:rFonts w:eastAsia="Georgia" w:hAnsi="Georgia" w:cs="Georgia"/>
          <w:color w:val="000000"/>
        </w:rPr>
        <w:t xml:space="preserve"> that applies consistent AML, CTF, fraud detection, sanctions screening, and regulatory reporting controls across both fiat and regulated stablecoin payment rails — eliminating the seams that financial crime currently exploits.</w:t>
      </w:r>
    </w:p>
    <w:p w14:paraId="68C247F8" w14:textId="6709BE51" w:rsidR="00C30896" w:rsidRDefault="00000000">
      <w:pPr>
        <w:spacing w:after="210" w:line="360" w:lineRule="auto"/>
      </w:pPr>
      <w:r>
        <w:rPr>
          <w:rFonts w:eastAsia="Georgia" w:hAnsi="Georgia" w:cs="Georgia"/>
          <w:color w:val="000000"/>
        </w:rPr>
        <w:t xml:space="preserve">The core design principle is </w:t>
      </w:r>
      <w:r>
        <w:rPr>
          <w:rFonts w:eastAsia="Georgia" w:hAnsi="Georgia" w:cs="Georgia"/>
          <w:b/>
          <w:color w:val="000000"/>
        </w:rPr>
        <w:t>rail abstraction</w:t>
      </w:r>
      <w:r>
        <w:rPr>
          <w:rFonts w:eastAsia="Georgia" w:hAnsi="Georgia" w:cs="Georgia"/>
          <w:color w:val="000000"/>
        </w:rPr>
        <w:t xml:space="preserve">: the compliance engine treats a $10,000 SWIFT wire, a $10,000 ACH transfer, and a 10,000 USDC on-chain transfer with identical analytical </w:t>
      </w:r>
      <w:proofErr w:type="spellStart"/>
      <w:r>
        <w:rPr>
          <w:rFonts w:eastAsia="Georgia" w:hAnsi="Georgia" w:cs="Georgia"/>
          <w:color w:val="000000"/>
        </w:rPr>
        <w:t>rigour</w:t>
      </w:r>
      <w:proofErr w:type="spellEnd"/>
      <w:r>
        <w:rPr>
          <w:rFonts w:eastAsia="Georgia" w:hAnsi="Georgia" w:cs="Georgia"/>
          <w:color w:val="000000"/>
        </w:rPr>
        <w:t xml:space="preserve"> under a unified risk model, while preserving rail-specific contextual data necessary for regulatory reporting.</w:t>
      </w:r>
    </w:p>
    <w:p w14:paraId="004FED6F" w14:textId="77777777" w:rsidR="00C30896" w:rsidRDefault="00000000">
      <w:pPr>
        <w:spacing w:before="315" w:after="105" w:line="360" w:lineRule="auto"/>
        <w:ind w:left="-30"/>
      </w:pPr>
      <w:bookmarkStart w:id="15" w:name="bm_3_1_business_case"/>
      <w:r>
        <w:rPr>
          <w:rFonts w:eastAsia="Georgia" w:hAnsi="Georgia" w:cs="Georgia"/>
          <w:b/>
          <w:color w:val="000000"/>
          <w:sz w:val="24"/>
        </w:rPr>
        <w:t>3.1 Business Case</w:t>
      </w:r>
      <w:bookmarkEnd w:id="15"/>
    </w:p>
    <w:p w14:paraId="155463DD" w14:textId="77777777" w:rsidR="00C30896" w:rsidRDefault="00000000">
      <w:pPr>
        <w:spacing w:before="315" w:after="105" w:line="360" w:lineRule="auto"/>
        <w:ind w:left="-30"/>
      </w:pPr>
      <w:bookmarkStart w:id="16" w:name="bm_3_1_1_strategic_rationale"/>
      <w:r>
        <w:rPr>
          <w:rFonts w:eastAsia="Georgia" w:hAnsi="Georgia" w:cs="Georgia"/>
          <w:b/>
          <w:color w:val="000000"/>
          <w:sz w:val="24"/>
        </w:rPr>
        <w:t>3.1.1 Strategic Rationale</w:t>
      </w:r>
      <w:bookmarkEnd w:id="16"/>
    </w:p>
    <w:p w14:paraId="6187D307" w14:textId="77777777" w:rsidR="00C30896" w:rsidRDefault="00000000">
      <w:pPr>
        <w:spacing w:after="210" w:line="360" w:lineRule="auto"/>
      </w:pPr>
      <w:r>
        <w:rPr>
          <w:rFonts w:eastAsia="Georgia" w:hAnsi="Georgia" w:cs="Georgia"/>
          <w:color w:val="000000"/>
        </w:rPr>
        <w:t>Project Overwatch positions the institution as:</w:t>
      </w:r>
    </w:p>
    <w:p w14:paraId="32B78F2A" w14:textId="77777777" w:rsidR="00C30896" w:rsidRDefault="00000000">
      <w:pPr>
        <w:numPr>
          <w:ilvl w:val="0"/>
          <w:numId w:val="7"/>
        </w:numPr>
        <w:spacing w:before="105" w:after="105" w:line="360" w:lineRule="auto"/>
      </w:pPr>
      <w:r>
        <w:rPr>
          <w:rFonts w:eastAsia="Georgia" w:hAnsi="Georgia" w:cs="Georgia"/>
          <w:b/>
          <w:color w:val="000000"/>
        </w:rPr>
        <w:t>Regulatory-ready</w:t>
      </w:r>
      <w:r>
        <w:rPr>
          <w:rFonts w:eastAsia="Georgia" w:hAnsi="Georgia" w:cs="Georgia"/>
          <w:color w:val="000000"/>
        </w:rPr>
        <w:t>: Pre-</w:t>
      </w:r>
      <w:proofErr w:type="gramStart"/>
      <w:r>
        <w:rPr>
          <w:rFonts w:eastAsia="Georgia" w:hAnsi="Georgia" w:cs="Georgia"/>
          <w:color w:val="000000"/>
        </w:rPr>
        <w:t>compliant</w:t>
      </w:r>
      <w:proofErr w:type="gramEnd"/>
      <w:r>
        <w:rPr>
          <w:rFonts w:eastAsia="Georgia" w:hAnsi="Georgia" w:cs="Georgia"/>
          <w:color w:val="000000"/>
        </w:rPr>
        <w:t xml:space="preserve"> with HKMA Stablecoins Ordinance, </w:t>
      </w:r>
      <w:proofErr w:type="spellStart"/>
      <w:r>
        <w:rPr>
          <w:rFonts w:eastAsia="Georgia" w:hAnsi="Georgia" w:cs="Georgia"/>
          <w:color w:val="000000"/>
        </w:rPr>
        <w:t>MiCA</w:t>
      </w:r>
      <w:proofErr w:type="spellEnd"/>
      <w:r>
        <w:rPr>
          <w:rFonts w:eastAsia="Georgia" w:hAnsi="Georgia" w:cs="Georgia"/>
          <w:color w:val="000000"/>
        </w:rPr>
        <w:t>, GENIUS Act, and FATF Recommendations 15 and 16, reducing the risk of enforcement actions</w:t>
      </w:r>
    </w:p>
    <w:p w14:paraId="46FBFF38" w14:textId="77777777" w:rsidR="00C30896" w:rsidRDefault="00000000">
      <w:pPr>
        <w:numPr>
          <w:ilvl w:val="0"/>
          <w:numId w:val="7"/>
        </w:numPr>
        <w:spacing w:before="105" w:after="105" w:line="360" w:lineRule="auto"/>
      </w:pPr>
      <w:r>
        <w:rPr>
          <w:rFonts w:eastAsia="Georgia" w:hAnsi="Georgia" w:cs="Georgia"/>
          <w:b/>
          <w:color w:val="000000"/>
        </w:rPr>
        <w:t>Market-competitive</w:t>
      </w:r>
      <w:r>
        <w:rPr>
          <w:rFonts w:eastAsia="Georgia" w:hAnsi="Georgia" w:cs="Georgia"/>
          <w:color w:val="000000"/>
        </w:rPr>
        <w:t>: Capable of onboarding regulated stablecoin clients and supporting hybrid fiat-stablecoin payment flows that represent the industry's fastest-growing segment</w:t>
      </w:r>
    </w:p>
    <w:p w14:paraId="4C7AF3B1" w14:textId="77777777" w:rsidR="00C30896" w:rsidRDefault="00000000">
      <w:pPr>
        <w:numPr>
          <w:ilvl w:val="0"/>
          <w:numId w:val="7"/>
        </w:numPr>
        <w:spacing w:before="105" w:after="105" w:line="360" w:lineRule="auto"/>
      </w:pPr>
      <w:r>
        <w:rPr>
          <w:rFonts w:eastAsia="Georgia" w:hAnsi="Georgia" w:cs="Georgia"/>
          <w:b/>
          <w:color w:val="000000"/>
        </w:rPr>
        <w:t>Operationally efficient</w:t>
      </w:r>
      <w:r>
        <w:rPr>
          <w:rFonts w:eastAsia="Georgia" w:hAnsi="Georgia" w:cs="Georgia"/>
          <w:color w:val="000000"/>
        </w:rPr>
        <w:t>: Single system, single team, single vendor relationship for end-to-end transaction monitoring across all rails</w:t>
      </w:r>
    </w:p>
    <w:p w14:paraId="23E399CE" w14:textId="77777777" w:rsidR="00C30896" w:rsidRDefault="00000000">
      <w:pPr>
        <w:numPr>
          <w:ilvl w:val="0"/>
          <w:numId w:val="7"/>
        </w:numPr>
        <w:spacing w:before="105" w:after="105" w:line="360" w:lineRule="auto"/>
      </w:pPr>
      <w:r>
        <w:rPr>
          <w:rFonts w:eastAsia="Georgia" w:hAnsi="Georgia" w:cs="Georgia"/>
          <w:b/>
          <w:color w:val="000000"/>
        </w:rPr>
        <w:t>Intelligence-superior</w:t>
      </w:r>
      <w:r>
        <w:rPr>
          <w:rFonts w:eastAsia="Georgia" w:hAnsi="Georgia" w:cs="Georgia"/>
          <w:color w:val="000000"/>
        </w:rPr>
        <w:t>: Cross-rail customer intelligence that identifies complex laundering patterns invisible to siloed systems</w:t>
      </w:r>
    </w:p>
    <w:p w14:paraId="6D9038C4" w14:textId="77777777" w:rsidR="00C30896" w:rsidRDefault="00000000">
      <w:pPr>
        <w:spacing w:before="315" w:after="105" w:line="360" w:lineRule="auto"/>
        <w:ind w:left="-30"/>
      </w:pPr>
      <w:bookmarkStart w:id="17" w:name="bm_3_1_2_quantified_benefits"/>
      <w:r>
        <w:rPr>
          <w:rFonts w:eastAsia="Georgia" w:hAnsi="Georgia" w:cs="Georgia"/>
          <w:b/>
          <w:color w:val="000000"/>
          <w:sz w:val="24"/>
        </w:rPr>
        <w:t>3.1.2 Quantified Benefits</w:t>
      </w:r>
      <w:bookmarkEnd w:id="17"/>
    </w:p>
    <w:p w14:paraId="50DEBB9A" w14:textId="6D0145B4" w:rsidR="00C30896" w:rsidRDefault="00000000">
      <w:pPr>
        <w:numPr>
          <w:ilvl w:val="0"/>
          <w:numId w:val="8"/>
        </w:numPr>
        <w:spacing w:before="105" w:after="105" w:line="360" w:lineRule="auto"/>
      </w:pPr>
      <w:r>
        <w:rPr>
          <w:rFonts w:eastAsia="Georgia" w:hAnsi="Georgia" w:cs="Georgia"/>
          <w:b/>
          <w:color w:val="000000"/>
        </w:rPr>
        <w:t>False positive reduction</w:t>
      </w:r>
      <w:r>
        <w:rPr>
          <w:rFonts w:eastAsia="Georgia" w:hAnsi="Georgia" w:cs="Georgia"/>
          <w:color w:val="000000"/>
        </w:rPr>
        <w:t xml:space="preserve">: AI-powered unified monitoring can reduce false positive alert rates by </w:t>
      </w:r>
      <w:r>
        <w:rPr>
          <w:rFonts w:eastAsia="Georgia" w:hAnsi="Georgia" w:cs="Georgia"/>
          <w:b/>
          <w:color w:val="000000"/>
        </w:rPr>
        <w:t>70–80%</w:t>
      </w:r>
      <w:r>
        <w:rPr>
          <w:rFonts w:eastAsia="Georgia" w:hAnsi="Georgia" w:cs="Georgia"/>
          <w:color w:val="000000"/>
        </w:rPr>
        <w:t xml:space="preserve"> compared to traditional rule-based systems; HSBC reduced alerts by over </w:t>
      </w:r>
      <w:r>
        <w:rPr>
          <w:rFonts w:eastAsia="Georgia" w:hAnsi="Georgia" w:cs="Georgia"/>
          <w:b/>
          <w:color w:val="000000"/>
        </w:rPr>
        <w:t>60%</w:t>
      </w:r>
      <w:r>
        <w:rPr>
          <w:rFonts w:eastAsia="Georgia" w:hAnsi="Georgia" w:cs="Georgia"/>
          <w:color w:val="000000"/>
        </w:rPr>
        <w:t xml:space="preserve"> while finding 2–4 times more confirmed suspicious activity using AI-enhanced monitoring</w:t>
      </w:r>
    </w:p>
    <w:p w14:paraId="0BCFDB4A" w14:textId="4123317F" w:rsidR="00C30896" w:rsidRDefault="00000000">
      <w:pPr>
        <w:numPr>
          <w:ilvl w:val="0"/>
          <w:numId w:val="8"/>
        </w:numPr>
        <w:spacing w:before="105" w:after="105" w:line="360" w:lineRule="auto"/>
      </w:pPr>
      <w:r>
        <w:rPr>
          <w:rFonts w:eastAsia="Georgia" w:hAnsi="Georgia" w:cs="Georgia"/>
          <w:b/>
          <w:color w:val="000000"/>
        </w:rPr>
        <w:lastRenderedPageBreak/>
        <w:t>Cost savings</w:t>
      </w:r>
      <w:r>
        <w:rPr>
          <w:rFonts w:eastAsia="Georgia" w:hAnsi="Georgia" w:cs="Georgia"/>
          <w:color w:val="000000"/>
        </w:rPr>
        <w:t xml:space="preserve">: Eliminating duplicate vendors, toolsets, and analyst workflows; unified platforms have demonstrated </w:t>
      </w:r>
      <w:r>
        <w:rPr>
          <w:rFonts w:eastAsia="Georgia" w:hAnsi="Georgia" w:cs="Georgia"/>
          <w:b/>
          <w:color w:val="000000"/>
        </w:rPr>
        <w:t>93% reductions in false positive alerts</w:t>
      </w:r>
      <w:r>
        <w:rPr>
          <w:rFonts w:eastAsia="Georgia" w:hAnsi="Georgia" w:cs="Georgia"/>
          <w:color w:val="000000"/>
        </w:rPr>
        <w:t xml:space="preserve">, </w:t>
      </w:r>
      <w:proofErr w:type="gramStart"/>
      <w:r>
        <w:rPr>
          <w:rFonts w:eastAsia="Georgia" w:hAnsi="Georgia" w:cs="Georgia"/>
          <w:color w:val="000000"/>
        </w:rPr>
        <w:t>translating to</w:t>
      </w:r>
      <w:proofErr w:type="gramEnd"/>
      <w:r>
        <w:rPr>
          <w:rFonts w:eastAsia="Georgia" w:hAnsi="Georgia" w:cs="Georgia"/>
          <w:color w:val="000000"/>
        </w:rPr>
        <w:t xml:space="preserve"> material savings in analyst time and operational costs</w:t>
      </w:r>
    </w:p>
    <w:p w14:paraId="401C5F47" w14:textId="31F12E1D" w:rsidR="00C30896" w:rsidRDefault="00000000">
      <w:pPr>
        <w:numPr>
          <w:ilvl w:val="0"/>
          <w:numId w:val="8"/>
        </w:numPr>
        <w:spacing w:before="105" w:after="105" w:line="360" w:lineRule="auto"/>
      </w:pPr>
      <w:r>
        <w:rPr>
          <w:rFonts w:eastAsia="Georgia" w:hAnsi="Georgia" w:cs="Georgia"/>
          <w:b/>
          <w:color w:val="000000"/>
        </w:rPr>
        <w:t>Revenue enablement</w:t>
      </w:r>
      <w:r>
        <w:rPr>
          <w:rFonts w:eastAsia="Georgia" w:hAnsi="Georgia" w:cs="Georgia"/>
          <w:color w:val="000000"/>
        </w:rPr>
        <w:t xml:space="preserve">: Stablecoin payment flows are projected to reach </w:t>
      </w:r>
      <w:r>
        <w:rPr>
          <w:rFonts w:eastAsia="Georgia" w:hAnsi="Georgia" w:cs="Georgia"/>
          <w:b/>
          <w:color w:val="000000"/>
        </w:rPr>
        <w:t>$56 trillion by 2030</w:t>
      </w:r>
      <w:r>
        <w:rPr>
          <w:rFonts w:eastAsia="Georgia" w:hAnsi="Georgia" w:cs="Georgia"/>
          <w:color w:val="000000"/>
        </w:rPr>
        <w:t>; institutions with compliant infrastructure can capture a disproportionate share of institutional and fintech client mandates</w:t>
      </w:r>
    </w:p>
    <w:p w14:paraId="1B8005E1" w14:textId="77777777" w:rsidR="00C30896" w:rsidRDefault="00000000">
      <w:pPr>
        <w:numPr>
          <w:ilvl w:val="0"/>
          <w:numId w:val="8"/>
        </w:numPr>
        <w:spacing w:before="105" w:after="105" w:line="360" w:lineRule="auto"/>
      </w:pPr>
      <w:r>
        <w:rPr>
          <w:rFonts w:eastAsia="Georgia" w:hAnsi="Georgia" w:cs="Georgia"/>
          <w:b/>
          <w:color w:val="000000"/>
        </w:rPr>
        <w:t>Regulatory capital efficiency</w:t>
      </w:r>
      <w:r>
        <w:rPr>
          <w:rFonts w:eastAsia="Georgia" w:hAnsi="Georgia" w:cs="Georgia"/>
          <w:color w:val="000000"/>
        </w:rPr>
        <w:t xml:space="preserve">: Demonstrably robust AML controls may support more </w:t>
      </w:r>
      <w:proofErr w:type="spellStart"/>
      <w:r>
        <w:rPr>
          <w:rFonts w:eastAsia="Georgia" w:hAnsi="Georgia" w:cs="Georgia"/>
          <w:color w:val="000000"/>
        </w:rPr>
        <w:t>favourable</w:t>
      </w:r>
      <w:proofErr w:type="spellEnd"/>
      <w:r>
        <w:rPr>
          <w:rFonts w:eastAsia="Georgia" w:hAnsi="Georgia" w:cs="Georgia"/>
          <w:color w:val="000000"/>
        </w:rPr>
        <w:t xml:space="preserve"> treatment in supervisory reviews, reducing capital buffers held against operational risk</w:t>
      </w:r>
    </w:p>
    <w:p w14:paraId="196E4F79" w14:textId="77777777" w:rsidR="00C30896" w:rsidRDefault="00000000">
      <w:pPr>
        <w:spacing w:before="315" w:after="105" w:line="360" w:lineRule="auto"/>
        <w:ind w:left="-30"/>
      </w:pPr>
      <w:bookmarkStart w:id="18" w:name="bm_3_2_compliance_regulatory_design"/>
      <w:r>
        <w:rPr>
          <w:rFonts w:eastAsia="Georgia" w:hAnsi="Georgia" w:cs="Georgia"/>
          <w:b/>
          <w:color w:val="000000"/>
          <w:sz w:val="24"/>
        </w:rPr>
        <w:t>3.2 Compliance &amp; Regulatory Design</w:t>
      </w:r>
      <w:bookmarkEnd w:id="18"/>
    </w:p>
    <w:p w14:paraId="37EB9A6B" w14:textId="77777777" w:rsidR="00C30896" w:rsidRDefault="00000000">
      <w:pPr>
        <w:spacing w:before="315" w:after="105" w:line="360" w:lineRule="auto"/>
        <w:ind w:left="-30"/>
      </w:pPr>
      <w:bookmarkStart w:id="19" w:name="bm_3_2_1_unified_customer_due_dil_fd3ec6"/>
      <w:r>
        <w:rPr>
          <w:rFonts w:eastAsia="Georgia" w:hAnsi="Georgia" w:cs="Georgia"/>
          <w:b/>
          <w:color w:val="000000"/>
          <w:sz w:val="24"/>
        </w:rPr>
        <w:t>3.2.1 Unified Customer Due Diligence (CDD) Framework</w:t>
      </w:r>
      <w:bookmarkEnd w:id="19"/>
    </w:p>
    <w:p w14:paraId="648FBCF5" w14:textId="77777777" w:rsidR="00C30896" w:rsidRDefault="00000000">
      <w:pPr>
        <w:spacing w:after="210" w:line="360" w:lineRule="auto"/>
      </w:pPr>
      <w:r>
        <w:rPr>
          <w:rFonts w:eastAsia="Georgia" w:hAnsi="Georgia" w:cs="Georgia"/>
          <w:color w:val="000000"/>
        </w:rPr>
        <w:t>Project Overwatch consolidates CDD data into a single customer risk profile that aggregates identity, KYC documentation, and transaction history across all rails. Key design elements:</w:t>
      </w:r>
    </w:p>
    <w:p w14:paraId="7950E4C8" w14:textId="77777777" w:rsidR="00C30896" w:rsidRDefault="00000000">
      <w:pPr>
        <w:numPr>
          <w:ilvl w:val="0"/>
          <w:numId w:val="9"/>
        </w:numPr>
        <w:spacing w:before="105" w:after="105" w:line="360" w:lineRule="auto"/>
      </w:pPr>
      <w:r>
        <w:rPr>
          <w:rFonts w:eastAsia="Georgia" w:hAnsi="Georgia" w:cs="Georgia"/>
          <w:b/>
          <w:color w:val="000000"/>
        </w:rPr>
        <w:t>Unified onboarding</w:t>
      </w:r>
      <w:r>
        <w:rPr>
          <w:rFonts w:eastAsia="Georgia" w:hAnsi="Georgia" w:cs="Georgia"/>
          <w:color w:val="000000"/>
        </w:rPr>
        <w:t>: Single KYC/KYB workflow applied at customer onboarding, with outcomes feeding both fiat and crypto monitoring engines</w:t>
      </w:r>
    </w:p>
    <w:p w14:paraId="2F65CE6F" w14:textId="6F99580B" w:rsidR="00C30896" w:rsidRDefault="00000000">
      <w:pPr>
        <w:numPr>
          <w:ilvl w:val="0"/>
          <w:numId w:val="9"/>
        </w:numPr>
        <w:spacing w:before="105" w:after="105" w:line="360" w:lineRule="auto"/>
      </w:pPr>
      <w:r>
        <w:rPr>
          <w:rFonts w:eastAsia="Georgia" w:hAnsi="Georgia" w:cs="Georgia"/>
          <w:b/>
          <w:color w:val="000000"/>
        </w:rPr>
        <w:t>Wallet attribution</w:t>
      </w:r>
      <w:r>
        <w:rPr>
          <w:rFonts w:eastAsia="Georgia" w:hAnsi="Georgia" w:cs="Georgia"/>
          <w:color w:val="000000"/>
        </w:rPr>
        <w:t xml:space="preserve">: For each customer, custodial wallets are linked to the customer profile; </w:t>
      </w:r>
      <w:proofErr w:type="spellStart"/>
      <w:r>
        <w:rPr>
          <w:rFonts w:eastAsia="Georgia" w:hAnsi="Georgia" w:cs="Georgia"/>
          <w:color w:val="000000"/>
        </w:rPr>
        <w:t>unhosted</w:t>
      </w:r>
      <w:proofErr w:type="spellEnd"/>
      <w:r>
        <w:rPr>
          <w:rFonts w:eastAsia="Georgia" w:hAnsi="Georgia" w:cs="Georgia"/>
          <w:color w:val="000000"/>
        </w:rPr>
        <w:t xml:space="preserve"> wallet interactions trigger enhanced due diligence workflows per HKMA guidance</w:t>
      </w:r>
    </w:p>
    <w:p w14:paraId="6FAD42E0" w14:textId="652A8123" w:rsidR="00C30896" w:rsidRDefault="00000000">
      <w:pPr>
        <w:numPr>
          <w:ilvl w:val="0"/>
          <w:numId w:val="9"/>
        </w:numPr>
        <w:spacing w:before="105" w:after="105" w:line="360" w:lineRule="auto"/>
      </w:pPr>
      <w:r>
        <w:rPr>
          <w:rFonts w:eastAsia="Georgia" w:hAnsi="Georgia" w:cs="Georgia"/>
          <w:b/>
          <w:color w:val="000000"/>
        </w:rPr>
        <w:t>Dynamic risk scoring</w:t>
      </w:r>
      <w:r>
        <w:rPr>
          <w:rFonts w:eastAsia="Georgia" w:hAnsi="Georgia" w:cs="Georgia"/>
          <w:color w:val="000000"/>
        </w:rPr>
        <w:t xml:space="preserve">: Customer risk ratings updated in real time as fiat and stablecoin transactions accumulate, using </w:t>
      </w:r>
      <w:proofErr w:type="spellStart"/>
      <w:r>
        <w:rPr>
          <w:rFonts w:eastAsia="Georgia" w:hAnsi="Georgia" w:cs="Georgia"/>
          <w:color w:val="000000"/>
        </w:rPr>
        <w:t>behavioural</w:t>
      </w:r>
      <w:proofErr w:type="spellEnd"/>
      <w:r>
        <w:rPr>
          <w:rFonts w:eastAsia="Georgia" w:hAnsi="Georgia" w:cs="Georgia"/>
          <w:color w:val="000000"/>
        </w:rPr>
        <w:t xml:space="preserve"> </w:t>
      </w:r>
      <w:proofErr w:type="gramStart"/>
      <w:r>
        <w:rPr>
          <w:rFonts w:eastAsia="Georgia" w:hAnsi="Georgia" w:cs="Georgia"/>
          <w:color w:val="000000"/>
        </w:rPr>
        <w:t>baselining</w:t>
      </w:r>
      <w:proofErr w:type="gramEnd"/>
      <w:r>
        <w:rPr>
          <w:rFonts w:eastAsia="Georgia" w:hAnsi="Georgia" w:cs="Georgia"/>
          <w:color w:val="000000"/>
        </w:rPr>
        <w:t xml:space="preserve"> to distinguish legitimate from anomalous activity</w:t>
      </w:r>
    </w:p>
    <w:p w14:paraId="64EB814F" w14:textId="3A50D640" w:rsidR="00C30896" w:rsidRDefault="00000000">
      <w:pPr>
        <w:numPr>
          <w:ilvl w:val="0"/>
          <w:numId w:val="9"/>
        </w:numPr>
        <w:spacing w:before="105" w:after="105" w:line="360" w:lineRule="auto"/>
      </w:pPr>
      <w:r>
        <w:rPr>
          <w:rFonts w:eastAsia="Georgia" w:hAnsi="Georgia" w:cs="Georgia"/>
          <w:b/>
          <w:color w:val="000000"/>
        </w:rPr>
        <w:t>VASP counterparty due diligence</w:t>
      </w:r>
      <w:r>
        <w:rPr>
          <w:rFonts w:eastAsia="Georgia" w:hAnsi="Georgia" w:cs="Georgia"/>
          <w:color w:val="000000"/>
        </w:rPr>
        <w:t>: For stablecoin transfers involving other virtual asset service providers (VASPs), automated due diligence against VASP registries and AML ratings</w:t>
      </w:r>
    </w:p>
    <w:p w14:paraId="39CCB04E" w14:textId="77777777" w:rsidR="00C30896" w:rsidRDefault="00000000">
      <w:pPr>
        <w:spacing w:before="315" w:after="105" w:line="360" w:lineRule="auto"/>
        <w:ind w:left="-30"/>
      </w:pPr>
      <w:bookmarkStart w:id="20" w:name="bm_3_2_2_travel_rule_engine"/>
      <w:r>
        <w:rPr>
          <w:rFonts w:eastAsia="Georgia" w:hAnsi="Georgia" w:cs="Georgia"/>
          <w:b/>
          <w:color w:val="000000"/>
          <w:sz w:val="24"/>
        </w:rPr>
        <w:t>3.2.2 Travel Rule Engine</w:t>
      </w:r>
      <w:bookmarkEnd w:id="20"/>
    </w:p>
    <w:p w14:paraId="7C947CCB" w14:textId="77777777" w:rsidR="00C30896" w:rsidRDefault="00000000">
      <w:pPr>
        <w:spacing w:after="210" w:line="360" w:lineRule="auto"/>
      </w:pPr>
      <w:r>
        <w:rPr>
          <w:rFonts w:eastAsia="Georgia" w:hAnsi="Georgia" w:cs="Georgia"/>
          <w:color w:val="000000"/>
        </w:rPr>
        <w:t>A dedicated Travel Rule module handles information collection and transmission for both payment legs:</w:t>
      </w:r>
    </w:p>
    <w:p w14:paraId="67847D7E" w14:textId="1230CB4B" w:rsidR="00C30896" w:rsidRDefault="00000000">
      <w:pPr>
        <w:numPr>
          <w:ilvl w:val="0"/>
          <w:numId w:val="10"/>
        </w:numPr>
        <w:spacing w:before="105" w:after="105" w:line="360" w:lineRule="auto"/>
      </w:pPr>
      <w:r>
        <w:rPr>
          <w:rFonts w:eastAsia="Georgia" w:hAnsi="Georgia" w:cs="Georgia"/>
          <w:b/>
          <w:color w:val="000000"/>
        </w:rPr>
        <w:t>Fiat leg</w:t>
      </w:r>
      <w:r>
        <w:rPr>
          <w:rFonts w:eastAsia="Georgia" w:hAnsi="Georgia" w:cs="Georgia"/>
          <w:color w:val="000000"/>
        </w:rPr>
        <w:t>: ISO 20022-structured originator/beneficiary data collection for SWIFT MX/SEPA/ACH transfers</w:t>
      </w:r>
    </w:p>
    <w:p w14:paraId="60CF2D74" w14:textId="29284A43" w:rsidR="00C30896" w:rsidRDefault="00000000">
      <w:pPr>
        <w:numPr>
          <w:ilvl w:val="0"/>
          <w:numId w:val="10"/>
        </w:numPr>
        <w:spacing w:before="105" w:after="105" w:line="360" w:lineRule="auto"/>
      </w:pPr>
      <w:r>
        <w:rPr>
          <w:rFonts w:eastAsia="Georgia" w:hAnsi="Georgia" w:cs="Georgia"/>
          <w:b/>
          <w:color w:val="000000"/>
        </w:rPr>
        <w:t>Stablecoin leg</w:t>
      </w:r>
      <w:r>
        <w:rPr>
          <w:rFonts w:eastAsia="Georgia" w:hAnsi="Georgia" w:cs="Georgia"/>
          <w:color w:val="000000"/>
        </w:rPr>
        <w:t>: Automated collection and transmission of VASP-to-VASP originator/beneficiary data for on-chain transfers in compliance with FATF Recommendation 16</w:t>
      </w:r>
    </w:p>
    <w:p w14:paraId="070F9D73" w14:textId="3C136768" w:rsidR="00C30896" w:rsidRDefault="00000000">
      <w:pPr>
        <w:numPr>
          <w:ilvl w:val="0"/>
          <w:numId w:val="10"/>
        </w:numPr>
        <w:spacing w:before="105" w:after="105" w:line="360" w:lineRule="auto"/>
      </w:pPr>
      <w:r>
        <w:rPr>
          <w:rFonts w:eastAsia="Georgia" w:hAnsi="Georgia" w:cs="Georgia"/>
          <w:b/>
          <w:color w:val="000000"/>
        </w:rPr>
        <w:lastRenderedPageBreak/>
        <w:t>Threshold management</w:t>
      </w:r>
      <w:r>
        <w:rPr>
          <w:rFonts w:eastAsia="Georgia" w:hAnsi="Georgia" w:cs="Georgia"/>
          <w:color w:val="000000"/>
        </w:rPr>
        <w:t>: Configurable per jurisdiction (USD/EUR 1,000 for FATF members; jurisdiction-specific thresholds as required)</w:t>
      </w:r>
    </w:p>
    <w:p w14:paraId="7D18043D" w14:textId="6D595AC5" w:rsidR="00C30896" w:rsidRDefault="00000000">
      <w:pPr>
        <w:numPr>
          <w:ilvl w:val="0"/>
          <w:numId w:val="10"/>
        </w:numPr>
        <w:spacing w:before="105" w:after="105" w:line="360" w:lineRule="auto"/>
      </w:pPr>
      <w:r>
        <w:rPr>
          <w:rFonts w:eastAsia="Georgia" w:hAnsi="Georgia" w:cs="Georgia"/>
          <w:b/>
          <w:color w:val="000000"/>
        </w:rPr>
        <w:t>Protocol interoperability</w:t>
      </w:r>
      <w:r>
        <w:rPr>
          <w:rFonts w:eastAsia="Georgia" w:hAnsi="Georgia" w:cs="Georgia"/>
          <w:color w:val="000000"/>
        </w:rPr>
        <w:t>: Integration with leading Travel Rule data-sharing protocols to ensure counterparty VASPs can receive and transmit required data</w:t>
      </w:r>
    </w:p>
    <w:p w14:paraId="1D679298" w14:textId="1CAE66F0" w:rsidR="00C30896" w:rsidRDefault="00000000">
      <w:pPr>
        <w:numPr>
          <w:ilvl w:val="0"/>
          <w:numId w:val="10"/>
        </w:numPr>
        <w:spacing w:before="105" w:after="105" w:line="360" w:lineRule="auto"/>
      </w:pPr>
      <w:proofErr w:type="spellStart"/>
      <w:r>
        <w:rPr>
          <w:rFonts w:eastAsia="Georgia" w:hAnsi="Georgia" w:cs="Georgia"/>
          <w:b/>
          <w:color w:val="000000"/>
        </w:rPr>
        <w:t>Unhosted</w:t>
      </w:r>
      <w:proofErr w:type="spellEnd"/>
      <w:r>
        <w:rPr>
          <w:rFonts w:eastAsia="Georgia" w:hAnsi="Georgia" w:cs="Georgia"/>
          <w:b/>
          <w:color w:val="000000"/>
        </w:rPr>
        <w:t xml:space="preserve"> wallet enhanced monitoring</w:t>
      </w:r>
      <w:r>
        <w:rPr>
          <w:rFonts w:eastAsia="Georgia" w:hAnsi="Georgia" w:cs="Georgia"/>
          <w:color w:val="000000"/>
        </w:rPr>
        <w:t xml:space="preserve">: When transfers involve </w:t>
      </w:r>
      <w:proofErr w:type="spellStart"/>
      <w:r>
        <w:rPr>
          <w:rFonts w:eastAsia="Georgia" w:hAnsi="Georgia" w:cs="Georgia"/>
          <w:color w:val="000000"/>
        </w:rPr>
        <w:t>unhosted</w:t>
      </w:r>
      <w:proofErr w:type="spellEnd"/>
      <w:r>
        <w:rPr>
          <w:rFonts w:eastAsia="Georgia" w:hAnsi="Georgia" w:cs="Georgia"/>
          <w:color w:val="000000"/>
        </w:rPr>
        <w:t xml:space="preserve"> wallets, automatic escalation to enhanced screening workflows per HKMA and FATF requirements</w:t>
      </w:r>
    </w:p>
    <w:p w14:paraId="296FA391" w14:textId="77777777" w:rsidR="00C30896" w:rsidRDefault="00000000">
      <w:pPr>
        <w:spacing w:before="315" w:after="105" w:line="360" w:lineRule="auto"/>
        <w:ind w:left="-30"/>
      </w:pPr>
      <w:bookmarkStart w:id="21" w:name="bm_3_2_3_ecosystem_wide_stablecoi_b09ca1"/>
      <w:r>
        <w:rPr>
          <w:rFonts w:eastAsia="Georgia" w:hAnsi="Georgia" w:cs="Georgia"/>
          <w:b/>
          <w:color w:val="000000"/>
          <w:sz w:val="24"/>
        </w:rPr>
        <w:t>3.2.3 Ecosystem-Wide Stablecoin Monitoring</w:t>
      </w:r>
      <w:bookmarkEnd w:id="21"/>
    </w:p>
    <w:p w14:paraId="3AE2BD0E" w14:textId="37CB6CC8" w:rsidR="00C30896" w:rsidRDefault="00000000">
      <w:pPr>
        <w:spacing w:after="210" w:line="360" w:lineRule="auto"/>
      </w:pPr>
      <w:r>
        <w:rPr>
          <w:rFonts w:eastAsia="Georgia" w:hAnsi="Georgia" w:cs="Georgia"/>
          <w:color w:val="000000"/>
        </w:rPr>
        <w:t xml:space="preserve">Beyond direct customer transactions, Project Overwatch implements the </w:t>
      </w:r>
      <w:r>
        <w:rPr>
          <w:rFonts w:eastAsia="Georgia" w:hAnsi="Georgia" w:cs="Georgia"/>
          <w:b/>
          <w:color w:val="000000"/>
        </w:rPr>
        <w:t>ecosystem monitoring</w:t>
      </w:r>
      <w:r>
        <w:rPr>
          <w:rFonts w:eastAsia="Georgia" w:hAnsi="Georgia" w:cs="Georgia"/>
          <w:color w:val="000000"/>
        </w:rPr>
        <w:t xml:space="preserve"> mandated by the HKMA and expected under </w:t>
      </w:r>
      <w:proofErr w:type="spellStart"/>
      <w:r>
        <w:rPr>
          <w:rFonts w:eastAsia="Georgia" w:hAnsi="Georgia" w:cs="Georgia"/>
          <w:color w:val="000000"/>
        </w:rPr>
        <w:t>MiCA</w:t>
      </w:r>
      <w:proofErr w:type="spellEnd"/>
      <w:r>
        <w:rPr>
          <w:rFonts w:eastAsia="Georgia" w:hAnsi="Georgia" w:cs="Georgia"/>
          <w:color w:val="000000"/>
        </w:rPr>
        <w:t xml:space="preserve"> — extending surveillance across the full stablecoin circulation lifecycle:</w:t>
      </w:r>
    </w:p>
    <w:p w14:paraId="277B9196" w14:textId="77777777" w:rsidR="00C30896" w:rsidRDefault="00000000">
      <w:pPr>
        <w:numPr>
          <w:ilvl w:val="0"/>
          <w:numId w:val="11"/>
        </w:numPr>
        <w:spacing w:before="105" w:after="105" w:line="360" w:lineRule="auto"/>
      </w:pPr>
      <w:r>
        <w:rPr>
          <w:rFonts w:eastAsia="Georgia" w:hAnsi="Georgia" w:cs="Georgia"/>
          <w:color w:val="000000"/>
        </w:rPr>
        <w:t>On-chain monitoring of the institution's issued or supported stablecoins, tracking token flows beyond direct counterparties</w:t>
      </w:r>
    </w:p>
    <w:p w14:paraId="4A8CF69E" w14:textId="77777777" w:rsidR="00C30896" w:rsidRDefault="00000000">
      <w:pPr>
        <w:numPr>
          <w:ilvl w:val="0"/>
          <w:numId w:val="11"/>
        </w:numPr>
        <w:spacing w:before="105" w:after="105" w:line="360" w:lineRule="auto"/>
      </w:pPr>
      <w:r>
        <w:rPr>
          <w:rFonts w:eastAsia="Georgia" w:hAnsi="Georgia" w:cs="Georgia"/>
          <w:color w:val="000000"/>
        </w:rPr>
        <w:t>Automated blacklisting of wallet addresses linked to sanctioned entities, with integration into freezing workflows</w:t>
      </w:r>
    </w:p>
    <w:p w14:paraId="1CDDDE0C" w14:textId="29F1074E" w:rsidR="00C30896" w:rsidRDefault="00000000">
      <w:pPr>
        <w:numPr>
          <w:ilvl w:val="0"/>
          <w:numId w:val="11"/>
        </w:numPr>
        <w:spacing w:before="105" w:after="105" w:line="360" w:lineRule="auto"/>
      </w:pPr>
      <w:r>
        <w:rPr>
          <w:rFonts w:eastAsia="Georgia" w:hAnsi="Georgia" w:cs="Georgia"/>
          <w:color w:val="000000"/>
        </w:rPr>
        <w:t xml:space="preserve">Smart-contract-level compliance controls </w:t>
      </w:r>
      <w:proofErr w:type="gramStart"/>
      <w:r>
        <w:rPr>
          <w:rFonts w:eastAsia="Georgia" w:hAnsi="Georgia" w:cs="Georgia"/>
          <w:color w:val="000000"/>
        </w:rPr>
        <w:t>where</w:t>
      </w:r>
      <w:proofErr w:type="gramEnd"/>
      <w:r>
        <w:rPr>
          <w:rFonts w:eastAsia="Georgia" w:hAnsi="Georgia" w:cs="Georgia"/>
          <w:color w:val="000000"/>
        </w:rPr>
        <w:t xml:space="preserve"> technically feasible, enforcing prohibition on transfers to sanctioned entities through programmable rules</w:t>
      </w:r>
    </w:p>
    <w:p w14:paraId="069C3340" w14:textId="77777777" w:rsidR="00C30896" w:rsidRDefault="00000000">
      <w:pPr>
        <w:numPr>
          <w:ilvl w:val="0"/>
          <w:numId w:val="11"/>
        </w:numPr>
        <w:spacing w:before="105" w:after="105" w:line="360" w:lineRule="auto"/>
      </w:pPr>
      <w:r>
        <w:rPr>
          <w:rFonts w:eastAsia="Georgia" w:hAnsi="Georgia" w:cs="Georgia"/>
          <w:color w:val="000000"/>
        </w:rPr>
        <w:t>Scheduled and event-driven risk re-assessments of stablecoins in circulation</w:t>
      </w:r>
    </w:p>
    <w:p w14:paraId="3166DD44" w14:textId="77777777" w:rsidR="00C30896" w:rsidRDefault="00000000">
      <w:pPr>
        <w:spacing w:before="315" w:after="105" w:line="360" w:lineRule="auto"/>
        <w:ind w:left="-30"/>
      </w:pPr>
      <w:bookmarkStart w:id="22" w:name="bm_3_2_4_sanctions_screening"/>
      <w:r>
        <w:rPr>
          <w:rFonts w:eastAsia="Georgia" w:hAnsi="Georgia" w:cs="Georgia"/>
          <w:b/>
          <w:color w:val="000000"/>
          <w:sz w:val="24"/>
        </w:rPr>
        <w:t>3.2.</w:t>
      </w:r>
      <w:proofErr w:type="gramStart"/>
      <w:r>
        <w:rPr>
          <w:rFonts w:eastAsia="Georgia" w:hAnsi="Georgia" w:cs="Georgia"/>
          <w:b/>
          <w:color w:val="000000"/>
          <w:sz w:val="24"/>
        </w:rPr>
        <w:t>4 Sanctions</w:t>
      </w:r>
      <w:proofErr w:type="gramEnd"/>
      <w:r>
        <w:rPr>
          <w:rFonts w:eastAsia="Georgia" w:hAnsi="Georgia" w:cs="Georgia"/>
          <w:b/>
          <w:color w:val="000000"/>
          <w:sz w:val="24"/>
        </w:rPr>
        <w:t xml:space="preserve"> Screening</w:t>
      </w:r>
      <w:bookmarkEnd w:id="22"/>
    </w:p>
    <w:p w14:paraId="52434A53" w14:textId="77777777" w:rsidR="00C30896" w:rsidRDefault="00000000">
      <w:pPr>
        <w:spacing w:after="210" w:line="360" w:lineRule="auto"/>
      </w:pPr>
      <w:r>
        <w:rPr>
          <w:rFonts w:eastAsia="Georgia" w:hAnsi="Georgia" w:cs="Georgia"/>
          <w:color w:val="000000"/>
        </w:rPr>
        <w:t>All transactions — fiat and stablecoin — are screened in real time against:</w:t>
      </w:r>
    </w:p>
    <w:p w14:paraId="7A873D12" w14:textId="77777777" w:rsidR="00C30896" w:rsidRDefault="00000000">
      <w:pPr>
        <w:numPr>
          <w:ilvl w:val="0"/>
          <w:numId w:val="12"/>
        </w:numPr>
        <w:spacing w:before="105" w:after="105" w:line="360" w:lineRule="auto"/>
      </w:pPr>
      <w:r>
        <w:rPr>
          <w:rFonts w:eastAsia="Georgia" w:hAnsi="Georgia" w:cs="Georgia"/>
          <w:color w:val="000000"/>
        </w:rPr>
        <w:t>OFAC, UN, EU, and HK sanctions lists</w:t>
      </w:r>
    </w:p>
    <w:p w14:paraId="313EE376" w14:textId="77777777" w:rsidR="00C30896" w:rsidRDefault="00000000">
      <w:pPr>
        <w:numPr>
          <w:ilvl w:val="0"/>
          <w:numId w:val="12"/>
        </w:numPr>
        <w:spacing w:before="105" w:after="105" w:line="360" w:lineRule="auto"/>
      </w:pPr>
      <w:r>
        <w:rPr>
          <w:rFonts w:eastAsia="Georgia" w:hAnsi="Georgia" w:cs="Georgia"/>
          <w:color w:val="000000"/>
        </w:rPr>
        <w:t>Politically Exposed Person (PEP) databases</w:t>
      </w:r>
    </w:p>
    <w:p w14:paraId="54A8EC86" w14:textId="77777777" w:rsidR="00C30896" w:rsidRDefault="00000000">
      <w:pPr>
        <w:numPr>
          <w:ilvl w:val="0"/>
          <w:numId w:val="12"/>
        </w:numPr>
        <w:spacing w:before="105" w:after="105" w:line="360" w:lineRule="auto"/>
      </w:pPr>
      <w:r>
        <w:rPr>
          <w:rFonts w:eastAsia="Georgia" w:hAnsi="Georgia" w:cs="Georgia"/>
          <w:color w:val="000000"/>
        </w:rPr>
        <w:t>Adverse media and law enforcement watchlists</w:t>
      </w:r>
    </w:p>
    <w:p w14:paraId="6F86B588" w14:textId="57EB388E" w:rsidR="00C30896" w:rsidRDefault="00000000">
      <w:pPr>
        <w:numPr>
          <w:ilvl w:val="0"/>
          <w:numId w:val="12"/>
        </w:numPr>
        <w:spacing w:before="105" w:after="105" w:line="360" w:lineRule="auto"/>
      </w:pPr>
      <w:r>
        <w:rPr>
          <w:rFonts w:eastAsia="Georgia" w:hAnsi="Georgia" w:cs="Georgia"/>
          <w:color w:val="000000"/>
        </w:rPr>
        <w:t>On-chain entity attribution databases mapping wallet addresses to known sanctioned entities, exchanges, mixers, and dark market services</w:t>
      </w:r>
    </w:p>
    <w:p w14:paraId="1DEF0EFB" w14:textId="77777777" w:rsidR="00C30896" w:rsidRDefault="00000000">
      <w:pPr>
        <w:spacing w:after="210" w:line="360" w:lineRule="auto"/>
      </w:pPr>
      <w:r>
        <w:rPr>
          <w:rFonts w:eastAsia="Georgia" w:hAnsi="Georgia" w:cs="Georgia"/>
          <w:color w:val="000000"/>
        </w:rPr>
        <w:t>Screening results are logged with timestamps and attached to the transaction record for audit purposes.</w:t>
      </w:r>
    </w:p>
    <w:p w14:paraId="771E6E4D" w14:textId="77777777" w:rsidR="00C30896" w:rsidRDefault="00000000">
      <w:pPr>
        <w:spacing w:before="315" w:after="105" w:line="360" w:lineRule="auto"/>
        <w:ind w:left="-30"/>
      </w:pPr>
      <w:bookmarkStart w:id="23" w:name="bm_3_2_5_regulatory_reporting"/>
      <w:r>
        <w:rPr>
          <w:rFonts w:eastAsia="Georgia" w:hAnsi="Georgia" w:cs="Georgia"/>
          <w:b/>
          <w:color w:val="000000"/>
          <w:sz w:val="24"/>
        </w:rPr>
        <w:t>3.2.5 Regulatory Reporting</w:t>
      </w:r>
      <w:bookmarkEnd w:id="23"/>
    </w:p>
    <w:p w14:paraId="657A65E0" w14:textId="77777777" w:rsidR="00C30896" w:rsidRDefault="00000000">
      <w:pPr>
        <w:spacing w:after="210" w:line="360" w:lineRule="auto"/>
      </w:pPr>
      <w:r>
        <w:rPr>
          <w:rFonts w:eastAsia="Georgia" w:hAnsi="Georgia" w:cs="Georgia"/>
          <w:color w:val="000000"/>
        </w:rPr>
        <w:lastRenderedPageBreak/>
        <w:t>A unified reporting module automates the generation and submission of regulatory reports across jurisdictions:</w:t>
      </w:r>
    </w:p>
    <w:p w14:paraId="23A31D6A" w14:textId="77777777" w:rsidR="00C30896" w:rsidRDefault="00000000">
      <w:pPr>
        <w:numPr>
          <w:ilvl w:val="0"/>
          <w:numId w:val="13"/>
        </w:numPr>
        <w:spacing w:before="105" w:after="105" w:line="360" w:lineRule="auto"/>
      </w:pPr>
      <w:r>
        <w:rPr>
          <w:rFonts w:eastAsia="Georgia" w:hAnsi="Georgia" w:cs="Georgia"/>
          <w:b/>
          <w:color w:val="000000"/>
        </w:rPr>
        <w:t>SAR/STR filing</w:t>
      </w:r>
      <w:r>
        <w:rPr>
          <w:rFonts w:eastAsia="Georgia" w:hAnsi="Georgia" w:cs="Georgia"/>
          <w:color w:val="000000"/>
        </w:rPr>
        <w:t>: Automated Suspicious Activity Report / Suspicious Transaction Report generation with pre-populated transaction data, customer risk context, and analyst notes</w:t>
      </w:r>
    </w:p>
    <w:p w14:paraId="43AC3995" w14:textId="77777777" w:rsidR="00C30896" w:rsidRDefault="00000000">
      <w:pPr>
        <w:numPr>
          <w:ilvl w:val="0"/>
          <w:numId w:val="13"/>
        </w:numPr>
        <w:spacing w:before="105" w:after="105" w:line="360" w:lineRule="auto"/>
      </w:pPr>
      <w:r>
        <w:rPr>
          <w:rFonts w:eastAsia="Georgia" w:hAnsi="Georgia" w:cs="Georgia"/>
          <w:b/>
          <w:color w:val="000000"/>
        </w:rPr>
        <w:t>HKMA reporting</w:t>
      </w:r>
      <w:r>
        <w:rPr>
          <w:rFonts w:eastAsia="Georgia" w:hAnsi="Georgia" w:cs="Georgia"/>
          <w:color w:val="000000"/>
        </w:rPr>
        <w:t>: Compliance with AMLO Schedule 2 reporting obligations for stablecoin transfers</w:t>
      </w:r>
    </w:p>
    <w:p w14:paraId="4129ED4F" w14:textId="77777777" w:rsidR="00C30896" w:rsidRDefault="00000000">
      <w:pPr>
        <w:numPr>
          <w:ilvl w:val="0"/>
          <w:numId w:val="13"/>
        </w:numPr>
        <w:spacing w:before="105" w:after="105" w:line="360" w:lineRule="auto"/>
      </w:pPr>
      <w:r>
        <w:rPr>
          <w:rFonts w:eastAsia="Georgia" w:hAnsi="Georgia" w:cs="Georgia"/>
          <w:b/>
          <w:color w:val="000000"/>
        </w:rPr>
        <w:t>Cross-jurisdictional mapping</w:t>
      </w:r>
      <w:r>
        <w:rPr>
          <w:rFonts w:eastAsia="Georgia" w:hAnsi="Georgia" w:cs="Georgia"/>
          <w:color w:val="000000"/>
        </w:rPr>
        <w:t>: Configurable report templates mapped to jurisdiction-specific formats (FinCEN SAR, JFIU STR, FIU reports)</w:t>
      </w:r>
    </w:p>
    <w:p w14:paraId="0081C3EC" w14:textId="21CFEA37" w:rsidR="00C30896" w:rsidRDefault="00000000">
      <w:pPr>
        <w:numPr>
          <w:ilvl w:val="0"/>
          <w:numId w:val="13"/>
        </w:numPr>
        <w:spacing w:before="105" w:after="105" w:line="360" w:lineRule="auto"/>
      </w:pPr>
      <w:r>
        <w:rPr>
          <w:rFonts w:eastAsia="Georgia" w:hAnsi="Georgia" w:cs="Georgia"/>
          <w:b/>
          <w:color w:val="000000"/>
        </w:rPr>
        <w:t>Audit-ready case logs</w:t>
      </w:r>
      <w:r>
        <w:rPr>
          <w:rFonts w:eastAsia="Georgia" w:hAnsi="Georgia" w:cs="Georgia"/>
          <w:color w:val="000000"/>
        </w:rPr>
        <w:t xml:space="preserve">: Every investigative action, rule configuration change, and alert disposition is logged with full version control and </w:t>
      </w:r>
      <w:proofErr w:type="gramStart"/>
      <w:r>
        <w:rPr>
          <w:rFonts w:eastAsia="Georgia" w:hAnsi="Georgia" w:cs="Georgia"/>
          <w:color w:val="000000"/>
        </w:rPr>
        <w:t>approver</w:t>
      </w:r>
      <w:proofErr w:type="gramEnd"/>
      <w:r>
        <w:rPr>
          <w:rFonts w:eastAsia="Georgia" w:hAnsi="Georgia" w:cs="Georgia"/>
          <w:color w:val="000000"/>
        </w:rPr>
        <w:t xml:space="preserve"> sign-off, addressing the auditability requirements flagged by regulators</w:t>
      </w:r>
    </w:p>
    <w:p w14:paraId="0D45EE82" w14:textId="77777777" w:rsidR="00C30896" w:rsidRDefault="00000000">
      <w:pPr>
        <w:spacing w:before="315" w:after="105" w:line="360" w:lineRule="auto"/>
        <w:ind w:left="-30"/>
      </w:pPr>
      <w:bookmarkStart w:id="24" w:name="bm_3_3_technology_architecture"/>
      <w:r>
        <w:rPr>
          <w:rFonts w:eastAsia="Georgia" w:hAnsi="Georgia" w:cs="Georgia"/>
          <w:b/>
          <w:color w:val="000000"/>
          <w:sz w:val="24"/>
        </w:rPr>
        <w:t>3.3 Technology Architecture</w:t>
      </w:r>
      <w:bookmarkEnd w:id="24"/>
    </w:p>
    <w:p w14:paraId="4EDBA66D" w14:textId="77777777" w:rsidR="00C30896" w:rsidRDefault="00000000">
      <w:pPr>
        <w:spacing w:before="315" w:after="105" w:line="360" w:lineRule="auto"/>
        <w:ind w:left="-30"/>
      </w:pPr>
      <w:bookmarkStart w:id="25" w:name="bm_3_3_1_architecture_principles"/>
      <w:r>
        <w:rPr>
          <w:rFonts w:eastAsia="Georgia" w:hAnsi="Georgia" w:cs="Georgia"/>
          <w:b/>
          <w:color w:val="000000"/>
          <w:sz w:val="24"/>
        </w:rPr>
        <w:t>3.3.1 Architecture Principles</w:t>
      </w:r>
      <w:bookmarkEnd w:id="25"/>
    </w:p>
    <w:p w14:paraId="5B8C8797" w14:textId="77777777" w:rsidR="00C30896" w:rsidRDefault="00000000">
      <w:pPr>
        <w:spacing w:after="210" w:line="360" w:lineRule="auto"/>
      </w:pPr>
      <w:r>
        <w:rPr>
          <w:rFonts w:eastAsia="Georgia" w:hAnsi="Georgia" w:cs="Georgia"/>
          <w:color w:val="000000"/>
        </w:rPr>
        <w:t>Project Overwatch is designed on four architectural principles:</w:t>
      </w:r>
    </w:p>
    <w:p w14:paraId="393A81E0" w14:textId="77777777" w:rsidR="00C30896" w:rsidRDefault="00000000">
      <w:pPr>
        <w:numPr>
          <w:ilvl w:val="0"/>
          <w:numId w:val="14"/>
        </w:numPr>
        <w:spacing w:before="105" w:after="105" w:line="360" w:lineRule="auto"/>
      </w:pPr>
      <w:r>
        <w:rPr>
          <w:rFonts w:eastAsia="Georgia" w:hAnsi="Georgia" w:cs="Georgia"/>
          <w:b/>
          <w:color w:val="000000"/>
        </w:rPr>
        <w:t>Rail abstraction</w:t>
      </w:r>
      <w:r>
        <w:rPr>
          <w:rFonts w:eastAsia="Georgia" w:hAnsi="Georgia" w:cs="Georgia"/>
          <w:color w:val="000000"/>
        </w:rPr>
        <w:t xml:space="preserve">: A </w:t>
      </w:r>
      <w:proofErr w:type="spellStart"/>
      <w:r>
        <w:rPr>
          <w:rFonts w:eastAsia="Georgia" w:hAnsi="Georgia" w:cs="Georgia"/>
          <w:color w:val="000000"/>
        </w:rPr>
        <w:t>normalisation</w:t>
      </w:r>
      <w:proofErr w:type="spellEnd"/>
      <w:r>
        <w:rPr>
          <w:rFonts w:eastAsia="Georgia" w:hAnsi="Georgia" w:cs="Georgia"/>
          <w:color w:val="000000"/>
        </w:rPr>
        <w:t xml:space="preserve"> layer translates fiat transaction events and </w:t>
      </w:r>
      <w:proofErr w:type="gramStart"/>
      <w:r>
        <w:rPr>
          <w:rFonts w:eastAsia="Georgia" w:hAnsi="Georgia" w:cs="Georgia"/>
          <w:color w:val="000000"/>
        </w:rPr>
        <w:t>on-chain</w:t>
      </w:r>
      <w:proofErr w:type="gramEnd"/>
      <w:r>
        <w:rPr>
          <w:rFonts w:eastAsia="Georgia" w:hAnsi="Georgia" w:cs="Georgia"/>
          <w:color w:val="000000"/>
        </w:rPr>
        <w:t xml:space="preserve"> blockchain events into a common transaction schema before monitoring, ensuring uniform analytical treatment</w:t>
      </w:r>
    </w:p>
    <w:p w14:paraId="149535EF" w14:textId="35C0197C" w:rsidR="00C30896" w:rsidRDefault="00000000">
      <w:pPr>
        <w:numPr>
          <w:ilvl w:val="0"/>
          <w:numId w:val="14"/>
        </w:numPr>
        <w:spacing w:before="105" w:after="105" w:line="360" w:lineRule="auto"/>
      </w:pPr>
      <w:r>
        <w:rPr>
          <w:rFonts w:eastAsia="Georgia" w:hAnsi="Georgia" w:cs="Georgia"/>
          <w:b/>
          <w:color w:val="000000"/>
        </w:rPr>
        <w:t>Real-time processing</w:t>
      </w:r>
      <w:r>
        <w:rPr>
          <w:rFonts w:eastAsia="Georgia" w:hAnsi="Georgia" w:cs="Georgia"/>
          <w:color w:val="000000"/>
        </w:rPr>
        <w:t>: Sub-second transaction screening for both fiat and stablecoin transactions, supporting 24/7 blockchain operations alongside traditional banking hours</w:t>
      </w:r>
    </w:p>
    <w:p w14:paraId="3B42D735" w14:textId="3AEFA190" w:rsidR="00C30896" w:rsidRDefault="00000000">
      <w:pPr>
        <w:numPr>
          <w:ilvl w:val="0"/>
          <w:numId w:val="14"/>
        </w:numPr>
        <w:spacing w:before="105" w:after="105" w:line="360" w:lineRule="auto"/>
      </w:pPr>
      <w:r>
        <w:rPr>
          <w:rFonts w:eastAsia="Georgia" w:hAnsi="Georgia" w:cs="Georgia"/>
          <w:b/>
          <w:color w:val="000000"/>
        </w:rPr>
        <w:t>Horizontal scalability</w:t>
      </w:r>
      <w:r>
        <w:rPr>
          <w:rFonts w:eastAsia="Georgia" w:hAnsi="Georgia" w:cs="Georgia"/>
          <w:color w:val="000000"/>
        </w:rPr>
        <w:t>: Microservices-based architecture enabling independent scaling of monitoring, screening, and case management components under peak load</w:t>
      </w:r>
    </w:p>
    <w:p w14:paraId="0E46EDBD" w14:textId="1D00FD59" w:rsidR="00C30896" w:rsidRDefault="00000000">
      <w:pPr>
        <w:numPr>
          <w:ilvl w:val="0"/>
          <w:numId w:val="14"/>
        </w:numPr>
        <w:spacing w:before="105" w:after="105" w:line="360" w:lineRule="auto"/>
      </w:pPr>
      <w:r>
        <w:rPr>
          <w:rFonts w:eastAsia="Georgia" w:hAnsi="Georgia" w:cs="Georgia"/>
          <w:b/>
          <w:color w:val="000000"/>
        </w:rPr>
        <w:t>Explainability and governance</w:t>
      </w:r>
      <w:r>
        <w:rPr>
          <w:rFonts w:eastAsia="Georgia" w:hAnsi="Georgia" w:cs="Georgia"/>
          <w:color w:val="000000"/>
        </w:rPr>
        <w:t>: All AI model outputs are accompanied by human-readable explanations; all rule and model changes are version-controlled with mandatory approval workflow</w:t>
      </w:r>
      <w:r w:rsidR="006F7CDE">
        <w:rPr>
          <w:rFonts w:eastAsia="Georgia" w:hAnsi="Georgia" w:cs="Georgia"/>
          <w:color w:val="000000"/>
        </w:rPr>
        <w:t>s</w:t>
      </w:r>
    </w:p>
    <w:p w14:paraId="521B2B33" w14:textId="77777777" w:rsidR="00C30896" w:rsidRDefault="00000000">
      <w:pPr>
        <w:spacing w:before="315" w:after="105" w:line="360" w:lineRule="auto"/>
        <w:ind w:left="-30"/>
      </w:pPr>
      <w:bookmarkStart w:id="26" w:name="bm_3_3_2_system_architecture_overview"/>
      <w:r>
        <w:rPr>
          <w:rFonts w:eastAsia="Georgia" w:hAnsi="Georgia" w:cs="Georgia"/>
          <w:b/>
          <w:color w:val="000000"/>
          <w:sz w:val="24"/>
        </w:rPr>
        <w:t>3.3.2 System Architecture Overview</w:t>
      </w:r>
      <w:bookmarkEnd w:id="26"/>
    </w:p>
    <w:p w14:paraId="77551E90" w14:textId="779D426A" w:rsidR="00C30896" w:rsidRPr="006F7CDE" w:rsidRDefault="00000000">
      <w:pPr>
        <w:shd w:val="clear" w:color="auto" w:fill="F8F8FA"/>
        <w:spacing w:line="336" w:lineRule="auto"/>
        <w:rPr>
          <w:rFonts w:ascii="Courier New" w:hAnsi="Courier New" w:cs="Courier New"/>
        </w:rPr>
      </w:pP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DATA INGESTION LAYER                         │</w:t>
      </w:r>
      <w:r w:rsidRPr="006F7CDE">
        <w:rPr>
          <w:rStyle w:val="VerbatimChar"/>
          <w:rFonts w:ascii="Courier New" w:eastAsia="menlo" w:hAnsi="Courier New" w:cs="Courier New"/>
          <w:color w:val="000000"/>
          <w:sz w:val="18"/>
        </w:rPr>
        <w:br/>
        <w:t>│  ┌─────────────────┐    ┌──────────────────────────────────┐    │</w:t>
      </w:r>
      <w:r w:rsidRPr="006F7CDE">
        <w:rPr>
          <w:rStyle w:val="VerbatimChar"/>
          <w:rFonts w:ascii="Courier New" w:eastAsia="menlo" w:hAnsi="Courier New" w:cs="Courier New"/>
          <w:color w:val="000000"/>
          <w:sz w:val="18"/>
        </w:rPr>
        <w:br/>
        <w:t>│  │  FIAT RAIL      │    │  STABLECOIN / ON-CHAIN RAIL      │    │</w:t>
      </w:r>
      <w:r w:rsidRPr="006F7CDE">
        <w:rPr>
          <w:rStyle w:val="VerbatimChar"/>
          <w:rFonts w:ascii="Courier New" w:eastAsia="menlo" w:hAnsi="Courier New" w:cs="Courier New"/>
          <w:color w:val="000000"/>
          <w:sz w:val="18"/>
        </w:rPr>
        <w:br/>
        <w:t>│  │  SWIFT/MX       │    │  Blockchain Nodes (ETH, SOL...)  │    │</w:t>
      </w:r>
      <w:r w:rsidRPr="006F7CDE">
        <w:rPr>
          <w:rStyle w:val="VerbatimChar"/>
          <w:rFonts w:ascii="Courier New" w:eastAsia="menlo" w:hAnsi="Courier New" w:cs="Courier New"/>
          <w:color w:val="000000"/>
          <w:sz w:val="18"/>
        </w:rPr>
        <w:br/>
        <w:t>│  │  ACH / SEPA     │    │  USDC, USDT, HKD Stablecoin      │    │</w:t>
      </w:r>
      <w:r w:rsidRPr="006F7CDE">
        <w:rPr>
          <w:rStyle w:val="VerbatimChar"/>
          <w:rFonts w:ascii="Courier New" w:eastAsia="menlo" w:hAnsi="Courier New" w:cs="Courier New"/>
          <w:color w:val="000000"/>
          <w:sz w:val="18"/>
        </w:rPr>
        <w:br/>
      </w:r>
      <w:r w:rsidRPr="006F7CDE">
        <w:rPr>
          <w:rStyle w:val="VerbatimChar"/>
          <w:rFonts w:ascii="Courier New" w:eastAsia="menlo" w:hAnsi="Courier New" w:cs="Courier New"/>
          <w:color w:val="000000"/>
          <w:sz w:val="18"/>
        </w:rPr>
        <w:lastRenderedPageBreak/>
        <w:t>│  │  FPS / FPS-C    │    │  Multi-chain Bridge Events       │    │</w:t>
      </w:r>
      <w:r w:rsidRPr="006F7CDE">
        <w:rPr>
          <w:rStyle w:val="VerbatimChar"/>
          <w:rFonts w:ascii="Courier New" w:eastAsia="menlo" w:hAnsi="Courier New" w:cs="Courier New"/>
          <w:color w:val="000000"/>
          <w:sz w:val="18"/>
        </w:rPr>
        <w:br/>
        <w:t>│  │  Card Networks  │    │  VASP Transfer Events            │    │</w:t>
      </w:r>
      <w:r w:rsidRPr="006F7CDE">
        <w:rPr>
          <w:rStyle w:val="VerbatimChar"/>
          <w:rFonts w:ascii="Courier New" w:eastAsia="menlo" w:hAnsi="Courier New" w:cs="Courier New"/>
          <w:color w:val="000000"/>
          <w:sz w:val="18"/>
        </w:rPr>
        <w:br/>
        <w:t>│  └────────┬────────┘    └───────────────┬──────────────────┘    │</w:t>
      </w:r>
      <w:r w:rsidRPr="006F7CDE">
        <w:rPr>
          <w:rStyle w:val="VerbatimChar"/>
          <w:rFonts w:ascii="Courier New" w:eastAsia="menlo" w:hAnsi="Courier New" w:cs="Courier New"/>
          <w:color w:val="000000"/>
          <w:sz w:val="18"/>
        </w:rPr>
        <w:br/>
        <w:t>│           │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           │   NORMALISATION ENGINE       │                      │</w:t>
      </w:r>
      <w:r w:rsidRPr="006F7CDE">
        <w:rPr>
          <w:rStyle w:val="VerbatimChar"/>
          <w:rFonts w:ascii="Courier New" w:eastAsia="menlo" w:hAnsi="Courier New" w:cs="Courier New"/>
          <w:color w:val="000000"/>
          <w:sz w:val="18"/>
        </w:rPr>
        <w:br/>
        <w:t>│           │   (Common Transaction Schema)│                      │</w:t>
      </w:r>
      <w:r w:rsidRPr="006F7CDE">
        <w:rPr>
          <w:rStyle w:val="VerbatimChar"/>
          <w:rFonts w:ascii="Courier New" w:eastAsia="menlo" w:hAnsi="Courier New" w:cs="Courier New"/>
          <w:color w:val="000000"/>
          <w:sz w:val="18"/>
        </w:rPr>
        <w:br/>
        <w:t>│           │   ISO 20022 Data Mapping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w:t>
      </w:r>
      <w:r w:rsidRPr="006F7CDE">
        <w:rPr>
          <w:rStyle w:val="VerbatimChar"/>
          <w:rFonts w:ascii="Courier New" w:eastAsia="menlo" w:hAnsi="Courier New" w:cs="Courier New"/>
          <w:color w:val="000000"/>
          <w:sz w:val="18"/>
        </w:rPr>
        <w:br/>
        <w:t xml:space="preserve">                           │</w:t>
      </w:r>
      <w:r w:rsidRPr="006F7CDE">
        <w:rPr>
          <w:rStyle w:val="VerbatimChar"/>
          <w:rFonts w:ascii="Courier New" w:eastAsia="menlo" w:hAnsi="Courier New" w:cs="Courier New"/>
          <w:color w:val="000000"/>
          <w:sz w:val="18"/>
        </w:rPr>
        <w:br/>
        <w:t>┌──────────────────────────▼──────────────────────────────────────┐</w:t>
      </w:r>
      <w:r w:rsidRPr="006F7CDE">
        <w:rPr>
          <w:rStyle w:val="VerbatimChar"/>
          <w:rFonts w:ascii="Courier New" w:eastAsia="menlo" w:hAnsi="Courier New" w:cs="Courier New"/>
          <w:color w:val="000000"/>
          <w:sz w:val="18"/>
        </w:rPr>
        <w:br/>
        <w:t>│                  MONITORING &amp; INTELLIGENCE LAYER                │</w:t>
      </w:r>
      <w:r w:rsidRPr="006F7CDE">
        <w:rPr>
          <w:rStyle w:val="VerbatimChar"/>
          <w:rFonts w:ascii="Courier New" w:eastAsia="menlo" w:hAnsi="Courier New" w:cs="Courier New"/>
          <w:color w:val="000000"/>
          <w:sz w:val="18"/>
        </w:rPr>
        <w:br/>
        <w:t xml:space="preserve">│  ┌─────────────────┐  ┌──────────────┐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xml:space="preserve">│  │ RULE-BASED      │  │  AI/ML       │  │  BLOCKCHAIN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xml:space="preserve">│  │ TRANSACTION     │  │  ANOMALY     │  │  ANALYTICS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xml:space="preserve">│  │ MONITORING      │  │  DETECTION   │  │  ENGINE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 (Configurable   │  │  (</w:t>
      </w:r>
      <w:proofErr w:type="spellStart"/>
      <w:r w:rsidRPr="006F7CDE">
        <w:rPr>
          <w:rStyle w:val="VerbatimChar"/>
          <w:rFonts w:ascii="Courier New" w:eastAsia="menlo" w:hAnsi="Courier New" w:cs="Courier New"/>
          <w:color w:val="000000"/>
          <w:sz w:val="18"/>
        </w:rPr>
        <w:t>Behavioural</w:t>
      </w:r>
      <w:proofErr w:type="spellEnd"/>
      <w:r w:rsidRPr="006F7CDE">
        <w:rPr>
          <w:rStyle w:val="VerbatimChar"/>
          <w:rFonts w:ascii="Courier New" w:eastAsia="menlo" w:hAnsi="Courier New" w:cs="Courier New"/>
          <w:color w:val="000000"/>
          <w:sz w:val="18"/>
        </w:rPr>
        <w:t xml:space="preserve">│  │  (On-chain risk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xml:space="preserve">│  │ scenarios)      │  │  baselining) │  │  scoring, graph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xml:space="preserve">│  └────────┬────────┘  └──────┬───────┘  │  analytics)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xml:space="preserve">│           │                  │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xml:space="preserve">│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xml:space="preserve">│  │                RISK SCORING ENGINE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br/>
        <w:t xml:space="preserve">│  │  (Unified Customer 360 Risk Profile — Fiat + Stablecoin)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br/>
        <w:t xml:space="preserve">│  └────────────────────────────────┬─────────────────────────┘  </w:t>
      </w:r>
      <w:r w:rsidR="006F7CDE">
        <w:rPr>
          <w:rStyle w:val="VerbatimChar"/>
          <w:rFonts w:ascii="Courier New" w:eastAsia="menlo" w:hAnsi="Courier New" w:cs="Courier New"/>
          <w:color w:val="000000"/>
          <w:sz w:val="18"/>
        </w:rPr>
        <w:t xml:space="preserve"> </w:t>
      </w:r>
      <w:r w:rsidRPr="006F7CDE">
        <w:rPr>
          <w:rStyle w:val="VerbatimChar"/>
          <w:rFonts w:ascii="Courier New" w:eastAsia="menlo" w:hAnsi="Courier New" w:cs="Courier New"/>
          <w:color w:val="000000"/>
          <w:sz w:val="18"/>
        </w:rPr>
        <w:t>│</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  │            SANCTIONS &amp; PEP SCREENING MODULE               │  │</w:t>
      </w:r>
      <w:r w:rsidRPr="006F7CDE">
        <w:rPr>
          <w:rStyle w:val="VerbatimChar"/>
          <w:rFonts w:ascii="Courier New" w:eastAsia="menlo" w:hAnsi="Courier New" w:cs="Courier New"/>
          <w:color w:val="000000"/>
          <w:sz w:val="18"/>
        </w:rPr>
        <w:br/>
        <w:t>│  │  (Real-time screening: OFAC, UN, EU, HK + On-chain lists)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  │               TRAVEL RULE ENGINE                          │  │</w:t>
      </w:r>
      <w:r w:rsidRPr="006F7CDE">
        <w:rPr>
          <w:rStyle w:val="VerbatimChar"/>
          <w:rFonts w:ascii="Courier New" w:eastAsia="menlo" w:hAnsi="Courier New" w:cs="Courier New"/>
          <w:color w:val="000000"/>
          <w:sz w:val="18"/>
        </w:rPr>
        <w:br/>
        <w:t>│  │  (ISO 20022 fiat leg + VASP-to-VASP stablecoin leg)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w:t>
      </w:r>
      <w:r w:rsidRPr="006F7CDE">
        <w:rPr>
          <w:rStyle w:val="VerbatimChar"/>
          <w:rFonts w:ascii="Courier New" w:eastAsia="menlo" w:hAnsi="Courier New" w:cs="Courier New"/>
          <w:color w:val="000000"/>
          <w:sz w:val="18"/>
        </w:rPr>
        <w:br/>
        <w:t xml:space="preserve">                                   │</w:t>
      </w:r>
      <w:r w:rsidRPr="006F7CDE">
        <w:rPr>
          <w:rStyle w:val="VerbatimChar"/>
          <w:rFonts w:ascii="Courier New" w:eastAsia="menlo" w:hAnsi="Courier New" w:cs="Courier New"/>
          <w:color w:val="000000"/>
          <w:sz w:val="18"/>
        </w:rPr>
        <w:br/>
        <w:t>┌──────────────────────────────────▼──────────────────────────────┐</w:t>
      </w:r>
      <w:r w:rsidRPr="006F7CDE">
        <w:rPr>
          <w:rStyle w:val="VerbatimChar"/>
          <w:rFonts w:ascii="Courier New" w:eastAsia="menlo" w:hAnsi="Courier New" w:cs="Courier New"/>
          <w:color w:val="000000"/>
          <w:sz w:val="18"/>
        </w:rPr>
        <w:br/>
        <w:t>│                  CASE MANAGEMENT &amp; REPORTING LAYER              │</w:t>
      </w:r>
      <w:r w:rsidRPr="006F7CDE">
        <w:rPr>
          <w:rStyle w:val="VerbatimChar"/>
          <w:rFonts w:ascii="Courier New" w:eastAsia="menlo" w:hAnsi="Courier New" w:cs="Courier New"/>
          <w:color w:val="000000"/>
          <w:sz w:val="18"/>
        </w:rPr>
        <w:br/>
        <w:t>│  ┌─────────────────────┐  ┌───────────────────────────────────┐ │</w:t>
      </w:r>
      <w:r w:rsidRPr="006F7CDE">
        <w:rPr>
          <w:rStyle w:val="VerbatimChar"/>
          <w:rFonts w:ascii="Courier New" w:eastAsia="menlo" w:hAnsi="Courier New" w:cs="Courier New"/>
          <w:color w:val="000000"/>
          <w:sz w:val="18"/>
        </w:rPr>
        <w:br/>
        <w:t>│  │  UNIFIED CASE       │  │   REGULATORY REPORTING MODULE     │ │</w:t>
      </w:r>
      <w:r w:rsidRPr="006F7CDE">
        <w:rPr>
          <w:rStyle w:val="VerbatimChar"/>
          <w:rFonts w:ascii="Courier New" w:eastAsia="menlo" w:hAnsi="Courier New" w:cs="Courier New"/>
          <w:color w:val="000000"/>
          <w:sz w:val="18"/>
        </w:rPr>
        <w:br/>
        <w:t>│  │  MANAGEMENT         │  │   SAR / STR Generation            │ │</w:t>
      </w:r>
      <w:r w:rsidRPr="006F7CDE">
        <w:rPr>
          <w:rStyle w:val="VerbatimChar"/>
          <w:rFonts w:ascii="Courier New" w:eastAsia="menlo" w:hAnsi="Courier New" w:cs="Courier New"/>
          <w:color w:val="000000"/>
          <w:sz w:val="18"/>
        </w:rPr>
        <w:br/>
        <w:t xml:space="preserve">│  │  (Single alert      │  │   HKMA / </w:t>
      </w:r>
      <w:proofErr w:type="spellStart"/>
      <w:r w:rsidRPr="006F7CDE">
        <w:rPr>
          <w:rStyle w:val="VerbatimChar"/>
          <w:rFonts w:ascii="Courier New" w:eastAsia="menlo" w:hAnsi="Courier New" w:cs="Courier New"/>
          <w:color w:val="000000"/>
          <w:sz w:val="18"/>
        </w:rPr>
        <w:t>MiCA</w:t>
      </w:r>
      <w:proofErr w:type="spellEnd"/>
      <w:r w:rsidRPr="006F7CDE">
        <w:rPr>
          <w:rStyle w:val="VerbatimChar"/>
          <w:rFonts w:ascii="Courier New" w:eastAsia="menlo" w:hAnsi="Courier New" w:cs="Courier New"/>
          <w:color w:val="000000"/>
          <w:sz w:val="18"/>
        </w:rPr>
        <w:t xml:space="preserve"> / FinCEN reporting  │ │</w:t>
      </w:r>
      <w:r w:rsidRPr="006F7CDE">
        <w:rPr>
          <w:rStyle w:val="VerbatimChar"/>
          <w:rFonts w:ascii="Courier New" w:eastAsia="menlo" w:hAnsi="Courier New" w:cs="Courier New"/>
          <w:color w:val="000000"/>
          <w:sz w:val="18"/>
        </w:rPr>
        <w:br/>
        <w:t>│  │  queue, RBAC,       │  │   Version-controlled audit logs   │ │</w:t>
      </w:r>
      <w:r w:rsidRPr="006F7CDE">
        <w:rPr>
          <w:rStyle w:val="VerbatimChar"/>
          <w:rFonts w:ascii="Courier New" w:eastAsia="menlo" w:hAnsi="Courier New" w:cs="Courier New"/>
          <w:color w:val="000000"/>
          <w:sz w:val="18"/>
        </w:rPr>
        <w:br/>
      </w:r>
      <w:r w:rsidRPr="006F7CDE">
        <w:rPr>
          <w:rStyle w:val="VerbatimChar"/>
          <w:rFonts w:ascii="Courier New" w:eastAsia="menlo" w:hAnsi="Courier New" w:cs="Courier New"/>
          <w:color w:val="000000"/>
          <w:sz w:val="18"/>
        </w:rPr>
        <w:lastRenderedPageBreak/>
        <w:t>│  │  audit trails)      │  └───────────────────────────────────┘ │</w:t>
      </w:r>
      <w:r w:rsidRPr="006F7CDE">
        <w:rPr>
          <w:rStyle w:val="VerbatimChar"/>
          <w:rFonts w:ascii="Courier New" w:eastAsia="menlo" w:hAnsi="Courier New" w:cs="Courier New"/>
          <w:color w:val="000000"/>
          <w:sz w:val="18"/>
        </w:rPr>
        <w:br/>
        <w:t>│  └─────────────────────┘                                        │</w:t>
      </w:r>
      <w:r w:rsidRPr="006F7CDE">
        <w:rPr>
          <w:rStyle w:val="VerbatimChar"/>
          <w:rFonts w:ascii="Courier New" w:eastAsia="menlo" w:hAnsi="Courier New" w:cs="Courier New"/>
          <w:color w:val="000000"/>
          <w:sz w:val="18"/>
        </w:rPr>
        <w:br/>
        <w:t>└─────────────────────────────────────────────────────────────────┘</w:t>
      </w:r>
      <w:r w:rsidRPr="006F7CDE">
        <w:rPr>
          <w:rStyle w:val="VerbatimChar"/>
          <w:rFonts w:ascii="Courier New" w:eastAsia="menlo" w:hAnsi="Courier New" w:cs="Courier New"/>
          <w:color w:val="000000"/>
          <w:sz w:val="18"/>
        </w:rPr>
        <w:br/>
      </w:r>
    </w:p>
    <w:p w14:paraId="17826EC1" w14:textId="77777777" w:rsidR="00C30896" w:rsidRDefault="00000000">
      <w:pPr>
        <w:spacing w:before="315" w:after="105" w:line="360" w:lineRule="auto"/>
        <w:ind w:left="-30"/>
      </w:pPr>
      <w:bookmarkStart w:id="27" w:name="bm_3_3_3_core_technical_components"/>
      <w:r>
        <w:rPr>
          <w:rFonts w:eastAsia="Georgia" w:hAnsi="Georgia" w:cs="Georgia"/>
          <w:b/>
          <w:color w:val="000000"/>
          <w:sz w:val="24"/>
        </w:rPr>
        <w:t>3.3.3 Core Technical Components</w:t>
      </w:r>
      <w:bookmarkEnd w:id="27"/>
    </w:p>
    <w:p w14:paraId="01DFA015" w14:textId="77777777" w:rsidR="00C30896" w:rsidRDefault="00000000">
      <w:pPr>
        <w:spacing w:after="210" w:line="360" w:lineRule="auto"/>
      </w:pPr>
      <w:r>
        <w:rPr>
          <w:rFonts w:eastAsia="Georgia" w:hAnsi="Georgia" w:cs="Georgia"/>
          <w:b/>
          <w:color w:val="000000"/>
        </w:rPr>
        <w:t xml:space="preserve">A. Data Ingestion and </w:t>
      </w:r>
      <w:proofErr w:type="spellStart"/>
      <w:r>
        <w:rPr>
          <w:rFonts w:eastAsia="Georgia" w:hAnsi="Georgia" w:cs="Georgia"/>
          <w:b/>
          <w:color w:val="000000"/>
        </w:rPr>
        <w:t>Normalisation</w:t>
      </w:r>
      <w:proofErr w:type="spellEnd"/>
    </w:p>
    <w:p w14:paraId="7B0D016B" w14:textId="77777777" w:rsidR="00C30896" w:rsidRDefault="00000000">
      <w:pPr>
        <w:spacing w:after="210" w:line="360" w:lineRule="auto"/>
      </w:pPr>
      <w:r>
        <w:rPr>
          <w:rFonts w:eastAsia="Georgia" w:hAnsi="Georgia" w:cs="Georgia"/>
          <w:color w:val="000000"/>
        </w:rPr>
        <w:t>The platform ingests transactions from multiple sources through an API gateway and event streaming infrastructure:</w:t>
      </w:r>
    </w:p>
    <w:p w14:paraId="3CFC6421" w14:textId="77777777" w:rsidR="00C30896" w:rsidRDefault="00000000">
      <w:pPr>
        <w:numPr>
          <w:ilvl w:val="0"/>
          <w:numId w:val="15"/>
        </w:numPr>
        <w:spacing w:before="105" w:after="105" w:line="360" w:lineRule="auto"/>
      </w:pPr>
      <w:r>
        <w:rPr>
          <w:rFonts w:eastAsia="Georgia" w:hAnsi="Georgia" w:cs="Georgia"/>
          <w:b/>
          <w:color w:val="000000"/>
        </w:rPr>
        <w:t>Fiat sources</w:t>
      </w:r>
      <w:r>
        <w:rPr>
          <w:rFonts w:eastAsia="Georgia" w:hAnsi="Georgia" w:cs="Georgia"/>
          <w:color w:val="000000"/>
        </w:rPr>
        <w:t>: Core banking system feeds, payment network APIs (SWIFT, SEPA, ACH, Faster Payments, card network settlement files)</w:t>
      </w:r>
    </w:p>
    <w:p w14:paraId="399A12F1" w14:textId="77777777" w:rsidR="00C30896" w:rsidRDefault="00000000">
      <w:pPr>
        <w:numPr>
          <w:ilvl w:val="0"/>
          <w:numId w:val="15"/>
        </w:numPr>
        <w:spacing w:before="105" w:after="105" w:line="360" w:lineRule="auto"/>
      </w:pPr>
      <w:r>
        <w:rPr>
          <w:rFonts w:eastAsia="Georgia" w:hAnsi="Georgia" w:cs="Georgia"/>
          <w:b/>
          <w:color w:val="000000"/>
        </w:rPr>
        <w:t>On-chain sources</w:t>
      </w:r>
      <w:r>
        <w:rPr>
          <w:rFonts w:eastAsia="Georgia" w:hAnsi="Georgia" w:cs="Georgia"/>
          <w:color w:val="000000"/>
        </w:rPr>
        <w:t>: Direct node connections or third-party blockchain data providers for Ethereum, Solana, Tron, and other major stablecoin networks; USDC, USDT, and licensed stablecoin token event streams</w:t>
      </w:r>
    </w:p>
    <w:p w14:paraId="66D56FEE" w14:textId="2D1C94F4" w:rsidR="00C30896" w:rsidRDefault="00000000">
      <w:pPr>
        <w:numPr>
          <w:ilvl w:val="0"/>
          <w:numId w:val="15"/>
        </w:numPr>
        <w:spacing w:before="105" w:after="105" w:line="360" w:lineRule="auto"/>
      </w:pPr>
      <w:proofErr w:type="spellStart"/>
      <w:r>
        <w:rPr>
          <w:rFonts w:eastAsia="Georgia" w:hAnsi="Georgia" w:cs="Georgia"/>
          <w:b/>
          <w:color w:val="000000"/>
        </w:rPr>
        <w:t>Normalisation</w:t>
      </w:r>
      <w:proofErr w:type="spellEnd"/>
      <w:r>
        <w:rPr>
          <w:rFonts w:eastAsia="Georgia" w:hAnsi="Georgia" w:cs="Georgia"/>
          <w:color w:val="000000"/>
        </w:rPr>
        <w:t>: All events are mapped to a unified transaction schema using ISO 20022 as the structural reference, enabling consistent field mapping across rail types</w:t>
      </w:r>
    </w:p>
    <w:p w14:paraId="2533E923" w14:textId="68806461" w:rsidR="00C30896" w:rsidRDefault="00000000">
      <w:pPr>
        <w:numPr>
          <w:ilvl w:val="0"/>
          <w:numId w:val="15"/>
        </w:numPr>
        <w:spacing w:before="105" w:after="105" w:line="360" w:lineRule="auto"/>
      </w:pPr>
      <w:r>
        <w:rPr>
          <w:rFonts w:eastAsia="Georgia" w:hAnsi="Georgia" w:cs="Georgia"/>
          <w:b/>
          <w:color w:val="000000"/>
        </w:rPr>
        <w:t>Message streaming</w:t>
      </w:r>
      <w:r>
        <w:rPr>
          <w:rFonts w:eastAsia="Georgia" w:hAnsi="Georgia" w:cs="Georgia"/>
          <w:color w:val="000000"/>
        </w:rPr>
        <w:t>: Apache Kafka or equivalent event-streaming infrastructure supports asynchronous, high-volume ingestion without creating bottlenecks</w:t>
      </w:r>
    </w:p>
    <w:p w14:paraId="538397DD" w14:textId="77777777" w:rsidR="00C30896" w:rsidRDefault="00000000">
      <w:pPr>
        <w:spacing w:after="210" w:line="360" w:lineRule="auto"/>
      </w:pPr>
      <w:r>
        <w:rPr>
          <w:rFonts w:eastAsia="Georgia" w:hAnsi="Georgia" w:cs="Georgia"/>
          <w:b/>
          <w:color w:val="000000"/>
        </w:rPr>
        <w:t>B. AI-Augmented Transaction Monitoring Engine</w:t>
      </w:r>
    </w:p>
    <w:p w14:paraId="7A65E34E" w14:textId="77777777" w:rsidR="00C30896" w:rsidRDefault="00000000">
      <w:pPr>
        <w:spacing w:after="210" w:line="360" w:lineRule="auto"/>
      </w:pPr>
      <w:r>
        <w:rPr>
          <w:rFonts w:eastAsia="Georgia" w:hAnsi="Georgia" w:cs="Georgia"/>
          <w:color w:val="000000"/>
        </w:rPr>
        <w:t>The monitoring engine combines rule-based and machine-learning approaches in a hybrid architecture:</w:t>
      </w:r>
    </w:p>
    <w:p w14:paraId="31CE285D" w14:textId="4375714E" w:rsidR="00C30896" w:rsidRDefault="00000000">
      <w:pPr>
        <w:numPr>
          <w:ilvl w:val="0"/>
          <w:numId w:val="16"/>
        </w:numPr>
        <w:spacing w:before="105" w:after="105" w:line="360" w:lineRule="auto"/>
      </w:pPr>
      <w:r>
        <w:rPr>
          <w:rFonts w:eastAsia="Georgia" w:hAnsi="Georgia" w:cs="Georgia"/>
          <w:b/>
          <w:color w:val="000000"/>
        </w:rPr>
        <w:t>Rule-based layer</w:t>
      </w:r>
      <w:r>
        <w:rPr>
          <w:rFonts w:eastAsia="Georgia" w:hAnsi="Georgia" w:cs="Georgia"/>
          <w:color w:val="000000"/>
        </w:rPr>
        <w:t>: Configurable detection scenarios covering structuring, velocity breaches, high-risk jurisdiction flows, and known typologies — mapped to FATF red flag indicators and jurisdiction-specific guidance</w:t>
      </w:r>
    </w:p>
    <w:p w14:paraId="4CEF4988" w14:textId="11E8FECF" w:rsidR="00C30896" w:rsidRDefault="00000000">
      <w:pPr>
        <w:numPr>
          <w:ilvl w:val="0"/>
          <w:numId w:val="16"/>
        </w:numPr>
        <w:spacing w:before="105" w:after="105" w:line="360" w:lineRule="auto"/>
      </w:pPr>
      <w:r>
        <w:rPr>
          <w:rFonts w:eastAsia="Georgia" w:hAnsi="Georgia" w:cs="Georgia"/>
          <w:b/>
          <w:color w:val="000000"/>
        </w:rPr>
        <w:t>Machine learning layer</w:t>
      </w:r>
      <w:r>
        <w:rPr>
          <w:rFonts w:eastAsia="Georgia" w:hAnsi="Georgia" w:cs="Georgia"/>
          <w:color w:val="000000"/>
        </w:rPr>
        <w:t xml:space="preserve">: </w:t>
      </w:r>
      <w:proofErr w:type="spellStart"/>
      <w:r>
        <w:rPr>
          <w:rFonts w:eastAsia="Georgia" w:hAnsi="Georgia" w:cs="Georgia"/>
          <w:color w:val="000000"/>
        </w:rPr>
        <w:t>Behavioural</w:t>
      </w:r>
      <w:proofErr w:type="spellEnd"/>
      <w:r>
        <w:rPr>
          <w:rFonts w:eastAsia="Georgia" w:hAnsi="Georgia" w:cs="Georgia"/>
          <w:color w:val="000000"/>
        </w:rPr>
        <w:t xml:space="preserve"> baselining models that learn what is "normal" for each customer across both rails, flagging deviations rather than absolute thresholds. This approach is the primary driver of false positive </w:t>
      </w:r>
      <w:proofErr w:type="gramStart"/>
      <w:r>
        <w:rPr>
          <w:rFonts w:eastAsia="Georgia" w:hAnsi="Georgia" w:cs="Georgia"/>
          <w:color w:val="000000"/>
        </w:rPr>
        <w:t>reduction — a</w:t>
      </w:r>
      <w:proofErr w:type="gramEnd"/>
      <w:r>
        <w:rPr>
          <w:rFonts w:eastAsia="Georgia" w:hAnsi="Georgia" w:cs="Georgia"/>
          <w:color w:val="000000"/>
        </w:rPr>
        <w:t xml:space="preserve"> $20,000 payment is suspicious only if it is unusual for that specific customer</w:t>
      </w:r>
    </w:p>
    <w:p w14:paraId="12E4C6C4" w14:textId="2C442B08" w:rsidR="00C30896" w:rsidRDefault="00000000">
      <w:pPr>
        <w:numPr>
          <w:ilvl w:val="0"/>
          <w:numId w:val="16"/>
        </w:numPr>
        <w:spacing w:before="105" w:after="105" w:line="360" w:lineRule="auto"/>
      </w:pPr>
      <w:r>
        <w:rPr>
          <w:rFonts w:eastAsia="Georgia" w:hAnsi="Georgia" w:cs="Georgia"/>
          <w:b/>
          <w:color w:val="000000"/>
        </w:rPr>
        <w:t>Graph analytics</w:t>
      </w:r>
      <w:r>
        <w:rPr>
          <w:rFonts w:eastAsia="Georgia" w:hAnsi="Georgia" w:cs="Georgia"/>
          <w:color w:val="000000"/>
        </w:rPr>
        <w:t>: Network relationship analysis to detect hidden connections between entities, mule account clusters, and layering networks that are invisible in transaction-level analysis</w:t>
      </w:r>
    </w:p>
    <w:p w14:paraId="6DAA174E" w14:textId="003A3107" w:rsidR="00C30896" w:rsidRDefault="00000000">
      <w:pPr>
        <w:numPr>
          <w:ilvl w:val="0"/>
          <w:numId w:val="16"/>
        </w:numPr>
        <w:spacing w:before="105" w:after="105" w:line="360" w:lineRule="auto"/>
      </w:pPr>
      <w:r>
        <w:rPr>
          <w:rFonts w:eastAsia="Georgia" w:hAnsi="Georgia" w:cs="Georgia"/>
          <w:b/>
          <w:color w:val="000000"/>
        </w:rPr>
        <w:t>Continuous model calibration</w:t>
      </w:r>
      <w:r>
        <w:rPr>
          <w:rFonts w:eastAsia="Georgia" w:hAnsi="Georgia" w:cs="Georgia"/>
          <w:color w:val="000000"/>
        </w:rPr>
        <w:t>: Models retrained on a rolling basis using confirmed case outcomes; all model versions version-controlled and subject to model governance review</w:t>
      </w:r>
    </w:p>
    <w:p w14:paraId="314CFDD4" w14:textId="77777777" w:rsidR="00C30896" w:rsidRDefault="00000000">
      <w:pPr>
        <w:spacing w:after="210" w:line="360" w:lineRule="auto"/>
      </w:pPr>
      <w:r>
        <w:rPr>
          <w:rFonts w:eastAsia="Georgia" w:hAnsi="Georgia" w:cs="Georgia"/>
          <w:b/>
          <w:color w:val="000000"/>
        </w:rPr>
        <w:lastRenderedPageBreak/>
        <w:t>C. Blockchain Analytics Integration</w:t>
      </w:r>
    </w:p>
    <w:p w14:paraId="71B27678" w14:textId="345F0F3C" w:rsidR="00C30896" w:rsidRDefault="00000000">
      <w:pPr>
        <w:spacing w:after="210" w:line="360" w:lineRule="auto"/>
      </w:pPr>
      <w:r>
        <w:rPr>
          <w:rFonts w:eastAsia="Georgia" w:hAnsi="Georgia" w:cs="Georgia"/>
          <w:color w:val="000000"/>
        </w:rPr>
        <w:t xml:space="preserve">On-chain risk intelligence is integrated via API from </w:t>
      </w:r>
      <w:proofErr w:type="spellStart"/>
      <w:r>
        <w:rPr>
          <w:rFonts w:eastAsia="Georgia" w:hAnsi="Georgia" w:cs="Georgia"/>
          <w:color w:val="000000"/>
        </w:rPr>
        <w:t>specialised</w:t>
      </w:r>
      <w:proofErr w:type="spellEnd"/>
      <w:r>
        <w:rPr>
          <w:rFonts w:eastAsia="Georgia" w:hAnsi="Georgia" w:cs="Georgia"/>
          <w:color w:val="000000"/>
        </w:rPr>
        <w:t xml:space="preserve"> blockchain analytics providers (e.g., </w:t>
      </w:r>
      <w:proofErr w:type="spellStart"/>
      <w:r>
        <w:rPr>
          <w:rFonts w:eastAsia="Georgia" w:hAnsi="Georgia" w:cs="Georgia"/>
          <w:color w:val="000000"/>
        </w:rPr>
        <w:t>Chainalysis</w:t>
      </w:r>
      <w:proofErr w:type="spellEnd"/>
      <w:r>
        <w:rPr>
          <w:rFonts w:eastAsia="Georgia" w:hAnsi="Georgia" w:cs="Georgia"/>
          <w:color w:val="000000"/>
        </w:rPr>
        <w:t xml:space="preserve">, Elliptic, </w:t>
      </w:r>
      <w:proofErr w:type="spellStart"/>
      <w:r>
        <w:rPr>
          <w:rFonts w:eastAsia="Georgia" w:hAnsi="Georgia" w:cs="Georgia"/>
          <w:color w:val="000000"/>
        </w:rPr>
        <w:t>Scorechain</w:t>
      </w:r>
      <w:proofErr w:type="spellEnd"/>
      <w:r>
        <w:rPr>
          <w:rFonts w:eastAsia="Georgia" w:hAnsi="Georgia" w:cs="Georgia"/>
          <w:color w:val="000000"/>
        </w:rPr>
        <w:t>), supplemented by the platform's own on-chain monitoring</w:t>
      </w:r>
      <w:r w:rsidR="006F7CDE">
        <w:rPr>
          <w:rFonts w:eastAsia="Georgia" w:hAnsi="Georgia" w:cs="Georgia"/>
          <w:color w:val="000000"/>
        </w:rPr>
        <w:t>:</w:t>
      </w:r>
    </w:p>
    <w:p w14:paraId="6677CC3B" w14:textId="77777777" w:rsidR="00C30896" w:rsidRDefault="00000000">
      <w:pPr>
        <w:numPr>
          <w:ilvl w:val="0"/>
          <w:numId w:val="17"/>
        </w:numPr>
        <w:spacing w:before="105" w:after="105" w:line="360" w:lineRule="auto"/>
      </w:pPr>
      <w:r>
        <w:rPr>
          <w:rFonts w:eastAsia="Georgia" w:hAnsi="Georgia" w:cs="Georgia"/>
          <w:b/>
          <w:color w:val="000000"/>
        </w:rPr>
        <w:t>Wallet risk scoring</w:t>
      </w:r>
      <w:r>
        <w:rPr>
          <w:rFonts w:eastAsia="Georgia" w:hAnsi="Georgia" w:cs="Georgia"/>
          <w:color w:val="000000"/>
        </w:rPr>
        <w:t>: Each wallet address involved in a stablecoin transaction receives a risk score based on its transaction history, exposure to dark markets, exchanges, mixers, and sanctioned entities</w:t>
      </w:r>
    </w:p>
    <w:p w14:paraId="1CE2F057" w14:textId="77777777" w:rsidR="00C30896" w:rsidRDefault="00000000">
      <w:pPr>
        <w:numPr>
          <w:ilvl w:val="0"/>
          <w:numId w:val="17"/>
        </w:numPr>
        <w:spacing w:before="105" w:after="105" w:line="360" w:lineRule="auto"/>
      </w:pPr>
      <w:r>
        <w:rPr>
          <w:rFonts w:eastAsia="Georgia" w:hAnsi="Georgia" w:cs="Georgia"/>
          <w:b/>
          <w:color w:val="000000"/>
        </w:rPr>
        <w:t>Taint analysis</w:t>
      </w:r>
      <w:r>
        <w:rPr>
          <w:rFonts w:eastAsia="Georgia" w:hAnsi="Georgia" w:cs="Georgia"/>
          <w:color w:val="000000"/>
        </w:rPr>
        <w:t xml:space="preserve">: Funds tracing using proportional taint scoring to assess the </w:t>
      </w:r>
      <w:proofErr w:type="gramStart"/>
      <w:r>
        <w:rPr>
          <w:rFonts w:eastAsia="Georgia" w:hAnsi="Georgia" w:cs="Georgia"/>
          <w:color w:val="000000"/>
        </w:rPr>
        <w:t>provenance</w:t>
      </w:r>
      <w:proofErr w:type="gramEnd"/>
      <w:r>
        <w:rPr>
          <w:rFonts w:eastAsia="Georgia" w:hAnsi="Georgia" w:cs="Georgia"/>
          <w:color w:val="000000"/>
        </w:rPr>
        <w:t xml:space="preserve"> of received funds</w:t>
      </w:r>
    </w:p>
    <w:p w14:paraId="492B0B94" w14:textId="77777777" w:rsidR="00C30896" w:rsidRDefault="00000000">
      <w:pPr>
        <w:numPr>
          <w:ilvl w:val="0"/>
          <w:numId w:val="17"/>
        </w:numPr>
        <w:spacing w:before="105" w:after="105" w:line="360" w:lineRule="auto"/>
      </w:pPr>
      <w:r>
        <w:rPr>
          <w:rFonts w:eastAsia="Georgia" w:hAnsi="Georgia" w:cs="Georgia"/>
          <w:b/>
          <w:color w:val="000000"/>
        </w:rPr>
        <w:t>Entity attribution</w:t>
      </w:r>
      <w:r>
        <w:rPr>
          <w:rFonts w:eastAsia="Georgia" w:hAnsi="Georgia" w:cs="Georgia"/>
          <w:color w:val="000000"/>
        </w:rPr>
        <w:t>: Wallet addresses matched to known entities (exchanges, VASPs, institutional wallets) for counterparty due diligence</w:t>
      </w:r>
    </w:p>
    <w:p w14:paraId="1367FBAB" w14:textId="2EB11582" w:rsidR="00C30896" w:rsidRDefault="00000000">
      <w:pPr>
        <w:numPr>
          <w:ilvl w:val="0"/>
          <w:numId w:val="17"/>
        </w:numPr>
        <w:spacing w:before="105" w:after="105" w:line="360" w:lineRule="auto"/>
      </w:pPr>
      <w:r>
        <w:rPr>
          <w:rFonts w:eastAsia="Georgia" w:hAnsi="Georgia" w:cs="Georgia"/>
          <w:b/>
          <w:color w:val="000000"/>
        </w:rPr>
        <w:t>Ecosystem monitoring feeds</w:t>
      </w:r>
      <w:r>
        <w:rPr>
          <w:rFonts w:eastAsia="Georgia" w:hAnsi="Georgia" w:cs="Georgia"/>
          <w:color w:val="000000"/>
        </w:rPr>
        <w:t>: Continuous on-chain monitoring of stablecoins in circulation, feeding back into the unified risk engine</w:t>
      </w:r>
      <w:r w:rsidR="006F7CDE">
        <w:rPr>
          <w:rFonts w:eastAsia="Georgia" w:hAnsi="Georgia" w:cs="Georgia"/>
          <w:color w:val="000000"/>
        </w:rPr>
        <w:t xml:space="preserve"> </w:t>
      </w:r>
    </w:p>
    <w:p w14:paraId="172E8CDD" w14:textId="77777777" w:rsidR="00C30896" w:rsidRDefault="00000000">
      <w:pPr>
        <w:spacing w:after="210" w:line="360" w:lineRule="auto"/>
      </w:pPr>
      <w:r>
        <w:rPr>
          <w:rFonts w:eastAsia="Georgia" w:hAnsi="Georgia" w:cs="Georgia"/>
          <w:b/>
          <w:color w:val="000000"/>
        </w:rPr>
        <w:t>D. Microservices Architecture and Scalability</w:t>
      </w:r>
    </w:p>
    <w:p w14:paraId="6FDEC789" w14:textId="504A9AA0" w:rsidR="00C30896" w:rsidRDefault="00000000">
      <w:pPr>
        <w:spacing w:after="210" w:line="360" w:lineRule="auto"/>
      </w:pPr>
      <w:r>
        <w:rPr>
          <w:rFonts w:eastAsia="Georgia" w:hAnsi="Georgia" w:cs="Georgia"/>
          <w:color w:val="000000"/>
        </w:rPr>
        <w:t>The platform is built on a microservices architecture to support modularity, independent scaling, and continuous deployment</w:t>
      </w:r>
      <w:r w:rsidR="006F7CDE">
        <w:rPr>
          <w:rFonts w:eastAsia="Georgia" w:hAnsi="Georgia" w:cs="Georgia"/>
          <w:color w:val="000000"/>
        </w:rPr>
        <w:t>:</w:t>
      </w:r>
    </w:p>
    <w:p w14:paraId="5099B706" w14:textId="77777777" w:rsidR="00C30896" w:rsidRDefault="00000000">
      <w:pPr>
        <w:numPr>
          <w:ilvl w:val="0"/>
          <w:numId w:val="18"/>
        </w:numPr>
        <w:spacing w:before="105" w:after="105" w:line="360" w:lineRule="auto"/>
      </w:pPr>
      <w:r>
        <w:rPr>
          <w:rFonts w:eastAsia="Georgia" w:hAnsi="Georgia" w:cs="Georgia"/>
          <w:color w:val="000000"/>
        </w:rPr>
        <w:t>Each functional domain (ingestion, monitoring, screening, Travel Rule, case management, reporting) operates as an independent service</w:t>
      </w:r>
    </w:p>
    <w:p w14:paraId="340F3C85" w14:textId="77777777" w:rsidR="00C30896" w:rsidRDefault="00000000">
      <w:pPr>
        <w:numPr>
          <w:ilvl w:val="0"/>
          <w:numId w:val="18"/>
        </w:numPr>
        <w:spacing w:before="105" w:after="105" w:line="360" w:lineRule="auto"/>
      </w:pPr>
      <w:r>
        <w:rPr>
          <w:rFonts w:eastAsia="Georgia" w:hAnsi="Georgia" w:cs="Georgia"/>
          <w:color w:val="000000"/>
        </w:rPr>
        <w:t>Services communicate via RESTful APIs for synchronous operations and event streams for asynchronous processing</w:t>
      </w:r>
    </w:p>
    <w:p w14:paraId="47917DE7" w14:textId="77777777" w:rsidR="00C30896" w:rsidRDefault="00000000">
      <w:pPr>
        <w:numPr>
          <w:ilvl w:val="0"/>
          <w:numId w:val="18"/>
        </w:numPr>
        <w:spacing w:before="105" w:after="105" w:line="360" w:lineRule="auto"/>
      </w:pPr>
      <w:r>
        <w:rPr>
          <w:rFonts w:eastAsia="Georgia" w:hAnsi="Georgia" w:cs="Georgia"/>
          <w:color w:val="000000"/>
        </w:rPr>
        <w:t>Container orchestration (Kubernetes) enables horizontal scaling of compute-intensive components during peak transaction volumes</w:t>
      </w:r>
    </w:p>
    <w:p w14:paraId="3397DA9D" w14:textId="29A31DE0" w:rsidR="00C30896" w:rsidRDefault="00000000">
      <w:pPr>
        <w:numPr>
          <w:ilvl w:val="0"/>
          <w:numId w:val="18"/>
        </w:numPr>
        <w:spacing w:before="105" w:after="105" w:line="360" w:lineRule="auto"/>
      </w:pPr>
      <w:r>
        <w:rPr>
          <w:rFonts w:eastAsia="Georgia" w:hAnsi="Georgia" w:cs="Georgia"/>
          <w:color w:val="000000"/>
        </w:rPr>
        <w:t>API gateway provides unified entry point with authentication, rate limiting, and request routing</w:t>
      </w:r>
    </w:p>
    <w:p w14:paraId="63AA8EC0" w14:textId="5BCFDCD0" w:rsidR="00C30896" w:rsidRDefault="00000000">
      <w:pPr>
        <w:numPr>
          <w:ilvl w:val="0"/>
          <w:numId w:val="18"/>
        </w:numPr>
        <w:spacing w:before="105" w:after="105" w:line="360" w:lineRule="auto"/>
      </w:pPr>
      <w:r>
        <w:rPr>
          <w:rFonts w:eastAsia="Georgia" w:hAnsi="Georgia" w:cs="Georgia"/>
          <w:color w:val="000000"/>
        </w:rPr>
        <w:t>Near-100% uptime SLA, supporting 24/7 blockchain monitoring without maintenance windows</w:t>
      </w:r>
    </w:p>
    <w:p w14:paraId="21335429" w14:textId="77777777" w:rsidR="00C30896" w:rsidRDefault="00000000">
      <w:pPr>
        <w:spacing w:after="210" w:line="360" w:lineRule="auto"/>
      </w:pPr>
      <w:r>
        <w:rPr>
          <w:rFonts w:eastAsia="Georgia" w:hAnsi="Georgia" w:cs="Georgia"/>
          <w:b/>
          <w:color w:val="000000"/>
        </w:rPr>
        <w:t>E. Case Management and Audit</w:t>
      </w:r>
    </w:p>
    <w:p w14:paraId="49307EC3" w14:textId="77777777" w:rsidR="00C30896" w:rsidRDefault="00000000">
      <w:pPr>
        <w:numPr>
          <w:ilvl w:val="0"/>
          <w:numId w:val="19"/>
        </w:numPr>
        <w:spacing w:before="105" w:after="105" w:line="360" w:lineRule="auto"/>
      </w:pPr>
      <w:r>
        <w:rPr>
          <w:rFonts w:eastAsia="Georgia" w:hAnsi="Georgia" w:cs="Georgia"/>
          <w:b/>
          <w:color w:val="000000"/>
        </w:rPr>
        <w:t>Unified alert queue</w:t>
      </w:r>
      <w:r>
        <w:rPr>
          <w:rFonts w:eastAsia="Georgia" w:hAnsi="Georgia" w:cs="Georgia"/>
          <w:color w:val="000000"/>
        </w:rPr>
        <w:t>: All alerts — whether triggered by fiat or stablecoin activity — feed into a single case management interface, with full cross-rail transaction history visible to the investigating analyst</w:t>
      </w:r>
    </w:p>
    <w:p w14:paraId="647BDED2" w14:textId="77777777" w:rsidR="00C30896" w:rsidRDefault="00000000">
      <w:pPr>
        <w:numPr>
          <w:ilvl w:val="0"/>
          <w:numId w:val="19"/>
        </w:numPr>
        <w:spacing w:before="105" w:after="105" w:line="360" w:lineRule="auto"/>
      </w:pPr>
      <w:r>
        <w:rPr>
          <w:rFonts w:eastAsia="Georgia" w:hAnsi="Georgia" w:cs="Georgia"/>
          <w:b/>
          <w:color w:val="000000"/>
        </w:rPr>
        <w:t>Role-based access control (RBAC)</w:t>
      </w:r>
      <w:r>
        <w:rPr>
          <w:rFonts w:eastAsia="Georgia" w:hAnsi="Georgia" w:cs="Georgia"/>
          <w:color w:val="000000"/>
        </w:rPr>
        <w:t>: Tiered access for analysts, managers, compliance officers, and external auditors</w:t>
      </w:r>
    </w:p>
    <w:p w14:paraId="7F201246" w14:textId="77777777" w:rsidR="00C30896" w:rsidRDefault="00000000">
      <w:pPr>
        <w:numPr>
          <w:ilvl w:val="0"/>
          <w:numId w:val="19"/>
        </w:numPr>
        <w:spacing w:before="105" w:after="105" w:line="360" w:lineRule="auto"/>
      </w:pPr>
      <w:r>
        <w:rPr>
          <w:rFonts w:eastAsia="Georgia" w:hAnsi="Georgia" w:cs="Georgia"/>
          <w:b/>
          <w:color w:val="000000"/>
        </w:rPr>
        <w:lastRenderedPageBreak/>
        <w:t>Audit trail</w:t>
      </w:r>
      <w:r>
        <w:rPr>
          <w:rFonts w:eastAsia="Georgia" w:hAnsi="Georgia" w:cs="Georgia"/>
          <w:color w:val="000000"/>
        </w:rPr>
        <w:t>: Every transaction event, alert disposition, rule change, and model update is immutably logged with user identity, timestamp, and justification</w:t>
      </w:r>
    </w:p>
    <w:p w14:paraId="0C6A0E87" w14:textId="77777777" w:rsidR="00C30896" w:rsidRDefault="00000000">
      <w:pPr>
        <w:numPr>
          <w:ilvl w:val="0"/>
          <w:numId w:val="19"/>
        </w:numPr>
        <w:spacing w:before="105" w:after="105" w:line="360" w:lineRule="auto"/>
      </w:pPr>
      <w:r>
        <w:rPr>
          <w:rFonts w:eastAsia="Georgia" w:hAnsi="Georgia" w:cs="Georgia"/>
          <w:b/>
          <w:color w:val="000000"/>
        </w:rPr>
        <w:t>Configurable investigation templates</w:t>
      </w:r>
      <w:r>
        <w:rPr>
          <w:rFonts w:eastAsia="Georgia" w:hAnsi="Georgia" w:cs="Georgia"/>
          <w:color w:val="000000"/>
        </w:rPr>
        <w:t>: Jurisdiction-specific case templates aligned with HKMA, FIU, and FinCEN investigation requirements</w:t>
      </w:r>
    </w:p>
    <w:p w14:paraId="5BBC17B3" w14:textId="77777777" w:rsidR="00C30896" w:rsidRDefault="00000000">
      <w:pPr>
        <w:numPr>
          <w:ilvl w:val="0"/>
          <w:numId w:val="19"/>
        </w:numPr>
        <w:spacing w:before="105" w:after="105" w:line="360" w:lineRule="auto"/>
      </w:pPr>
      <w:r>
        <w:rPr>
          <w:rFonts w:eastAsia="Georgia" w:hAnsi="Georgia" w:cs="Georgia"/>
          <w:b/>
          <w:color w:val="000000"/>
        </w:rPr>
        <w:t>SAR/STR automation</w:t>
      </w:r>
      <w:r>
        <w:rPr>
          <w:rFonts w:eastAsia="Georgia" w:hAnsi="Georgia" w:cs="Georgia"/>
          <w:color w:val="000000"/>
        </w:rPr>
        <w:t>: Pre-populated regulatory reports generated from case data, reducing filing time and improving accuracy</w:t>
      </w:r>
    </w:p>
    <w:p w14:paraId="59E612E1" w14:textId="77777777" w:rsidR="00C30896" w:rsidRDefault="00000000">
      <w:pPr>
        <w:spacing w:before="210" w:after="0" w:line="360" w:lineRule="auto"/>
      </w:pPr>
      <w:r>
        <w:rPr>
          <w:noProof/>
        </w:rPr>
      </w:r>
      <w:r>
        <w:rPr>
          <w:noProof/>
        </w:rPr>
        <w:pict w14:anchorId="2B20892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6F2E4F" w14:textId="77777777" w:rsidR="00C30896" w:rsidRDefault="00000000">
      <w:pPr>
        <w:spacing w:before="315" w:after="105" w:line="360" w:lineRule="auto"/>
        <w:ind w:left="-30"/>
      </w:pPr>
      <w:bookmarkStart w:id="28" w:name="bm_4_implementation_roadmap"/>
      <w:r>
        <w:rPr>
          <w:rFonts w:eastAsia="Georgia" w:hAnsi="Georgia" w:cs="Georgia"/>
          <w:b/>
          <w:color w:val="000000"/>
          <w:sz w:val="24"/>
        </w:rPr>
        <w:t>4. Implementation Roadmap</w:t>
      </w:r>
      <w:bookmarkEnd w:id="28"/>
    </w:p>
    <w:p w14:paraId="46506E1B" w14:textId="3EA30676" w:rsidR="00C30896" w:rsidRDefault="00000000">
      <w:pPr>
        <w:spacing w:after="210" w:line="360" w:lineRule="auto"/>
      </w:pPr>
      <w:r>
        <w:rPr>
          <w:rFonts w:eastAsia="Georgia" w:hAnsi="Georgia" w:cs="Georgia"/>
          <w:color w:val="000000"/>
        </w:rPr>
        <w:t>Project Overwatch is proposed as a three-phase implementation over 18 months, aligned with the KPMG stablecoin implementation framework:</w:t>
      </w:r>
    </w:p>
    <w:p w14:paraId="169CE0BF" w14:textId="77777777" w:rsidR="00C30896" w:rsidRDefault="00000000">
      <w:pPr>
        <w:spacing w:before="315" w:after="105" w:line="360" w:lineRule="auto"/>
        <w:ind w:left="-30"/>
      </w:pPr>
      <w:bookmarkStart w:id="29" w:name="phase_1_foundation_months_1_6"/>
      <w:r>
        <w:rPr>
          <w:rFonts w:eastAsia="Georgia" w:hAnsi="Georgia" w:cs="Georgia"/>
          <w:b/>
          <w:color w:val="000000"/>
          <w:sz w:val="24"/>
        </w:rPr>
        <w:t>Phase 1: Foundation (Months 1–6)</w:t>
      </w:r>
      <w:bookmarkEnd w:id="29"/>
    </w:p>
    <w:p w14:paraId="1B66B82F" w14:textId="77777777" w:rsidR="00C30896" w:rsidRDefault="00000000">
      <w:pPr>
        <w:spacing w:after="210" w:line="360" w:lineRule="auto"/>
      </w:pPr>
      <w:r>
        <w:rPr>
          <w:rFonts w:eastAsia="Georgia" w:hAnsi="Georgia" w:cs="Georgia"/>
          <w:b/>
          <w:color w:val="000000"/>
        </w:rPr>
        <w:t>Core Infrastructure and Fiat Monitoring Enhancement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69"/>
        <w:gridCol w:w="6061"/>
      </w:tblGrid>
      <w:tr w:rsidR="00C30896" w14:paraId="4D3CA0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B4B0C6" w14:textId="77777777" w:rsidR="00C30896" w:rsidRDefault="00000000">
            <w:pPr>
              <w:spacing w:line="360" w:lineRule="auto"/>
            </w:pPr>
            <w:r>
              <w:rPr>
                <w:rFonts w:ascii="helvetica neue" w:eastAsia="helvetica neue" w:hAnsi="helvetica neue" w:cs="helvetica neue"/>
                <w:color w:val="000000"/>
                <w:sz w:val="17"/>
              </w:rPr>
              <w:t>Workstream</w:t>
            </w:r>
          </w:p>
        </w:tc>
        <w:tc>
          <w:tcPr>
            <w:tcW w:w="0" w:type="auto"/>
            <w:tcBorders>
              <w:top w:val="single" w:sz="1" w:space="0" w:color="000000"/>
              <w:bottom w:val="single" w:sz="1" w:space="0" w:color="000000"/>
            </w:tcBorders>
          </w:tcPr>
          <w:p w14:paraId="04EE83A2" w14:textId="77777777" w:rsidR="00C30896" w:rsidRDefault="00000000">
            <w:pPr>
              <w:spacing w:line="360" w:lineRule="auto"/>
            </w:pPr>
            <w:r>
              <w:rPr>
                <w:rFonts w:ascii="helvetica neue" w:eastAsia="helvetica neue" w:hAnsi="helvetica neue" w:cs="helvetica neue"/>
                <w:color w:val="000000"/>
                <w:sz w:val="17"/>
              </w:rPr>
              <w:t>Deliverable</w:t>
            </w:r>
          </w:p>
        </w:tc>
      </w:tr>
      <w:tr w:rsidR="00C30896" w14:paraId="75C05A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DEFB53" w14:textId="77777777" w:rsidR="00C30896" w:rsidRDefault="00000000">
            <w:pPr>
              <w:spacing w:line="360" w:lineRule="auto"/>
            </w:pPr>
            <w:r>
              <w:rPr>
                <w:rFonts w:ascii="helvetica neue" w:eastAsia="helvetica neue" w:hAnsi="helvetica neue" w:cs="helvetica neue"/>
                <w:color w:val="000000"/>
                <w:sz w:val="17"/>
              </w:rPr>
              <w:t>Data architecture</w:t>
            </w:r>
          </w:p>
        </w:tc>
        <w:tc>
          <w:tcPr>
            <w:tcW w:w="0" w:type="auto"/>
            <w:tcBorders>
              <w:top w:val="single" w:sz="1" w:space="0" w:color="000000"/>
              <w:bottom w:val="single" w:sz="1" w:space="0" w:color="000000"/>
            </w:tcBorders>
          </w:tcPr>
          <w:p w14:paraId="6A5C65F5" w14:textId="77777777" w:rsidR="00C30896" w:rsidRDefault="00000000">
            <w:pPr>
              <w:spacing w:line="360" w:lineRule="auto"/>
            </w:pPr>
            <w:r>
              <w:rPr>
                <w:rFonts w:ascii="helvetica neue" w:eastAsia="helvetica neue" w:hAnsi="helvetica neue" w:cs="helvetica neue"/>
                <w:color w:val="000000"/>
                <w:sz w:val="17"/>
              </w:rPr>
              <w:t>Common transaction schema; API gateway; Kafka event streaming setup</w:t>
            </w:r>
          </w:p>
        </w:tc>
      </w:tr>
      <w:tr w:rsidR="00C30896" w14:paraId="05AE78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680213" w14:textId="77777777" w:rsidR="00C30896" w:rsidRDefault="00000000">
            <w:pPr>
              <w:spacing w:line="360" w:lineRule="auto"/>
            </w:pPr>
            <w:r>
              <w:rPr>
                <w:rFonts w:ascii="helvetica neue" w:eastAsia="helvetica neue" w:hAnsi="helvetica neue" w:cs="helvetica neue"/>
                <w:color w:val="000000"/>
                <w:sz w:val="17"/>
              </w:rPr>
              <w:t>Fiat monitoring uplift</w:t>
            </w:r>
          </w:p>
        </w:tc>
        <w:tc>
          <w:tcPr>
            <w:tcW w:w="0" w:type="auto"/>
            <w:tcBorders>
              <w:top w:val="single" w:sz="1" w:space="0" w:color="000000"/>
              <w:bottom w:val="single" w:sz="1" w:space="0" w:color="000000"/>
            </w:tcBorders>
          </w:tcPr>
          <w:p w14:paraId="04247523" w14:textId="77777777" w:rsidR="00C30896" w:rsidRDefault="00000000">
            <w:pPr>
              <w:spacing w:line="360" w:lineRule="auto"/>
            </w:pPr>
            <w:r>
              <w:rPr>
                <w:rFonts w:ascii="helvetica neue" w:eastAsia="helvetica neue" w:hAnsi="helvetica neue" w:cs="helvetica neue"/>
                <w:color w:val="000000"/>
                <w:sz w:val="17"/>
              </w:rPr>
              <w:t>Migration of existing fiat TM rules to new unified engine; RBAC configuration</w:t>
            </w:r>
          </w:p>
        </w:tc>
      </w:tr>
      <w:tr w:rsidR="00C30896" w14:paraId="5A3C1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4967AE" w14:textId="77777777" w:rsidR="00C30896" w:rsidRDefault="00000000">
            <w:pPr>
              <w:spacing w:line="360" w:lineRule="auto"/>
            </w:pPr>
            <w:r>
              <w:rPr>
                <w:rFonts w:ascii="helvetica neue" w:eastAsia="helvetica neue" w:hAnsi="helvetica neue" w:cs="helvetica neue"/>
                <w:color w:val="000000"/>
                <w:sz w:val="17"/>
              </w:rPr>
              <w:t>Blockchain data integration</w:t>
            </w:r>
          </w:p>
        </w:tc>
        <w:tc>
          <w:tcPr>
            <w:tcW w:w="0" w:type="auto"/>
            <w:tcBorders>
              <w:top w:val="single" w:sz="1" w:space="0" w:color="000000"/>
              <w:bottom w:val="single" w:sz="1" w:space="0" w:color="000000"/>
            </w:tcBorders>
          </w:tcPr>
          <w:p w14:paraId="481B4BE9" w14:textId="77777777" w:rsidR="00C30896" w:rsidRDefault="00000000">
            <w:pPr>
              <w:spacing w:line="360" w:lineRule="auto"/>
            </w:pPr>
            <w:r>
              <w:rPr>
                <w:rFonts w:ascii="helvetica neue" w:eastAsia="helvetica neue" w:hAnsi="helvetica neue" w:cs="helvetica neue"/>
                <w:color w:val="000000"/>
                <w:sz w:val="17"/>
              </w:rPr>
              <w:t>Blockchain analytics API integration; wallet screening baseline</w:t>
            </w:r>
          </w:p>
        </w:tc>
      </w:tr>
      <w:tr w:rsidR="00C30896" w14:paraId="0D6C22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7245CB" w14:textId="77777777" w:rsidR="00C30896" w:rsidRDefault="00000000">
            <w:pPr>
              <w:spacing w:line="360" w:lineRule="auto"/>
            </w:pPr>
            <w:r>
              <w:rPr>
                <w:rFonts w:ascii="helvetica neue" w:eastAsia="helvetica neue" w:hAnsi="helvetica neue" w:cs="helvetica neue"/>
                <w:color w:val="000000"/>
                <w:sz w:val="17"/>
              </w:rPr>
              <w:t>CDD/KYC unification</w:t>
            </w:r>
          </w:p>
        </w:tc>
        <w:tc>
          <w:tcPr>
            <w:tcW w:w="0" w:type="auto"/>
            <w:tcBorders>
              <w:top w:val="single" w:sz="1" w:space="0" w:color="000000"/>
              <w:bottom w:val="single" w:sz="1" w:space="0" w:color="000000"/>
            </w:tcBorders>
          </w:tcPr>
          <w:p w14:paraId="33EC5B02" w14:textId="77777777" w:rsidR="00C30896" w:rsidRDefault="00000000">
            <w:pPr>
              <w:spacing w:line="360" w:lineRule="auto"/>
            </w:pPr>
            <w:r>
              <w:rPr>
                <w:rFonts w:ascii="helvetica neue" w:eastAsia="helvetica neue" w:hAnsi="helvetica neue" w:cs="helvetica neue"/>
                <w:color w:val="000000"/>
                <w:sz w:val="17"/>
              </w:rPr>
              <w:t xml:space="preserve">Unified customer risk profile </w:t>
            </w:r>
            <w:proofErr w:type="gramStart"/>
            <w:r>
              <w:rPr>
                <w:rFonts w:ascii="helvetica neue" w:eastAsia="helvetica neue" w:hAnsi="helvetica neue" w:cs="helvetica neue"/>
                <w:color w:val="000000"/>
                <w:sz w:val="17"/>
              </w:rPr>
              <w:t>schema</w:t>
            </w:r>
            <w:proofErr w:type="gramEnd"/>
            <w:r>
              <w:rPr>
                <w:rFonts w:ascii="helvetica neue" w:eastAsia="helvetica neue" w:hAnsi="helvetica neue" w:cs="helvetica neue"/>
                <w:color w:val="000000"/>
                <w:sz w:val="17"/>
              </w:rPr>
              <w:t>; wallet attribution workflow</w:t>
            </w:r>
          </w:p>
        </w:tc>
      </w:tr>
      <w:tr w:rsidR="00C30896" w14:paraId="4FEEFB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75AE33" w14:textId="77777777" w:rsidR="00C30896" w:rsidRDefault="00000000">
            <w:pPr>
              <w:spacing w:line="360" w:lineRule="auto"/>
            </w:pPr>
            <w:r>
              <w:rPr>
                <w:rFonts w:ascii="helvetica neue" w:eastAsia="helvetica neue" w:hAnsi="helvetica neue" w:cs="helvetica neue"/>
                <w:color w:val="000000"/>
                <w:sz w:val="17"/>
              </w:rPr>
              <w:t>Travel Rule (fiat)</w:t>
            </w:r>
          </w:p>
        </w:tc>
        <w:tc>
          <w:tcPr>
            <w:tcW w:w="0" w:type="auto"/>
            <w:tcBorders>
              <w:top w:val="single" w:sz="1" w:space="0" w:color="000000"/>
              <w:bottom w:val="single" w:sz="1" w:space="0" w:color="000000"/>
            </w:tcBorders>
          </w:tcPr>
          <w:p w14:paraId="25A8987F" w14:textId="77777777" w:rsidR="00C30896" w:rsidRDefault="00000000">
            <w:pPr>
              <w:spacing w:line="360" w:lineRule="auto"/>
            </w:pPr>
            <w:r>
              <w:rPr>
                <w:rFonts w:ascii="helvetica neue" w:eastAsia="helvetica neue" w:hAnsi="helvetica neue" w:cs="helvetica neue"/>
                <w:color w:val="000000"/>
                <w:sz w:val="17"/>
              </w:rPr>
              <w:t>ISO 20022 fiat-leg Travel Rule compliance; SWIFT MX migration</w:t>
            </w:r>
          </w:p>
        </w:tc>
      </w:tr>
      <w:tr w:rsidR="00C30896" w14:paraId="28A86C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43B15B" w14:textId="77777777" w:rsidR="00C30896" w:rsidRDefault="00000000">
            <w:pPr>
              <w:spacing w:line="360" w:lineRule="auto"/>
            </w:pPr>
            <w:r>
              <w:rPr>
                <w:rFonts w:ascii="helvetica neue" w:eastAsia="helvetica neue" w:hAnsi="helvetica neue" w:cs="helvetica neue"/>
                <w:color w:val="000000"/>
                <w:sz w:val="17"/>
              </w:rPr>
              <w:t>Regulatory mapping</w:t>
            </w:r>
          </w:p>
        </w:tc>
        <w:tc>
          <w:tcPr>
            <w:tcW w:w="0" w:type="auto"/>
            <w:tcBorders>
              <w:top w:val="single" w:sz="1" w:space="0" w:color="000000"/>
              <w:bottom w:val="single" w:sz="1" w:space="0" w:color="000000"/>
            </w:tcBorders>
          </w:tcPr>
          <w:p w14:paraId="25F7A602" w14:textId="77777777" w:rsidR="00C30896" w:rsidRDefault="00000000">
            <w:pPr>
              <w:spacing w:line="360" w:lineRule="auto"/>
            </w:pPr>
            <w:r>
              <w:rPr>
                <w:rFonts w:ascii="helvetica neue" w:eastAsia="helvetica neue" w:hAnsi="helvetica neue" w:cs="helvetica neue"/>
                <w:color w:val="000000"/>
                <w:sz w:val="17"/>
              </w:rPr>
              <w:t xml:space="preserve">Jurisdiction-specific rule mapping (HKMA AMLO, </w:t>
            </w:r>
            <w:proofErr w:type="spellStart"/>
            <w:r>
              <w:rPr>
                <w:rFonts w:ascii="helvetica neue" w:eastAsia="helvetica neue" w:hAnsi="helvetica neue" w:cs="helvetica neue"/>
                <w:color w:val="000000"/>
                <w:sz w:val="17"/>
              </w:rPr>
              <w:t>MiCA</w:t>
            </w:r>
            <w:proofErr w:type="spellEnd"/>
            <w:r>
              <w:rPr>
                <w:rFonts w:ascii="helvetica neue" w:eastAsia="helvetica neue" w:hAnsi="helvetica neue" w:cs="helvetica neue"/>
                <w:color w:val="000000"/>
                <w:sz w:val="17"/>
              </w:rPr>
              <w:t xml:space="preserve"> TFR, BSA)</w:t>
            </w:r>
          </w:p>
        </w:tc>
      </w:tr>
    </w:tbl>
    <w:p w14:paraId="604ABED5" w14:textId="77777777" w:rsidR="00C30896" w:rsidRDefault="00C30896"/>
    <w:p w14:paraId="2E87CBF8" w14:textId="77777777" w:rsidR="00C30896" w:rsidRDefault="00000000">
      <w:pPr>
        <w:spacing w:after="210" w:line="360" w:lineRule="auto"/>
      </w:pPr>
      <w:r>
        <w:rPr>
          <w:rFonts w:eastAsia="Georgia" w:hAnsi="Georgia" w:cs="Georgia"/>
          <w:b/>
          <w:color w:val="000000"/>
        </w:rPr>
        <w:t>Exit Criteria</w:t>
      </w:r>
      <w:r>
        <w:rPr>
          <w:rFonts w:eastAsia="Georgia" w:hAnsi="Georgia" w:cs="Georgia"/>
          <w:color w:val="000000"/>
        </w:rPr>
        <w:t>: All fiat transactions monitored through new unified engine; blockchain analytics integrated for wallet screening; regulatory mapping documented.</w:t>
      </w:r>
    </w:p>
    <w:p w14:paraId="2AA8B3B9" w14:textId="77777777" w:rsidR="00C30896" w:rsidRDefault="00000000">
      <w:pPr>
        <w:spacing w:before="315" w:after="105" w:line="360" w:lineRule="auto"/>
        <w:ind w:left="-30"/>
      </w:pPr>
      <w:bookmarkStart w:id="30" w:name="phase_2_integration_months_7_12"/>
      <w:r>
        <w:rPr>
          <w:rFonts w:eastAsia="Georgia" w:hAnsi="Georgia" w:cs="Georgia"/>
          <w:b/>
          <w:color w:val="000000"/>
          <w:sz w:val="24"/>
        </w:rPr>
        <w:t>Phase 2: Integration (Months 7–12)</w:t>
      </w:r>
      <w:bookmarkEnd w:id="30"/>
    </w:p>
    <w:p w14:paraId="250396C0" w14:textId="77777777" w:rsidR="00C30896" w:rsidRDefault="00000000">
      <w:pPr>
        <w:spacing w:after="210" w:line="360" w:lineRule="auto"/>
      </w:pPr>
      <w:r>
        <w:rPr>
          <w:rFonts w:eastAsia="Georgia" w:hAnsi="Georgia" w:cs="Georgia"/>
          <w:b/>
          <w:color w:val="000000"/>
        </w:rPr>
        <w:t>Stablecoin Rail Integration and AI Augmentation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89"/>
        <w:gridCol w:w="7215"/>
      </w:tblGrid>
      <w:tr w:rsidR="00C30896" w14:paraId="565ED4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BB15B9" w14:textId="77777777" w:rsidR="00C30896" w:rsidRDefault="00000000">
            <w:pPr>
              <w:spacing w:line="360" w:lineRule="auto"/>
            </w:pPr>
            <w:r>
              <w:rPr>
                <w:rFonts w:ascii="helvetica neue" w:eastAsia="helvetica neue" w:hAnsi="helvetica neue" w:cs="helvetica neue"/>
                <w:color w:val="000000"/>
                <w:sz w:val="17"/>
              </w:rPr>
              <w:t>Workstream</w:t>
            </w:r>
          </w:p>
        </w:tc>
        <w:tc>
          <w:tcPr>
            <w:tcW w:w="0" w:type="auto"/>
            <w:tcBorders>
              <w:top w:val="single" w:sz="1" w:space="0" w:color="000000"/>
              <w:bottom w:val="single" w:sz="1" w:space="0" w:color="000000"/>
            </w:tcBorders>
          </w:tcPr>
          <w:p w14:paraId="453D291B" w14:textId="77777777" w:rsidR="00C30896" w:rsidRDefault="00000000">
            <w:pPr>
              <w:spacing w:line="360" w:lineRule="auto"/>
            </w:pPr>
            <w:r>
              <w:rPr>
                <w:rFonts w:ascii="helvetica neue" w:eastAsia="helvetica neue" w:hAnsi="helvetica neue" w:cs="helvetica neue"/>
                <w:color w:val="000000"/>
                <w:sz w:val="17"/>
              </w:rPr>
              <w:t>Deliverable</w:t>
            </w:r>
          </w:p>
        </w:tc>
      </w:tr>
      <w:tr w:rsidR="00C30896" w14:paraId="2701CC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1AE243" w14:textId="77777777" w:rsidR="00C30896" w:rsidRDefault="00000000">
            <w:pPr>
              <w:spacing w:line="360" w:lineRule="auto"/>
            </w:pPr>
            <w:r>
              <w:rPr>
                <w:rFonts w:ascii="helvetica neue" w:eastAsia="helvetica neue" w:hAnsi="helvetica neue" w:cs="helvetica neue"/>
                <w:color w:val="000000"/>
                <w:sz w:val="17"/>
              </w:rPr>
              <w:t>Stablecoin ingestion</w:t>
            </w:r>
          </w:p>
        </w:tc>
        <w:tc>
          <w:tcPr>
            <w:tcW w:w="0" w:type="auto"/>
            <w:tcBorders>
              <w:top w:val="single" w:sz="1" w:space="0" w:color="000000"/>
              <w:bottom w:val="single" w:sz="1" w:space="0" w:color="000000"/>
            </w:tcBorders>
          </w:tcPr>
          <w:p w14:paraId="1566E23C" w14:textId="77777777" w:rsidR="00C30896" w:rsidRDefault="00000000">
            <w:pPr>
              <w:spacing w:line="360" w:lineRule="auto"/>
            </w:pPr>
            <w:r>
              <w:rPr>
                <w:rFonts w:ascii="helvetica neue" w:eastAsia="helvetica neue" w:hAnsi="helvetica neue" w:cs="helvetica neue"/>
                <w:color w:val="000000"/>
                <w:sz w:val="17"/>
              </w:rPr>
              <w:t>Live ingestion of USDC, USDT, and licensed stablecoin on-chain events</w:t>
            </w:r>
          </w:p>
        </w:tc>
      </w:tr>
      <w:tr w:rsidR="00C30896" w14:paraId="0E1487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13CBC7" w14:textId="77777777" w:rsidR="00C30896" w:rsidRDefault="00000000">
            <w:pPr>
              <w:spacing w:line="360" w:lineRule="auto"/>
            </w:pPr>
            <w:r>
              <w:rPr>
                <w:rFonts w:ascii="helvetica neue" w:eastAsia="helvetica neue" w:hAnsi="helvetica neue" w:cs="helvetica neue"/>
                <w:color w:val="000000"/>
                <w:sz w:val="17"/>
              </w:rPr>
              <w:lastRenderedPageBreak/>
              <w:t>Unified monitoring engine</w:t>
            </w:r>
          </w:p>
        </w:tc>
        <w:tc>
          <w:tcPr>
            <w:tcW w:w="0" w:type="auto"/>
            <w:tcBorders>
              <w:top w:val="single" w:sz="1" w:space="0" w:color="000000"/>
              <w:bottom w:val="single" w:sz="1" w:space="0" w:color="000000"/>
            </w:tcBorders>
          </w:tcPr>
          <w:p w14:paraId="117D46DF" w14:textId="77777777" w:rsidR="00C30896" w:rsidRDefault="00000000">
            <w:pPr>
              <w:spacing w:line="360" w:lineRule="auto"/>
            </w:pPr>
            <w:r>
              <w:rPr>
                <w:rFonts w:ascii="helvetica neue" w:eastAsia="helvetica neue" w:hAnsi="helvetica neue" w:cs="helvetica neue"/>
                <w:color w:val="000000"/>
                <w:sz w:val="17"/>
              </w:rPr>
              <w:t>Single monitoring engine processing fiat and stablecoin transactions under unified risk model</w:t>
            </w:r>
          </w:p>
        </w:tc>
      </w:tr>
      <w:tr w:rsidR="00C30896" w14:paraId="7AFC44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A3917D" w14:textId="77777777" w:rsidR="00C30896" w:rsidRDefault="00000000">
            <w:pPr>
              <w:spacing w:line="360" w:lineRule="auto"/>
            </w:pPr>
            <w:r>
              <w:rPr>
                <w:rFonts w:ascii="helvetica neue" w:eastAsia="helvetica neue" w:hAnsi="helvetica neue" w:cs="helvetica neue"/>
                <w:color w:val="000000"/>
                <w:sz w:val="17"/>
              </w:rPr>
              <w:t>AI/ML deployment</w:t>
            </w:r>
          </w:p>
        </w:tc>
        <w:tc>
          <w:tcPr>
            <w:tcW w:w="0" w:type="auto"/>
            <w:tcBorders>
              <w:top w:val="single" w:sz="1" w:space="0" w:color="000000"/>
              <w:bottom w:val="single" w:sz="1" w:space="0" w:color="000000"/>
            </w:tcBorders>
          </w:tcPr>
          <w:p w14:paraId="52114120" w14:textId="77777777" w:rsidR="00C30896" w:rsidRDefault="00000000">
            <w:pPr>
              <w:spacing w:line="360" w:lineRule="auto"/>
            </w:pPr>
            <w:proofErr w:type="spellStart"/>
            <w:r>
              <w:rPr>
                <w:rFonts w:ascii="helvetica neue" w:eastAsia="helvetica neue" w:hAnsi="helvetica neue" w:cs="helvetica neue"/>
                <w:color w:val="000000"/>
                <w:sz w:val="17"/>
              </w:rPr>
              <w:t>Behavioural</w:t>
            </w:r>
            <w:proofErr w:type="spellEnd"/>
            <w:r>
              <w:rPr>
                <w:rFonts w:ascii="helvetica neue" w:eastAsia="helvetica neue" w:hAnsi="helvetica neue" w:cs="helvetica neue"/>
                <w:color w:val="000000"/>
                <w:sz w:val="17"/>
              </w:rPr>
              <w:t xml:space="preserve"> baselining models live; false positive reduction baseline established</w:t>
            </w:r>
          </w:p>
        </w:tc>
      </w:tr>
      <w:tr w:rsidR="00C30896" w14:paraId="16AC46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EA9CC4" w14:textId="77777777" w:rsidR="00C30896" w:rsidRDefault="00000000">
            <w:pPr>
              <w:spacing w:line="360" w:lineRule="auto"/>
            </w:pPr>
            <w:r>
              <w:rPr>
                <w:rFonts w:ascii="helvetica neue" w:eastAsia="helvetica neue" w:hAnsi="helvetica neue" w:cs="helvetica neue"/>
                <w:color w:val="000000"/>
                <w:sz w:val="17"/>
              </w:rPr>
              <w:t>Travel Rule (stablecoin)</w:t>
            </w:r>
          </w:p>
        </w:tc>
        <w:tc>
          <w:tcPr>
            <w:tcW w:w="0" w:type="auto"/>
            <w:tcBorders>
              <w:top w:val="single" w:sz="1" w:space="0" w:color="000000"/>
              <w:bottom w:val="single" w:sz="1" w:space="0" w:color="000000"/>
            </w:tcBorders>
          </w:tcPr>
          <w:p w14:paraId="558CD3F5" w14:textId="77777777" w:rsidR="00C30896" w:rsidRDefault="00000000">
            <w:pPr>
              <w:spacing w:line="360" w:lineRule="auto"/>
            </w:pPr>
            <w:r>
              <w:rPr>
                <w:rFonts w:ascii="helvetica neue" w:eastAsia="helvetica neue" w:hAnsi="helvetica neue" w:cs="helvetica neue"/>
                <w:color w:val="000000"/>
                <w:sz w:val="17"/>
              </w:rPr>
              <w:t xml:space="preserve">VASP-to-VASP Travel Rule data exchange live; </w:t>
            </w:r>
            <w:proofErr w:type="spellStart"/>
            <w:r>
              <w:rPr>
                <w:rFonts w:ascii="helvetica neue" w:eastAsia="helvetica neue" w:hAnsi="helvetica neue" w:cs="helvetica neue"/>
                <w:color w:val="000000"/>
                <w:sz w:val="17"/>
              </w:rPr>
              <w:t>unhosted</w:t>
            </w:r>
            <w:proofErr w:type="spellEnd"/>
            <w:r>
              <w:rPr>
                <w:rFonts w:ascii="helvetica neue" w:eastAsia="helvetica neue" w:hAnsi="helvetica neue" w:cs="helvetica neue"/>
                <w:color w:val="000000"/>
                <w:sz w:val="17"/>
              </w:rPr>
              <w:t xml:space="preserve"> wallet enhanced monitoring</w:t>
            </w:r>
          </w:p>
        </w:tc>
      </w:tr>
      <w:tr w:rsidR="00C30896" w14:paraId="7022E9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0C3270" w14:textId="77777777" w:rsidR="00C30896" w:rsidRDefault="00000000">
            <w:pPr>
              <w:spacing w:line="360" w:lineRule="auto"/>
            </w:pPr>
            <w:r>
              <w:rPr>
                <w:rFonts w:ascii="helvetica neue" w:eastAsia="helvetica neue" w:hAnsi="helvetica neue" w:cs="helvetica neue"/>
                <w:color w:val="000000"/>
                <w:sz w:val="17"/>
              </w:rPr>
              <w:t>Ecosystem monitoring</w:t>
            </w:r>
          </w:p>
        </w:tc>
        <w:tc>
          <w:tcPr>
            <w:tcW w:w="0" w:type="auto"/>
            <w:tcBorders>
              <w:top w:val="single" w:sz="1" w:space="0" w:color="000000"/>
              <w:bottom w:val="single" w:sz="1" w:space="0" w:color="000000"/>
            </w:tcBorders>
          </w:tcPr>
          <w:p w14:paraId="70F7DE95" w14:textId="77777777" w:rsidR="00C30896" w:rsidRDefault="00000000">
            <w:pPr>
              <w:spacing w:line="360" w:lineRule="auto"/>
            </w:pPr>
            <w:r>
              <w:rPr>
                <w:rFonts w:ascii="helvetica neue" w:eastAsia="helvetica neue" w:hAnsi="helvetica neue" w:cs="helvetica neue"/>
                <w:color w:val="000000"/>
                <w:sz w:val="17"/>
              </w:rPr>
              <w:t xml:space="preserve">On-chain ecosystem monitoring of </w:t>
            </w:r>
            <w:proofErr w:type="gramStart"/>
            <w:r>
              <w:rPr>
                <w:rFonts w:ascii="helvetica neue" w:eastAsia="helvetica neue" w:hAnsi="helvetica neue" w:cs="helvetica neue"/>
                <w:color w:val="000000"/>
                <w:sz w:val="17"/>
              </w:rPr>
              <w:t>stablecoins</w:t>
            </w:r>
            <w:proofErr w:type="gramEnd"/>
            <w:r>
              <w:rPr>
                <w:rFonts w:ascii="helvetica neue" w:eastAsia="helvetica neue" w:hAnsi="helvetica neue" w:cs="helvetica neue"/>
                <w:color w:val="000000"/>
                <w:sz w:val="17"/>
              </w:rPr>
              <w:t xml:space="preserve"> in circulation per HKMA/</w:t>
            </w:r>
            <w:proofErr w:type="spellStart"/>
            <w:r>
              <w:rPr>
                <w:rFonts w:ascii="helvetica neue" w:eastAsia="helvetica neue" w:hAnsi="helvetica neue" w:cs="helvetica neue"/>
                <w:color w:val="000000"/>
                <w:sz w:val="17"/>
              </w:rPr>
              <w:t>MiCA</w:t>
            </w:r>
            <w:proofErr w:type="spellEnd"/>
            <w:r>
              <w:rPr>
                <w:rFonts w:ascii="helvetica neue" w:eastAsia="helvetica neue" w:hAnsi="helvetica neue" w:cs="helvetica neue"/>
                <w:color w:val="000000"/>
                <w:sz w:val="17"/>
              </w:rPr>
              <w:t xml:space="preserve"> requirements</w:t>
            </w:r>
          </w:p>
        </w:tc>
      </w:tr>
      <w:tr w:rsidR="00C30896" w14:paraId="3600A3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667D99" w14:textId="77777777" w:rsidR="00C30896" w:rsidRDefault="00000000">
            <w:pPr>
              <w:spacing w:line="360" w:lineRule="auto"/>
            </w:pPr>
            <w:r>
              <w:rPr>
                <w:rFonts w:ascii="helvetica neue" w:eastAsia="helvetica neue" w:hAnsi="helvetica neue" w:cs="helvetica neue"/>
                <w:color w:val="000000"/>
                <w:sz w:val="17"/>
              </w:rPr>
              <w:t>Unified case management</w:t>
            </w:r>
          </w:p>
        </w:tc>
        <w:tc>
          <w:tcPr>
            <w:tcW w:w="0" w:type="auto"/>
            <w:tcBorders>
              <w:top w:val="single" w:sz="1" w:space="0" w:color="000000"/>
              <w:bottom w:val="single" w:sz="1" w:space="0" w:color="000000"/>
            </w:tcBorders>
          </w:tcPr>
          <w:p w14:paraId="24ED130D" w14:textId="77777777" w:rsidR="00C30896" w:rsidRDefault="00000000">
            <w:pPr>
              <w:spacing w:line="360" w:lineRule="auto"/>
            </w:pPr>
            <w:r>
              <w:rPr>
                <w:rFonts w:ascii="helvetica neue" w:eastAsia="helvetica neue" w:hAnsi="helvetica neue" w:cs="helvetica neue"/>
                <w:color w:val="000000"/>
                <w:sz w:val="17"/>
              </w:rPr>
              <w:t>Single alert queue; cross-rail case visibility; SAR/STR automation</w:t>
            </w:r>
          </w:p>
        </w:tc>
      </w:tr>
    </w:tbl>
    <w:p w14:paraId="51912888" w14:textId="77777777" w:rsidR="00C30896" w:rsidRDefault="00C30896"/>
    <w:p w14:paraId="48CCBE3A" w14:textId="77777777" w:rsidR="00C30896" w:rsidRDefault="00000000">
      <w:pPr>
        <w:spacing w:after="210" w:line="360" w:lineRule="auto"/>
      </w:pPr>
      <w:r>
        <w:rPr>
          <w:rFonts w:eastAsia="Georgia" w:hAnsi="Georgia" w:cs="Georgia"/>
          <w:b/>
          <w:color w:val="000000"/>
        </w:rPr>
        <w:t>Exit Criteria</w:t>
      </w:r>
      <w:r>
        <w:rPr>
          <w:rFonts w:eastAsia="Georgia" w:hAnsi="Georgia" w:cs="Georgia"/>
          <w:color w:val="000000"/>
        </w:rPr>
        <w:t>: All stablecoin transactions co-monitored with fiat in unified engine; Travel Rule operational for both legs; false positive rate measurably reduced vs baseline.</w:t>
      </w:r>
    </w:p>
    <w:p w14:paraId="71AA8238" w14:textId="77777777" w:rsidR="00C30896" w:rsidRDefault="00000000">
      <w:pPr>
        <w:spacing w:before="315" w:after="105" w:line="360" w:lineRule="auto"/>
        <w:ind w:left="-30"/>
      </w:pPr>
      <w:bookmarkStart w:id="31" w:name="phase_3_optimisation_months_13_18"/>
      <w:r>
        <w:rPr>
          <w:rFonts w:eastAsia="Georgia" w:hAnsi="Georgia" w:cs="Georgia"/>
          <w:b/>
          <w:color w:val="000000"/>
          <w:sz w:val="24"/>
        </w:rPr>
        <w:t xml:space="preserve">Phase 3: </w:t>
      </w:r>
      <w:proofErr w:type="spellStart"/>
      <w:r>
        <w:rPr>
          <w:rFonts w:eastAsia="Georgia" w:hAnsi="Georgia" w:cs="Georgia"/>
          <w:b/>
          <w:color w:val="000000"/>
          <w:sz w:val="24"/>
        </w:rPr>
        <w:t>Optimisation</w:t>
      </w:r>
      <w:proofErr w:type="spellEnd"/>
      <w:r>
        <w:rPr>
          <w:rFonts w:eastAsia="Georgia" w:hAnsi="Georgia" w:cs="Georgia"/>
          <w:b/>
          <w:color w:val="000000"/>
          <w:sz w:val="24"/>
        </w:rPr>
        <w:t xml:space="preserve"> (Months 13–18)</w:t>
      </w:r>
      <w:bookmarkEnd w:id="31"/>
    </w:p>
    <w:p w14:paraId="3552A5AA" w14:textId="77777777" w:rsidR="00C30896" w:rsidRDefault="00000000">
      <w:pPr>
        <w:spacing w:after="210" w:line="360" w:lineRule="auto"/>
      </w:pPr>
      <w:r>
        <w:rPr>
          <w:rFonts w:eastAsia="Georgia" w:hAnsi="Georgia" w:cs="Georgia"/>
          <w:b/>
          <w:color w:val="000000"/>
        </w:rPr>
        <w:t>Advanced Intelligence and Full Regulatory Readiness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98"/>
        <w:gridCol w:w="6505"/>
      </w:tblGrid>
      <w:tr w:rsidR="00C30896" w14:paraId="3FEA4B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AA4665" w14:textId="77777777" w:rsidR="00C30896" w:rsidRDefault="00000000">
            <w:pPr>
              <w:spacing w:line="360" w:lineRule="auto"/>
            </w:pPr>
            <w:r>
              <w:rPr>
                <w:rFonts w:ascii="helvetica neue" w:eastAsia="helvetica neue" w:hAnsi="helvetica neue" w:cs="helvetica neue"/>
                <w:color w:val="000000"/>
                <w:sz w:val="17"/>
              </w:rPr>
              <w:t>Workstream</w:t>
            </w:r>
          </w:p>
        </w:tc>
        <w:tc>
          <w:tcPr>
            <w:tcW w:w="0" w:type="auto"/>
            <w:tcBorders>
              <w:top w:val="single" w:sz="1" w:space="0" w:color="000000"/>
              <w:bottom w:val="single" w:sz="1" w:space="0" w:color="000000"/>
            </w:tcBorders>
          </w:tcPr>
          <w:p w14:paraId="255B7027" w14:textId="77777777" w:rsidR="00C30896" w:rsidRDefault="00000000">
            <w:pPr>
              <w:spacing w:line="360" w:lineRule="auto"/>
            </w:pPr>
            <w:r>
              <w:rPr>
                <w:rFonts w:ascii="helvetica neue" w:eastAsia="helvetica neue" w:hAnsi="helvetica neue" w:cs="helvetica neue"/>
                <w:color w:val="000000"/>
                <w:sz w:val="17"/>
              </w:rPr>
              <w:t>Deliverable</w:t>
            </w:r>
          </w:p>
        </w:tc>
      </w:tr>
      <w:tr w:rsidR="00C30896" w14:paraId="2DF218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5A9F75" w14:textId="77777777" w:rsidR="00C30896" w:rsidRDefault="00000000">
            <w:pPr>
              <w:spacing w:line="360" w:lineRule="auto"/>
            </w:pPr>
            <w:r>
              <w:rPr>
                <w:rFonts w:ascii="helvetica neue" w:eastAsia="helvetica neue" w:hAnsi="helvetica neue" w:cs="helvetica neue"/>
                <w:color w:val="000000"/>
                <w:sz w:val="17"/>
              </w:rPr>
              <w:t>Graph analytics</w:t>
            </w:r>
          </w:p>
        </w:tc>
        <w:tc>
          <w:tcPr>
            <w:tcW w:w="0" w:type="auto"/>
            <w:tcBorders>
              <w:top w:val="single" w:sz="1" w:space="0" w:color="000000"/>
              <w:bottom w:val="single" w:sz="1" w:space="0" w:color="000000"/>
            </w:tcBorders>
          </w:tcPr>
          <w:p w14:paraId="21A40F77" w14:textId="77777777" w:rsidR="00C30896" w:rsidRDefault="00000000">
            <w:pPr>
              <w:spacing w:line="360" w:lineRule="auto"/>
            </w:pPr>
            <w:r>
              <w:rPr>
                <w:rFonts w:ascii="helvetica neue" w:eastAsia="helvetica neue" w:hAnsi="helvetica neue" w:cs="helvetica neue"/>
                <w:color w:val="000000"/>
                <w:sz w:val="17"/>
              </w:rPr>
              <w:t>Network analysis models deployed for entity relationship detection</w:t>
            </w:r>
          </w:p>
        </w:tc>
      </w:tr>
      <w:tr w:rsidR="00C30896" w14:paraId="29E78B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9F0EE5" w14:textId="77777777" w:rsidR="00C30896" w:rsidRDefault="00000000">
            <w:pPr>
              <w:spacing w:line="360" w:lineRule="auto"/>
            </w:pPr>
            <w:r>
              <w:rPr>
                <w:rFonts w:ascii="helvetica neue" w:eastAsia="helvetica neue" w:hAnsi="helvetica neue" w:cs="helvetica neue"/>
                <w:color w:val="000000"/>
                <w:sz w:val="17"/>
              </w:rPr>
              <w:t>Smart contract controls</w:t>
            </w:r>
          </w:p>
        </w:tc>
        <w:tc>
          <w:tcPr>
            <w:tcW w:w="0" w:type="auto"/>
            <w:tcBorders>
              <w:top w:val="single" w:sz="1" w:space="0" w:color="000000"/>
              <w:bottom w:val="single" w:sz="1" w:space="0" w:color="000000"/>
            </w:tcBorders>
          </w:tcPr>
          <w:p w14:paraId="600B3B1C" w14:textId="77777777" w:rsidR="00C30896" w:rsidRDefault="00000000">
            <w:pPr>
              <w:spacing w:line="360" w:lineRule="auto"/>
            </w:pPr>
            <w:r>
              <w:rPr>
                <w:rFonts w:ascii="helvetica neue" w:eastAsia="helvetica neue" w:hAnsi="helvetica neue" w:cs="helvetica neue"/>
                <w:color w:val="000000"/>
                <w:sz w:val="17"/>
              </w:rPr>
              <w:t>Smart contract-level compliance controls for issued stablecoins (where applicable)</w:t>
            </w:r>
          </w:p>
        </w:tc>
      </w:tr>
      <w:tr w:rsidR="00C30896" w14:paraId="6A0C28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EAD6CB" w14:textId="77777777" w:rsidR="00C30896" w:rsidRDefault="00000000">
            <w:pPr>
              <w:spacing w:line="360" w:lineRule="auto"/>
            </w:pPr>
            <w:r>
              <w:rPr>
                <w:rFonts w:ascii="helvetica neue" w:eastAsia="helvetica neue" w:hAnsi="helvetica neue" w:cs="helvetica neue"/>
                <w:color w:val="000000"/>
                <w:sz w:val="17"/>
              </w:rPr>
              <w:t>Multi-chain coverage</w:t>
            </w:r>
          </w:p>
        </w:tc>
        <w:tc>
          <w:tcPr>
            <w:tcW w:w="0" w:type="auto"/>
            <w:tcBorders>
              <w:top w:val="single" w:sz="1" w:space="0" w:color="000000"/>
              <w:bottom w:val="single" w:sz="1" w:space="0" w:color="000000"/>
            </w:tcBorders>
          </w:tcPr>
          <w:p w14:paraId="763F00BC" w14:textId="77777777" w:rsidR="00C30896" w:rsidRDefault="00000000">
            <w:pPr>
              <w:spacing w:line="360" w:lineRule="auto"/>
            </w:pPr>
            <w:r>
              <w:rPr>
                <w:rFonts w:ascii="helvetica neue" w:eastAsia="helvetica neue" w:hAnsi="helvetica neue" w:cs="helvetica neue"/>
                <w:color w:val="000000"/>
                <w:sz w:val="17"/>
              </w:rPr>
              <w:t>Extended blockchain coverage for bridging/L2 activity; cross-chain audit trail</w:t>
            </w:r>
          </w:p>
        </w:tc>
      </w:tr>
      <w:tr w:rsidR="00C30896" w14:paraId="56179E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6A63CD" w14:textId="77777777" w:rsidR="00C30896" w:rsidRDefault="00000000">
            <w:pPr>
              <w:spacing w:line="360" w:lineRule="auto"/>
            </w:pPr>
            <w:r>
              <w:rPr>
                <w:rFonts w:ascii="helvetica neue" w:eastAsia="helvetica neue" w:hAnsi="helvetica neue" w:cs="helvetica neue"/>
                <w:color w:val="000000"/>
                <w:sz w:val="17"/>
              </w:rPr>
              <w:t>Model governance</w:t>
            </w:r>
          </w:p>
        </w:tc>
        <w:tc>
          <w:tcPr>
            <w:tcW w:w="0" w:type="auto"/>
            <w:tcBorders>
              <w:top w:val="single" w:sz="1" w:space="0" w:color="000000"/>
              <w:bottom w:val="single" w:sz="1" w:space="0" w:color="000000"/>
            </w:tcBorders>
          </w:tcPr>
          <w:p w14:paraId="5F8395D3" w14:textId="77777777" w:rsidR="00C30896" w:rsidRDefault="00000000">
            <w:pPr>
              <w:spacing w:line="360" w:lineRule="auto"/>
            </w:pPr>
            <w:r>
              <w:rPr>
                <w:rFonts w:ascii="helvetica neue" w:eastAsia="helvetica neue" w:hAnsi="helvetica neue" w:cs="helvetica neue"/>
                <w:color w:val="000000"/>
                <w:sz w:val="17"/>
              </w:rPr>
              <w:t>Full model governance framework; version control; independent model validation</w:t>
            </w:r>
          </w:p>
        </w:tc>
      </w:tr>
      <w:tr w:rsidR="00C30896" w14:paraId="327BB8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20402B" w14:textId="77777777" w:rsidR="00C30896" w:rsidRDefault="00000000">
            <w:pPr>
              <w:spacing w:line="360" w:lineRule="auto"/>
            </w:pPr>
            <w:r>
              <w:rPr>
                <w:rFonts w:ascii="helvetica neue" w:eastAsia="helvetica neue" w:hAnsi="helvetica neue" w:cs="helvetica neue"/>
                <w:color w:val="000000"/>
                <w:sz w:val="17"/>
              </w:rPr>
              <w:t>Regulatory examination readiness</w:t>
            </w:r>
          </w:p>
        </w:tc>
        <w:tc>
          <w:tcPr>
            <w:tcW w:w="0" w:type="auto"/>
            <w:tcBorders>
              <w:top w:val="single" w:sz="1" w:space="0" w:color="000000"/>
              <w:bottom w:val="single" w:sz="1" w:space="0" w:color="000000"/>
            </w:tcBorders>
          </w:tcPr>
          <w:p w14:paraId="674A8FCE" w14:textId="77777777" w:rsidR="00C30896" w:rsidRDefault="00000000">
            <w:pPr>
              <w:spacing w:line="360" w:lineRule="auto"/>
            </w:pPr>
            <w:r>
              <w:rPr>
                <w:rFonts w:ascii="helvetica neue" w:eastAsia="helvetica neue" w:hAnsi="helvetica neue" w:cs="helvetica neue"/>
                <w:color w:val="000000"/>
                <w:sz w:val="17"/>
              </w:rPr>
              <w:t>Mock regulatory examination; audit trail review; SAR quality assurance</w:t>
            </w:r>
          </w:p>
        </w:tc>
      </w:tr>
      <w:tr w:rsidR="00C30896" w14:paraId="2C7D6F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50282E" w14:textId="77777777" w:rsidR="00C30896" w:rsidRDefault="00000000">
            <w:pPr>
              <w:spacing w:line="360" w:lineRule="auto"/>
            </w:pPr>
            <w:r>
              <w:rPr>
                <w:rFonts w:ascii="helvetica neue" w:eastAsia="helvetica neue" w:hAnsi="helvetica neue" w:cs="helvetica neue"/>
                <w:color w:val="000000"/>
                <w:sz w:val="17"/>
              </w:rPr>
              <w:t>Continuous improvement</w:t>
            </w:r>
          </w:p>
        </w:tc>
        <w:tc>
          <w:tcPr>
            <w:tcW w:w="0" w:type="auto"/>
            <w:tcBorders>
              <w:top w:val="single" w:sz="1" w:space="0" w:color="000000"/>
              <w:bottom w:val="single" w:sz="1" w:space="0" w:color="000000"/>
            </w:tcBorders>
          </w:tcPr>
          <w:p w14:paraId="512250AA" w14:textId="77777777" w:rsidR="00C30896" w:rsidRDefault="00000000">
            <w:pPr>
              <w:spacing w:line="360" w:lineRule="auto"/>
            </w:pPr>
            <w:r>
              <w:rPr>
                <w:rFonts w:ascii="helvetica neue" w:eastAsia="helvetica neue" w:hAnsi="helvetica neue" w:cs="helvetica neue"/>
                <w:color w:val="000000"/>
                <w:sz w:val="17"/>
              </w:rPr>
              <w:t>Feedback loop from confirmed cases to model retraining; quarterly rule tuning</w:t>
            </w:r>
          </w:p>
        </w:tc>
      </w:tr>
    </w:tbl>
    <w:p w14:paraId="6328E1D2" w14:textId="77777777" w:rsidR="00C30896" w:rsidRDefault="00C30896"/>
    <w:p w14:paraId="76A4359F" w14:textId="7D819617" w:rsidR="00C30896" w:rsidRDefault="00000000" w:rsidP="006F7CDE">
      <w:pPr>
        <w:spacing w:after="210" w:line="360" w:lineRule="auto"/>
      </w:pPr>
      <w:r>
        <w:rPr>
          <w:rFonts w:eastAsia="Georgia" w:hAnsi="Georgia" w:cs="Georgia"/>
          <w:b/>
          <w:color w:val="000000"/>
        </w:rPr>
        <w:t>Exit Criteria</w:t>
      </w:r>
      <w:r>
        <w:rPr>
          <w:rFonts w:eastAsia="Georgia" w:hAnsi="Georgia" w:cs="Georgia"/>
          <w:color w:val="000000"/>
        </w:rPr>
        <w:t xml:space="preserve">: Full regulatory examination readiness across HKMA, </w:t>
      </w:r>
      <w:proofErr w:type="spellStart"/>
      <w:r>
        <w:rPr>
          <w:rFonts w:eastAsia="Georgia" w:hAnsi="Georgia" w:cs="Georgia"/>
          <w:color w:val="000000"/>
        </w:rPr>
        <w:t>MiCA</w:t>
      </w:r>
      <w:proofErr w:type="spellEnd"/>
      <w:r>
        <w:rPr>
          <w:rFonts w:eastAsia="Georgia" w:hAnsi="Georgia" w:cs="Georgia"/>
          <w:color w:val="000000"/>
        </w:rPr>
        <w:t>, and FATF standards; false positive rate reduced by 70%+ vs pre-Project baseline; unified platform certified as single source of truth for all transaction monitoring.</w:t>
      </w:r>
    </w:p>
    <w:p w14:paraId="14AA19EA" w14:textId="77777777" w:rsidR="00C30896" w:rsidRDefault="00000000">
      <w:pPr>
        <w:spacing w:before="315" w:after="105" w:line="360" w:lineRule="auto"/>
        <w:ind w:left="-30"/>
      </w:pPr>
      <w:bookmarkStart w:id="32" w:name="bm_5_governance_and_risk_management"/>
      <w:r>
        <w:rPr>
          <w:rFonts w:eastAsia="Georgia" w:hAnsi="Georgia" w:cs="Georgia"/>
          <w:b/>
          <w:color w:val="000000"/>
          <w:sz w:val="24"/>
        </w:rPr>
        <w:t>5. Governance and Risk Management</w:t>
      </w:r>
      <w:bookmarkEnd w:id="32"/>
    </w:p>
    <w:p w14:paraId="5CB0D0F1" w14:textId="77777777" w:rsidR="00C30896" w:rsidRDefault="00000000">
      <w:pPr>
        <w:spacing w:before="315" w:after="105" w:line="360" w:lineRule="auto"/>
        <w:ind w:left="-30"/>
      </w:pPr>
      <w:bookmarkStart w:id="33" w:name="bm_5_1_project_governance"/>
      <w:r>
        <w:rPr>
          <w:rFonts w:eastAsia="Georgia" w:hAnsi="Georgia" w:cs="Georgia"/>
          <w:b/>
          <w:color w:val="000000"/>
          <w:sz w:val="24"/>
        </w:rPr>
        <w:t>5.1 Project Governance</w:t>
      </w:r>
      <w:bookmarkEnd w:id="33"/>
    </w:p>
    <w:p w14:paraId="064C8A77" w14:textId="77777777" w:rsidR="00C30896" w:rsidRDefault="00000000">
      <w:pPr>
        <w:spacing w:after="210" w:line="360" w:lineRule="auto"/>
      </w:pPr>
      <w:proofErr w:type="gramStart"/>
      <w:r>
        <w:rPr>
          <w:rFonts w:eastAsia="Georgia" w:hAnsi="Georgia" w:cs="Georgia"/>
          <w:color w:val="000000"/>
        </w:rPr>
        <w:t>A Project</w:t>
      </w:r>
      <w:proofErr w:type="gramEnd"/>
      <w:r>
        <w:rPr>
          <w:rFonts w:eastAsia="Georgia" w:hAnsi="Georgia" w:cs="Georgia"/>
          <w:color w:val="000000"/>
        </w:rPr>
        <w:t xml:space="preserve"> Overwatch Steering Committee should include representation from:</w:t>
      </w:r>
    </w:p>
    <w:p w14:paraId="4168B3B3" w14:textId="77777777" w:rsidR="00C30896" w:rsidRDefault="00000000">
      <w:pPr>
        <w:numPr>
          <w:ilvl w:val="0"/>
          <w:numId w:val="20"/>
        </w:numPr>
        <w:spacing w:before="105" w:after="105" w:line="360" w:lineRule="auto"/>
      </w:pPr>
      <w:r>
        <w:rPr>
          <w:rFonts w:eastAsia="Georgia" w:hAnsi="Georgia" w:cs="Georgia"/>
          <w:b/>
          <w:color w:val="000000"/>
        </w:rPr>
        <w:t>Compliance / Financial Crime</w:t>
      </w:r>
      <w:r>
        <w:rPr>
          <w:rFonts w:eastAsia="Georgia" w:hAnsi="Georgia" w:cs="Georgia"/>
          <w:color w:val="000000"/>
        </w:rPr>
        <w:t xml:space="preserve"> (executive sponsor)</w:t>
      </w:r>
    </w:p>
    <w:p w14:paraId="68C2A3E8" w14:textId="77777777" w:rsidR="00C30896" w:rsidRDefault="00000000">
      <w:pPr>
        <w:numPr>
          <w:ilvl w:val="0"/>
          <w:numId w:val="20"/>
        </w:numPr>
        <w:spacing w:before="105" w:after="105" w:line="360" w:lineRule="auto"/>
      </w:pPr>
      <w:r>
        <w:rPr>
          <w:rFonts w:eastAsia="Georgia" w:hAnsi="Georgia" w:cs="Georgia"/>
          <w:b/>
          <w:color w:val="000000"/>
        </w:rPr>
        <w:t>Technology / Architecture</w:t>
      </w:r>
    </w:p>
    <w:p w14:paraId="0E16D8DF" w14:textId="77777777" w:rsidR="00C30896" w:rsidRDefault="00000000">
      <w:pPr>
        <w:numPr>
          <w:ilvl w:val="0"/>
          <w:numId w:val="20"/>
        </w:numPr>
        <w:spacing w:before="105" w:after="105" w:line="360" w:lineRule="auto"/>
      </w:pPr>
      <w:r>
        <w:rPr>
          <w:rFonts w:eastAsia="Georgia" w:hAnsi="Georgia" w:cs="Georgia"/>
          <w:b/>
          <w:color w:val="000000"/>
        </w:rPr>
        <w:lastRenderedPageBreak/>
        <w:t>Legal / Regulatory Affairs</w:t>
      </w:r>
    </w:p>
    <w:p w14:paraId="1D8A9178" w14:textId="77777777" w:rsidR="00C30896" w:rsidRDefault="00000000">
      <w:pPr>
        <w:numPr>
          <w:ilvl w:val="0"/>
          <w:numId w:val="20"/>
        </w:numPr>
        <w:spacing w:before="105" w:after="105" w:line="360" w:lineRule="auto"/>
      </w:pPr>
      <w:r>
        <w:rPr>
          <w:rFonts w:eastAsia="Georgia" w:hAnsi="Georgia" w:cs="Georgia"/>
          <w:b/>
          <w:color w:val="000000"/>
        </w:rPr>
        <w:t>Business Lines</w:t>
      </w:r>
      <w:r>
        <w:rPr>
          <w:rFonts w:eastAsia="Georgia" w:hAnsi="Georgia" w:cs="Georgia"/>
          <w:color w:val="000000"/>
        </w:rPr>
        <w:t xml:space="preserve"> (</w:t>
      </w:r>
      <w:proofErr w:type="gramStart"/>
      <w:r>
        <w:rPr>
          <w:rFonts w:eastAsia="Georgia" w:hAnsi="Georgia" w:cs="Georgia"/>
          <w:color w:val="000000"/>
        </w:rPr>
        <w:t>treasury</w:t>
      </w:r>
      <w:proofErr w:type="gramEnd"/>
      <w:r>
        <w:rPr>
          <w:rFonts w:eastAsia="Georgia" w:hAnsi="Georgia" w:cs="Georgia"/>
          <w:color w:val="000000"/>
        </w:rPr>
        <w:t>, payments, digital assets)</w:t>
      </w:r>
    </w:p>
    <w:p w14:paraId="67FB73BF" w14:textId="77777777" w:rsidR="00C30896" w:rsidRDefault="00000000">
      <w:pPr>
        <w:numPr>
          <w:ilvl w:val="0"/>
          <w:numId w:val="20"/>
        </w:numPr>
        <w:spacing w:before="105" w:after="105" w:line="360" w:lineRule="auto"/>
      </w:pPr>
      <w:r>
        <w:rPr>
          <w:rFonts w:eastAsia="Georgia" w:hAnsi="Georgia" w:cs="Georgia"/>
          <w:b/>
          <w:color w:val="000000"/>
        </w:rPr>
        <w:t>Risk Management</w:t>
      </w:r>
    </w:p>
    <w:p w14:paraId="34944758" w14:textId="77777777" w:rsidR="00C30896" w:rsidRDefault="00000000">
      <w:pPr>
        <w:numPr>
          <w:ilvl w:val="0"/>
          <w:numId w:val="20"/>
        </w:numPr>
        <w:spacing w:before="105" w:after="105" w:line="360" w:lineRule="auto"/>
      </w:pPr>
      <w:r>
        <w:rPr>
          <w:rFonts w:eastAsia="Georgia" w:hAnsi="Georgia" w:cs="Georgia"/>
          <w:b/>
          <w:color w:val="000000"/>
        </w:rPr>
        <w:t>Internal Audit</w:t>
      </w:r>
      <w:r>
        <w:rPr>
          <w:rFonts w:eastAsia="Georgia" w:hAnsi="Georgia" w:cs="Georgia"/>
          <w:color w:val="000000"/>
        </w:rPr>
        <w:t xml:space="preserve"> (observer)</w:t>
      </w:r>
    </w:p>
    <w:p w14:paraId="3781D675" w14:textId="77777777" w:rsidR="00C30896" w:rsidRDefault="00000000">
      <w:pPr>
        <w:spacing w:after="210" w:line="360" w:lineRule="auto"/>
      </w:pPr>
      <w:r>
        <w:rPr>
          <w:rFonts w:eastAsia="Georgia" w:hAnsi="Georgia" w:cs="Georgia"/>
          <w:color w:val="000000"/>
        </w:rPr>
        <w:t>Quarterly milestone reviews against the implementation roadmap, with monthly working group meetings for each functional workstream.</w:t>
      </w:r>
    </w:p>
    <w:p w14:paraId="0B0D1808" w14:textId="77777777" w:rsidR="00C30896" w:rsidRDefault="00000000">
      <w:pPr>
        <w:spacing w:before="315" w:after="105" w:line="360" w:lineRule="auto"/>
        <w:ind w:left="-30"/>
      </w:pPr>
      <w:bookmarkStart w:id="34" w:name="bm_5_2_key_risks_and_mitigations"/>
      <w:r>
        <w:rPr>
          <w:rFonts w:eastAsia="Georgia" w:hAnsi="Georgia" w:cs="Georgia"/>
          <w:b/>
          <w:color w:val="000000"/>
          <w:sz w:val="24"/>
        </w:rPr>
        <w:t>5.2 Key Risks and Mitigations</w:t>
      </w:r>
      <w:bookmarkEnd w:id="3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26"/>
        <w:gridCol w:w="1088"/>
        <w:gridCol w:w="927"/>
        <w:gridCol w:w="4763"/>
      </w:tblGrid>
      <w:tr w:rsidR="00C30896" w14:paraId="2BBC83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5F9000" w14:textId="77777777" w:rsidR="00C30896" w:rsidRDefault="00000000">
            <w:pPr>
              <w:spacing w:line="360" w:lineRule="auto"/>
            </w:pPr>
            <w:r>
              <w:rPr>
                <w:rFonts w:ascii="helvetica neue" w:eastAsia="helvetica neue" w:hAnsi="helvetica neue" w:cs="helvetica neue"/>
                <w:color w:val="000000"/>
                <w:sz w:val="17"/>
              </w:rPr>
              <w:t>Risk</w:t>
            </w:r>
          </w:p>
        </w:tc>
        <w:tc>
          <w:tcPr>
            <w:tcW w:w="0" w:type="auto"/>
            <w:tcBorders>
              <w:top w:val="single" w:sz="1" w:space="0" w:color="000000"/>
              <w:bottom w:val="single" w:sz="1" w:space="0" w:color="000000"/>
              <w:right w:val="single" w:sz="1" w:space="0" w:color="000000"/>
            </w:tcBorders>
          </w:tcPr>
          <w:p w14:paraId="3D24001B" w14:textId="77777777" w:rsidR="00C30896" w:rsidRDefault="00000000">
            <w:pPr>
              <w:spacing w:line="360" w:lineRule="auto"/>
            </w:pPr>
            <w:r>
              <w:rPr>
                <w:rFonts w:ascii="helvetica neue" w:eastAsia="helvetica neue" w:hAnsi="helvetica neue" w:cs="helvetica neue"/>
                <w:color w:val="000000"/>
                <w:sz w:val="17"/>
              </w:rPr>
              <w:t>Likelihood</w:t>
            </w:r>
          </w:p>
        </w:tc>
        <w:tc>
          <w:tcPr>
            <w:tcW w:w="0" w:type="auto"/>
            <w:tcBorders>
              <w:top w:val="single" w:sz="1" w:space="0" w:color="000000"/>
              <w:bottom w:val="single" w:sz="1" w:space="0" w:color="000000"/>
              <w:right w:val="single" w:sz="1" w:space="0" w:color="000000"/>
            </w:tcBorders>
          </w:tcPr>
          <w:p w14:paraId="2924D6D0" w14:textId="77777777" w:rsidR="00C30896" w:rsidRDefault="00000000">
            <w:pPr>
              <w:spacing w:line="360" w:lineRule="auto"/>
            </w:pPr>
            <w:r>
              <w:rPr>
                <w:rFonts w:ascii="helvetica neue" w:eastAsia="helvetica neue" w:hAnsi="helvetica neue" w:cs="helvetica neue"/>
                <w:color w:val="000000"/>
                <w:sz w:val="17"/>
              </w:rPr>
              <w:t>Impact</w:t>
            </w:r>
          </w:p>
        </w:tc>
        <w:tc>
          <w:tcPr>
            <w:tcW w:w="0" w:type="auto"/>
            <w:tcBorders>
              <w:top w:val="single" w:sz="1" w:space="0" w:color="000000"/>
              <w:bottom w:val="single" w:sz="1" w:space="0" w:color="000000"/>
            </w:tcBorders>
          </w:tcPr>
          <w:p w14:paraId="0551BC96" w14:textId="77777777" w:rsidR="00C30896" w:rsidRDefault="00000000">
            <w:pPr>
              <w:spacing w:line="360" w:lineRule="auto"/>
            </w:pPr>
            <w:r>
              <w:rPr>
                <w:rFonts w:ascii="helvetica neue" w:eastAsia="helvetica neue" w:hAnsi="helvetica neue" w:cs="helvetica neue"/>
                <w:color w:val="000000"/>
                <w:sz w:val="17"/>
              </w:rPr>
              <w:t>Mitigation</w:t>
            </w:r>
          </w:p>
        </w:tc>
      </w:tr>
      <w:tr w:rsidR="00C30896" w14:paraId="65FBE9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1B5FB1" w14:textId="77777777" w:rsidR="00C30896" w:rsidRDefault="00000000">
            <w:pPr>
              <w:spacing w:line="360" w:lineRule="auto"/>
            </w:pPr>
            <w:r>
              <w:rPr>
                <w:rFonts w:ascii="helvetica neue" w:eastAsia="helvetica neue" w:hAnsi="helvetica neue" w:cs="helvetica neue"/>
                <w:color w:val="000000"/>
                <w:sz w:val="17"/>
              </w:rPr>
              <w:t>Data quality from legacy fiat systems</w:t>
            </w:r>
          </w:p>
        </w:tc>
        <w:tc>
          <w:tcPr>
            <w:tcW w:w="0" w:type="auto"/>
            <w:tcBorders>
              <w:top w:val="single" w:sz="1" w:space="0" w:color="000000"/>
              <w:bottom w:val="single" w:sz="1" w:space="0" w:color="000000"/>
              <w:right w:val="single" w:sz="1" w:space="0" w:color="000000"/>
            </w:tcBorders>
          </w:tcPr>
          <w:p w14:paraId="0733022A" w14:textId="77777777" w:rsidR="00C30896" w:rsidRDefault="00000000">
            <w:pPr>
              <w:spacing w:line="360" w:lineRule="auto"/>
            </w:pPr>
            <w:r>
              <w:rPr>
                <w:rFonts w:ascii="helvetica neue" w:eastAsia="helvetica neue" w:hAnsi="helvetica neue" w:cs="helvetica neue"/>
                <w:color w:val="000000"/>
                <w:sz w:val="17"/>
              </w:rPr>
              <w:t>High</w:t>
            </w:r>
          </w:p>
        </w:tc>
        <w:tc>
          <w:tcPr>
            <w:tcW w:w="0" w:type="auto"/>
            <w:tcBorders>
              <w:top w:val="single" w:sz="1" w:space="0" w:color="000000"/>
              <w:bottom w:val="single" w:sz="1" w:space="0" w:color="000000"/>
              <w:right w:val="single" w:sz="1" w:space="0" w:color="000000"/>
            </w:tcBorders>
          </w:tcPr>
          <w:p w14:paraId="4AE6B849" w14:textId="77777777" w:rsidR="00C30896" w:rsidRDefault="00000000">
            <w:pPr>
              <w:spacing w:line="360" w:lineRule="auto"/>
            </w:pPr>
            <w:r>
              <w:rPr>
                <w:rFonts w:ascii="helvetica neue" w:eastAsia="helvetica neue" w:hAnsi="helvetica neue" w:cs="helvetica neue"/>
                <w:color w:val="000000"/>
                <w:sz w:val="17"/>
              </w:rPr>
              <w:t>High</w:t>
            </w:r>
          </w:p>
        </w:tc>
        <w:tc>
          <w:tcPr>
            <w:tcW w:w="0" w:type="auto"/>
            <w:tcBorders>
              <w:top w:val="single" w:sz="1" w:space="0" w:color="000000"/>
              <w:bottom w:val="single" w:sz="1" w:space="0" w:color="000000"/>
            </w:tcBorders>
          </w:tcPr>
          <w:p w14:paraId="103896BF" w14:textId="77777777" w:rsidR="00C30896" w:rsidRDefault="00000000">
            <w:pPr>
              <w:spacing w:line="360" w:lineRule="auto"/>
            </w:pPr>
            <w:r>
              <w:rPr>
                <w:rFonts w:ascii="helvetica neue" w:eastAsia="helvetica neue" w:hAnsi="helvetica neue" w:cs="helvetica neue"/>
                <w:color w:val="000000"/>
                <w:sz w:val="17"/>
              </w:rPr>
              <w:t>Data quality assessment in Phase 1; cleansing workstream; parallel running period</w:t>
            </w:r>
          </w:p>
        </w:tc>
      </w:tr>
      <w:tr w:rsidR="00C30896" w14:paraId="69814B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2BD60F" w14:textId="77777777" w:rsidR="00C30896" w:rsidRDefault="00000000">
            <w:pPr>
              <w:spacing w:line="360" w:lineRule="auto"/>
            </w:pPr>
            <w:r>
              <w:rPr>
                <w:rFonts w:ascii="helvetica neue" w:eastAsia="helvetica neue" w:hAnsi="helvetica neue" w:cs="helvetica neue"/>
                <w:color w:val="000000"/>
                <w:sz w:val="17"/>
              </w:rPr>
              <w:t>Regulatory requirements evolving during build</w:t>
            </w:r>
          </w:p>
        </w:tc>
        <w:tc>
          <w:tcPr>
            <w:tcW w:w="0" w:type="auto"/>
            <w:tcBorders>
              <w:top w:val="single" w:sz="1" w:space="0" w:color="000000"/>
              <w:bottom w:val="single" w:sz="1" w:space="0" w:color="000000"/>
              <w:right w:val="single" w:sz="1" w:space="0" w:color="000000"/>
            </w:tcBorders>
          </w:tcPr>
          <w:p w14:paraId="08BFB7F9" w14:textId="77777777" w:rsidR="00C30896" w:rsidRDefault="00000000">
            <w:pPr>
              <w:spacing w:line="360" w:lineRule="auto"/>
            </w:pPr>
            <w:r>
              <w:rPr>
                <w:rFonts w:ascii="helvetica neue" w:eastAsia="helvetica neue" w:hAnsi="helvetica neue" w:cs="helvetica neue"/>
                <w:color w:val="000000"/>
                <w:sz w:val="17"/>
              </w:rPr>
              <w:t>Medium</w:t>
            </w:r>
          </w:p>
        </w:tc>
        <w:tc>
          <w:tcPr>
            <w:tcW w:w="0" w:type="auto"/>
            <w:tcBorders>
              <w:top w:val="single" w:sz="1" w:space="0" w:color="000000"/>
              <w:bottom w:val="single" w:sz="1" w:space="0" w:color="000000"/>
              <w:right w:val="single" w:sz="1" w:space="0" w:color="000000"/>
            </w:tcBorders>
          </w:tcPr>
          <w:p w14:paraId="3E01799D" w14:textId="77777777" w:rsidR="00C30896" w:rsidRDefault="00000000">
            <w:pPr>
              <w:spacing w:line="360" w:lineRule="auto"/>
            </w:pPr>
            <w:r>
              <w:rPr>
                <w:rFonts w:ascii="helvetica neue" w:eastAsia="helvetica neue" w:hAnsi="helvetica neue" w:cs="helvetica neue"/>
                <w:color w:val="000000"/>
                <w:sz w:val="17"/>
              </w:rPr>
              <w:t>High</w:t>
            </w:r>
          </w:p>
        </w:tc>
        <w:tc>
          <w:tcPr>
            <w:tcW w:w="0" w:type="auto"/>
            <w:tcBorders>
              <w:top w:val="single" w:sz="1" w:space="0" w:color="000000"/>
              <w:bottom w:val="single" w:sz="1" w:space="0" w:color="000000"/>
            </w:tcBorders>
          </w:tcPr>
          <w:p w14:paraId="59A351AD" w14:textId="77777777" w:rsidR="00C30896" w:rsidRDefault="00000000">
            <w:pPr>
              <w:spacing w:line="360" w:lineRule="auto"/>
            </w:pPr>
            <w:r>
              <w:rPr>
                <w:rFonts w:ascii="helvetica neue" w:eastAsia="helvetica neue" w:hAnsi="helvetica neue" w:cs="helvetica neue"/>
                <w:color w:val="000000"/>
                <w:sz w:val="17"/>
              </w:rPr>
              <w:t>Modular architecture with configurable rule sets; dedicated regulatory change monitoring function</w:t>
            </w:r>
          </w:p>
        </w:tc>
      </w:tr>
      <w:tr w:rsidR="00C30896" w14:paraId="536262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322FE0" w14:textId="77777777" w:rsidR="00C30896" w:rsidRDefault="00000000">
            <w:pPr>
              <w:spacing w:line="360" w:lineRule="auto"/>
            </w:pPr>
            <w:r>
              <w:rPr>
                <w:rFonts w:ascii="helvetica neue" w:eastAsia="helvetica neue" w:hAnsi="helvetica neue" w:cs="helvetica neue"/>
                <w:color w:val="000000"/>
                <w:sz w:val="17"/>
              </w:rPr>
              <w:t>Blockchain data provider dependency</w:t>
            </w:r>
          </w:p>
        </w:tc>
        <w:tc>
          <w:tcPr>
            <w:tcW w:w="0" w:type="auto"/>
            <w:tcBorders>
              <w:top w:val="single" w:sz="1" w:space="0" w:color="000000"/>
              <w:bottom w:val="single" w:sz="1" w:space="0" w:color="000000"/>
              <w:right w:val="single" w:sz="1" w:space="0" w:color="000000"/>
            </w:tcBorders>
          </w:tcPr>
          <w:p w14:paraId="40635D9F" w14:textId="77777777" w:rsidR="00C30896" w:rsidRDefault="00000000">
            <w:pPr>
              <w:spacing w:line="360" w:lineRule="auto"/>
            </w:pPr>
            <w:r>
              <w:rPr>
                <w:rFonts w:ascii="helvetica neue" w:eastAsia="helvetica neue" w:hAnsi="helvetica neue" w:cs="helvetica neue"/>
                <w:color w:val="000000"/>
                <w:sz w:val="17"/>
              </w:rPr>
              <w:t>Medium</w:t>
            </w:r>
          </w:p>
        </w:tc>
        <w:tc>
          <w:tcPr>
            <w:tcW w:w="0" w:type="auto"/>
            <w:tcBorders>
              <w:top w:val="single" w:sz="1" w:space="0" w:color="000000"/>
              <w:bottom w:val="single" w:sz="1" w:space="0" w:color="000000"/>
              <w:right w:val="single" w:sz="1" w:space="0" w:color="000000"/>
            </w:tcBorders>
          </w:tcPr>
          <w:p w14:paraId="3F0B6DE9" w14:textId="77777777" w:rsidR="00C30896" w:rsidRDefault="00000000">
            <w:pPr>
              <w:spacing w:line="360" w:lineRule="auto"/>
            </w:pPr>
            <w:r>
              <w:rPr>
                <w:rFonts w:ascii="helvetica neue" w:eastAsia="helvetica neue" w:hAnsi="helvetica neue" w:cs="helvetica neue"/>
                <w:color w:val="000000"/>
                <w:sz w:val="17"/>
              </w:rPr>
              <w:t>Medium</w:t>
            </w:r>
          </w:p>
        </w:tc>
        <w:tc>
          <w:tcPr>
            <w:tcW w:w="0" w:type="auto"/>
            <w:tcBorders>
              <w:top w:val="single" w:sz="1" w:space="0" w:color="000000"/>
              <w:bottom w:val="single" w:sz="1" w:space="0" w:color="000000"/>
            </w:tcBorders>
          </w:tcPr>
          <w:p w14:paraId="3484529F" w14:textId="77777777" w:rsidR="00C30896" w:rsidRDefault="00000000">
            <w:pPr>
              <w:spacing w:line="360" w:lineRule="auto"/>
            </w:pPr>
            <w:r>
              <w:rPr>
                <w:rFonts w:ascii="helvetica neue" w:eastAsia="helvetica neue" w:hAnsi="helvetica neue" w:cs="helvetica neue"/>
                <w:color w:val="000000"/>
                <w:sz w:val="17"/>
              </w:rPr>
              <w:t>Dual-provider strategy; API abstraction layer to enable provider switching</w:t>
            </w:r>
          </w:p>
        </w:tc>
      </w:tr>
      <w:tr w:rsidR="00C30896" w14:paraId="0587FA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688517" w14:textId="77777777" w:rsidR="00C30896" w:rsidRDefault="00000000">
            <w:pPr>
              <w:spacing w:line="360" w:lineRule="auto"/>
            </w:pPr>
            <w:r>
              <w:rPr>
                <w:rFonts w:ascii="helvetica neue" w:eastAsia="helvetica neue" w:hAnsi="helvetica neue" w:cs="helvetica neue"/>
                <w:color w:val="000000"/>
                <w:sz w:val="17"/>
              </w:rPr>
              <w:t>AI model explainability challenged by regulators</w:t>
            </w:r>
          </w:p>
        </w:tc>
        <w:tc>
          <w:tcPr>
            <w:tcW w:w="0" w:type="auto"/>
            <w:tcBorders>
              <w:top w:val="single" w:sz="1" w:space="0" w:color="000000"/>
              <w:bottom w:val="single" w:sz="1" w:space="0" w:color="000000"/>
              <w:right w:val="single" w:sz="1" w:space="0" w:color="000000"/>
            </w:tcBorders>
          </w:tcPr>
          <w:p w14:paraId="44C6819F" w14:textId="77777777" w:rsidR="00C30896" w:rsidRDefault="00000000">
            <w:pPr>
              <w:spacing w:line="360" w:lineRule="auto"/>
            </w:pPr>
            <w:r>
              <w:rPr>
                <w:rFonts w:ascii="helvetica neue" w:eastAsia="helvetica neue" w:hAnsi="helvetica neue" w:cs="helvetica neue"/>
                <w:color w:val="000000"/>
                <w:sz w:val="17"/>
              </w:rPr>
              <w:t>Medium</w:t>
            </w:r>
          </w:p>
        </w:tc>
        <w:tc>
          <w:tcPr>
            <w:tcW w:w="0" w:type="auto"/>
            <w:tcBorders>
              <w:top w:val="single" w:sz="1" w:space="0" w:color="000000"/>
              <w:bottom w:val="single" w:sz="1" w:space="0" w:color="000000"/>
              <w:right w:val="single" w:sz="1" w:space="0" w:color="000000"/>
            </w:tcBorders>
          </w:tcPr>
          <w:p w14:paraId="0E67886F" w14:textId="77777777" w:rsidR="00C30896" w:rsidRDefault="00000000">
            <w:pPr>
              <w:spacing w:line="360" w:lineRule="auto"/>
            </w:pPr>
            <w:r>
              <w:rPr>
                <w:rFonts w:ascii="helvetica neue" w:eastAsia="helvetica neue" w:hAnsi="helvetica neue" w:cs="helvetica neue"/>
                <w:color w:val="000000"/>
                <w:sz w:val="17"/>
              </w:rPr>
              <w:t>High</w:t>
            </w:r>
          </w:p>
        </w:tc>
        <w:tc>
          <w:tcPr>
            <w:tcW w:w="0" w:type="auto"/>
            <w:tcBorders>
              <w:top w:val="single" w:sz="1" w:space="0" w:color="000000"/>
              <w:bottom w:val="single" w:sz="1" w:space="0" w:color="000000"/>
            </w:tcBorders>
          </w:tcPr>
          <w:p w14:paraId="34E9B9C1" w14:textId="77777777" w:rsidR="00C30896" w:rsidRDefault="00000000">
            <w:pPr>
              <w:spacing w:line="360" w:lineRule="auto"/>
            </w:pPr>
            <w:r>
              <w:rPr>
                <w:rFonts w:ascii="helvetica neue" w:eastAsia="helvetica neue" w:hAnsi="helvetica neue" w:cs="helvetica neue"/>
                <w:color w:val="000000"/>
                <w:sz w:val="17"/>
              </w:rPr>
              <w:t>Explainable AI (XAI) design requirement; model governance framework from Phase 1</w:t>
            </w:r>
          </w:p>
        </w:tc>
      </w:tr>
      <w:tr w:rsidR="00C30896" w14:paraId="41FD98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9395BC" w14:textId="77777777" w:rsidR="00C30896" w:rsidRDefault="00000000">
            <w:pPr>
              <w:spacing w:line="360" w:lineRule="auto"/>
            </w:pPr>
            <w:r>
              <w:rPr>
                <w:rFonts w:ascii="helvetica neue" w:eastAsia="helvetica neue" w:hAnsi="helvetica neue" w:cs="helvetica neue"/>
                <w:color w:val="000000"/>
                <w:sz w:val="17"/>
              </w:rPr>
              <w:t>Cross-chain bridge coverage gaps</w:t>
            </w:r>
          </w:p>
        </w:tc>
        <w:tc>
          <w:tcPr>
            <w:tcW w:w="0" w:type="auto"/>
            <w:tcBorders>
              <w:top w:val="single" w:sz="1" w:space="0" w:color="000000"/>
              <w:bottom w:val="single" w:sz="1" w:space="0" w:color="000000"/>
              <w:right w:val="single" w:sz="1" w:space="0" w:color="000000"/>
            </w:tcBorders>
          </w:tcPr>
          <w:p w14:paraId="54E42DA7" w14:textId="77777777" w:rsidR="00C30896" w:rsidRDefault="00000000">
            <w:pPr>
              <w:spacing w:line="360" w:lineRule="auto"/>
            </w:pPr>
            <w:r>
              <w:rPr>
                <w:rFonts w:ascii="helvetica neue" w:eastAsia="helvetica neue" w:hAnsi="helvetica neue" w:cs="helvetica neue"/>
                <w:color w:val="000000"/>
                <w:sz w:val="17"/>
              </w:rPr>
              <w:t>High</w:t>
            </w:r>
          </w:p>
        </w:tc>
        <w:tc>
          <w:tcPr>
            <w:tcW w:w="0" w:type="auto"/>
            <w:tcBorders>
              <w:top w:val="single" w:sz="1" w:space="0" w:color="000000"/>
              <w:bottom w:val="single" w:sz="1" w:space="0" w:color="000000"/>
              <w:right w:val="single" w:sz="1" w:space="0" w:color="000000"/>
            </w:tcBorders>
          </w:tcPr>
          <w:p w14:paraId="50B85022" w14:textId="77777777" w:rsidR="00C30896" w:rsidRDefault="00000000">
            <w:pPr>
              <w:spacing w:line="360" w:lineRule="auto"/>
            </w:pPr>
            <w:r>
              <w:rPr>
                <w:rFonts w:ascii="helvetica neue" w:eastAsia="helvetica neue" w:hAnsi="helvetica neue" w:cs="helvetica neue"/>
                <w:color w:val="000000"/>
                <w:sz w:val="17"/>
              </w:rPr>
              <w:t>Medium</w:t>
            </w:r>
          </w:p>
        </w:tc>
        <w:tc>
          <w:tcPr>
            <w:tcW w:w="0" w:type="auto"/>
            <w:tcBorders>
              <w:top w:val="single" w:sz="1" w:space="0" w:color="000000"/>
              <w:bottom w:val="single" w:sz="1" w:space="0" w:color="000000"/>
            </w:tcBorders>
          </w:tcPr>
          <w:p w14:paraId="49E71AD7" w14:textId="77777777" w:rsidR="00C30896" w:rsidRDefault="00000000">
            <w:pPr>
              <w:spacing w:line="360" w:lineRule="auto"/>
            </w:pPr>
            <w:r>
              <w:rPr>
                <w:rFonts w:ascii="helvetica neue" w:eastAsia="helvetica neue" w:hAnsi="helvetica neue" w:cs="helvetica neue"/>
                <w:color w:val="000000"/>
                <w:sz w:val="17"/>
              </w:rPr>
              <w:t>Phased coverage; documented residual risk; manual review escalation for bridge activity</w:t>
            </w:r>
          </w:p>
        </w:tc>
      </w:tr>
      <w:tr w:rsidR="00C30896" w14:paraId="724A01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E08860" w14:textId="77777777" w:rsidR="00C30896" w:rsidRDefault="00000000">
            <w:pPr>
              <w:spacing w:line="360" w:lineRule="auto"/>
            </w:pPr>
            <w:r>
              <w:rPr>
                <w:rFonts w:ascii="helvetica neue" w:eastAsia="helvetica neue" w:hAnsi="helvetica neue" w:cs="helvetica neue"/>
                <w:color w:val="000000"/>
                <w:sz w:val="17"/>
              </w:rPr>
              <w:t>Staff change management</w:t>
            </w:r>
          </w:p>
        </w:tc>
        <w:tc>
          <w:tcPr>
            <w:tcW w:w="0" w:type="auto"/>
            <w:tcBorders>
              <w:top w:val="single" w:sz="1" w:space="0" w:color="000000"/>
              <w:bottom w:val="single" w:sz="1" w:space="0" w:color="000000"/>
              <w:right w:val="single" w:sz="1" w:space="0" w:color="000000"/>
            </w:tcBorders>
          </w:tcPr>
          <w:p w14:paraId="18DCA145" w14:textId="77777777" w:rsidR="00C30896" w:rsidRDefault="00000000">
            <w:pPr>
              <w:spacing w:line="360" w:lineRule="auto"/>
            </w:pPr>
            <w:r>
              <w:rPr>
                <w:rFonts w:ascii="helvetica neue" w:eastAsia="helvetica neue" w:hAnsi="helvetica neue" w:cs="helvetica neue"/>
                <w:color w:val="000000"/>
                <w:sz w:val="17"/>
              </w:rPr>
              <w:t>Medium</w:t>
            </w:r>
          </w:p>
        </w:tc>
        <w:tc>
          <w:tcPr>
            <w:tcW w:w="0" w:type="auto"/>
            <w:tcBorders>
              <w:top w:val="single" w:sz="1" w:space="0" w:color="000000"/>
              <w:bottom w:val="single" w:sz="1" w:space="0" w:color="000000"/>
              <w:right w:val="single" w:sz="1" w:space="0" w:color="000000"/>
            </w:tcBorders>
          </w:tcPr>
          <w:p w14:paraId="63239819" w14:textId="77777777" w:rsidR="00C30896" w:rsidRDefault="00000000">
            <w:pPr>
              <w:spacing w:line="360" w:lineRule="auto"/>
            </w:pPr>
            <w:r>
              <w:rPr>
                <w:rFonts w:ascii="helvetica neue" w:eastAsia="helvetica neue" w:hAnsi="helvetica neue" w:cs="helvetica neue"/>
                <w:color w:val="000000"/>
                <w:sz w:val="17"/>
              </w:rPr>
              <w:t>Medium</w:t>
            </w:r>
          </w:p>
        </w:tc>
        <w:tc>
          <w:tcPr>
            <w:tcW w:w="0" w:type="auto"/>
            <w:tcBorders>
              <w:top w:val="single" w:sz="1" w:space="0" w:color="000000"/>
              <w:bottom w:val="single" w:sz="1" w:space="0" w:color="000000"/>
            </w:tcBorders>
          </w:tcPr>
          <w:p w14:paraId="678EF496" w14:textId="77777777" w:rsidR="00C30896" w:rsidRDefault="00000000">
            <w:pPr>
              <w:spacing w:line="360" w:lineRule="auto"/>
            </w:pPr>
            <w:r>
              <w:rPr>
                <w:rFonts w:ascii="helvetica neue" w:eastAsia="helvetica neue" w:hAnsi="helvetica neue" w:cs="helvetica neue"/>
                <w:color w:val="000000"/>
                <w:sz w:val="17"/>
              </w:rPr>
              <w:t xml:space="preserve">Training </w:t>
            </w:r>
            <w:proofErr w:type="spellStart"/>
            <w:proofErr w:type="gramStart"/>
            <w:r>
              <w:rPr>
                <w:rFonts w:ascii="helvetica neue" w:eastAsia="helvetica neue" w:hAnsi="helvetica neue" w:cs="helvetica neue"/>
                <w:color w:val="000000"/>
                <w:sz w:val="17"/>
              </w:rPr>
              <w:t>programme</w:t>
            </w:r>
            <w:proofErr w:type="spellEnd"/>
            <w:r>
              <w:rPr>
                <w:rFonts w:ascii="helvetica neue" w:eastAsia="helvetica neue" w:hAnsi="helvetica neue" w:cs="helvetica neue"/>
                <w:color w:val="000000"/>
                <w:sz w:val="17"/>
              </w:rPr>
              <w:t>;</w:t>
            </w:r>
            <w:proofErr w:type="gramEnd"/>
            <w:r>
              <w:rPr>
                <w:rFonts w:ascii="helvetica neue" w:eastAsia="helvetica neue" w:hAnsi="helvetica neue" w:cs="helvetica neue"/>
                <w:color w:val="000000"/>
                <w:sz w:val="17"/>
              </w:rPr>
              <w:t xml:space="preserve"> phased analyst onboarding aligned with platform rollout</w:t>
            </w:r>
          </w:p>
        </w:tc>
      </w:tr>
      <w:tr w:rsidR="00C30896" w14:paraId="4B02C9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35B621" w14:textId="77777777" w:rsidR="00C30896" w:rsidRDefault="00000000">
            <w:pPr>
              <w:spacing w:line="360" w:lineRule="auto"/>
            </w:pPr>
            <w:r>
              <w:rPr>
                <w:rFonts w:ascii="helvetica neue" w:eastAsia="helvetica neue" w:hAnsi="helvetica neue" w:cs="helvetica neue"/>
                <w:color w:val="000000"/>
                <w:sz w:val="17"/>
              </w:rPr>
              <w:t>Third-party VASP Travel Rule non-compliance</w:t>
            </w:r>
          </w:p>
        </w:tc>
        <w:tc>
          <w:tcPr>
            <w:tcW w:w="0" w:type="auto"/>
            <w:tcBorders>
              <w:top w:val="single" w:sz="1" w:space="0" w:color="000000"/>
              <w:bottom w:val="single" w:sz="1" w:space="0" w:color="000000"/>
              <w:right w:val="single" w:sz="1" w:space="0" w:color="000000"/>
            </w:tcBorders>
          </w:tcPr>
          <w:p w14:paraId="5398D0CD" w14:textId="77777777" w:rsidR="00C30896" w:rsidRDefault="00000000">
            <w:pPr>
              <w:spacing w:line="360" w:lineRule="auto"/>
            </w:pPr>
            <w:r>
              <w:rPr>
                <w:rFonts w:ascii="helvetica neue" w:eastAsia="helvetica neue" w:hAnsi="helvetica neue" w:cs="helvetica neue"/>
                <w:color w:val="000000"/>
                <w:sz w:val="17"/>
              </w:rPr>
              <w:t>High</w:t>
            </w:r>
          </w:p>
        </w:tc>
        <w:tc>
          <w:tcPr>
            <w:tcW w:w="0" w:type="auto"/>
            <w:tcBorders>
              <w:top w:val="single" w:sz="1" w:space="0" w:color="000000"/>
              <w:bottom w:val="single" w:sz="1" w:space="0" w:color="000000"/>
              <w:right w:val="single" w:sz="1" w:space="0" w:color="000000"/>
            </w:tcBorders>
          </w:tcPr>
          <w:p w14:paraId="288F26E2" w14:textId="77777777" w:rsidR="00C30896" w:rsidRDefault="00000000">
            <w:pPr>
              <w:spacing w:line="360" w:lineRule="auto"/>
            </w:pPr>
            <w:r>
              <w:rPr>
                <w:rFonts w:ascii="helvetica neue" w:eastAsia="helvetica neue" w:hAnsi="helvetica neue" w:cs="helvetica neue"/>
                <w:color w:val="000000"/>
                <w:sz w:val="17"/>
              </w:rPr>
              <w:t>Medium</w:t>
            </w:r>
          </w:p>
        </w:tc>
        <w:tc>
          <w:tcPr>
            <w:tcW w:w="0" w:type="auto"/>
            <w:tcBorders>
              <w:top w:val="single" w:sz="1" w:space="0" w:color="000000"/>
              <w:bottom w:val="single" w:sz="1" w:space="0" w:color="000000"/>
            </w:tcBorders>
          </w:tcPr>
          <w:p w14:paraId="16D380D9" w14:textId="77777777" w:rsidR="00C30896" w:rsidRDefault="00000000">
            <w:pPr>
              <w:spacing w:line="360" w:lineRule="auto"/>
            </w:pPr>
            <w:r>
              <w:rPr>
                <w:rFonts w:ascii="helvetica neue" w:eastAsia="helvetica neue" w:hAnsi="helvetica neue" w:cs="helvetica neue"/>
                <w:color w:val="000000"/>
                <w:sz w:val="17"/>
              </w:rPr>
              <w:t>VASP due diligence framework; escalation workflows for non-responsive counterparties</w:t>
            </w:r>
          </w:p>
        </w:tc>
      </w:tr>
    </w:tbl>
    <w:p w14:paraId="44E68388" w14:textId="77777777" w:rsidR="00C30896" w:rsidRDefault="00C30896"/>
    <w:p w14:paraId="5A50D385" w14:textId="77777777" w:rsidR="00C30896" w:rsidRDefault="00000000">
      <w:pPr>
        <w:spacing w:before="315" w:after="105" w:line="360" w:lineRule="auto"/>
        <w:ind w:left="-30"/>
      </w:pPr>
      <w:bookmarkStart w:id="35" w:name="bm_5_3_regulatory_engagement_strategy"/>
      <w:r>
        <w:rPr>
          <w:rFonts w:eastAsia="Georgia" w:hAnsi="Georgia" w:cs="Georgia"/>
          <w:b/>
          <w:color w:val="000000"/>
          <w:sz w:val="24"/>
        </w:rPr>
        <w:t>5.3 Regulatory Engagement Strategy</w:t>
      </w:r>
      <w:bookmarkEnd w:id="35"/>
    </w:p>
    <w:p w14:paraId="69CF6A5C" w14:textId="77777777" w:rsidR="00C30896" w:rsidRDefault="00000000">
      <w:pPr>
        <w:spacing w:after="210" w:line="360" w:lineRule="auto"/>
      </w:pPr>
      <w:r>
        <w:rPr>
          <w:rFonts w:eastAsia="Georgia" w:hAnsi="Georgia" w:cs="Georgia"/>
          <w:color w:val="000000"/>
        </w:rPr>
        <w:t>Given the novelty of the unified fiat-stablecoin monitoring approach, proactive engagement with regulators is recommended:</w:t>
      </w:r>
    </w:p>
    <w:p w14:paraId="55302B7B" w14:textId="08C6A309" w:rsidR="00C30896" w:rsidRDefault="00000000">
      <w:pPr>
        <w:numPr>
          <w:ilvl w:val="0"/>
          <w:numId w:val="21"/>
        </w:numPr>
        <w:spacing w:before="105" w:after="105" w:line="360" w:lineRule="auto"/>
      </w:pPr>
      <w:r>
        <w:rPr>
          <w:rFonts w:eastAsia="Georgia" w:hAnsi="Georgia" w:cs="Georgia"/>
          <w:b/>
          <w:color w:val="000000"/>
        </w:rPr>
        <w:t>HKMA pre-engagement</w:t>
      </w:r>
      <w:r>
        <w:rPr>
          <w:rFonts w:eastAsia="Georgia" w:hAnsi="Georgia" w:cs="Georgia"/>
          <w:color w:val="000000"/>
        </w:rPr>
        <w:t>: Brief the HKMA on the Project Overwatch architecture, particularly the ecosystem monitoring and Travel Rule components, as part of the stablecoin licensing application process</w:t>
      </w:r>
    </w:p>
    <w:p w14:paraId="3400E247" w14:textId="7FF8C8E0" w:rsidR="00C30896" w:rsidRDefault="00000000">
      <w:pPr>
        <w:numPr>
          <w:ilvl w:val="0"/>
          <w:numId w:val="21"/>
        </w:numPr>
        <w:spacing w:before="105" w:after="105" w:line="360" w:lineRule="auto"/>
      </w:pPr>
      <w:proofErr w:type="spellStart"/>
      <w:r>
        <w:rPr>
          <w:rFonts w:eastAsia="Georgia" w:hAnsi="Georgia" w:cs="Georgia"/>
          <w:b/>
          <w:color w:val="000000"/>
        </w:rPr>
        <w:lastRenderedPageBreak/>
        <w:t>MiCA</w:t>
      </w:r>
      <w:proofErr w:type="spellEnd"/>
      <w:r>
        <w:rPr>
          <w:rFonts w:eastAsia="Georgia" w:hAnsi="Georgia" w:cs="Georgia"/>
          <w:b/>
          <w:color w:val="000000"/>
        </w:rPr>
        <w:t xml:space="preserve"> compliance documentation</w:t>
      </w:r>
      <w:r>
        <w:rPr>
          <w:rFonts w:eastAsia="Georgia" w:hAnsi="Georgia" w:cs="Georgia"/>
          <w:color w:val="000000"/>
        </w:rPr>
        <w:t xml:space="preserve">: Prepare a </w:t>
      </w:r>
      <w:proofErr w:type="spellStart"/>
      <w:r>
        <w:rPr>
          <w:rFonts w:eastAsia="Georgia" w:hAnsi="Georgia" w:cs="Georgia"/>
          <w:color w:val="000000"/>
        </w:rPr>
        <w:t>MiCA</w:t>
      </w:r>
      <w:proofErr w:type="spellEnd"/>
      <w:r>
        <w:rPr>
          <w:rFonts w:eastAsia="Georgia" w:hAnsi="Georgia" w:cs="Georgia"/>
          <w:color w:val="000000"/>
        </w:rPr>
        <w:t xml:space="preserve"> compliance mapping document demonstrating how Project Overwatch satisfies EMT/ART issuer AML obligations for EU regulators</w:t>
      </w:r>
    </w:p>
    <w:p w14:paraId="20F59A68" w14:textId="1319AB19" w:rsidR="00C30896" w:rsidRDefault="00000000">
      <w:pPr>
        <w:numPr>
          <w:ilvl w:val="0"/>
          <w:numId w:val="21"/>
        </w:numPr>
        <w:spacing w:before="105" w:after="105" w:line="360" w:lineRule="auto"/>
      </w:pPr>
      <w:r>
        <w:rPr>
          <w:rFonts w:eastAsia="Georgia" w:hAnsi="Georgia" w:cs="Georgia"/>
          <w:b/>
          <w:color w:val="000000"/>
        </w:rPr>
        <w:t>Model governance transparency</w:t>
      </w:r>
      <w:r>
        <w:rPr>
          <w:rFonts w:eastAsia="Georgia" w:hAnsi="Georgia" w:cs="Georgia"/>
          <w:color w:val="000000"/>
        </w:rPr>
        <w:t>: Maintain documentation suitable for supervisory examination of AI model design, training data, validation methodology, and governance controls</w:t>
      </w:r>
    </w:p>
    <w:p w14:paraId="09314EBE" w14:textId="77777777" w:rsidR="00C30896" w:rsidRDefault="00000000">
      <w:pPr>
        <w:spacing w:before="210" w:after="0" w:line="360" w:lineRule="auto"/>
      </w:pPr>
      <w:r>
        <w:rPr>
          <w:noProof/>
        </w:rPr>
      </w:r>
      <w:r>
        <w:rPr>
          <w:noProof/>
        </w:rPr>
        <w:pict w14:anchorId="7AA13FE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A68306" w14:textId="77777777" w:rsidR="00C30896" w:rsidRDefault="00000000">
      <w:pPr>
        <w:spacing w:before="315" w:after="105" w:line="360" w:lineRule="auto"/>
        <w:ind w:left="-30"/>
      </w:pPr>
      <w:bookmarkStart w:id="36" w:name="bm_6_competitive_landscape_and_ve_b6aea2"/>
      <w:r>
        <w:rPr>
          <w:rFonts w:eastAsia="Georgia" w:hAnsi="Georgia" w:cs="Georgia"/>
          <w:b/>
          <w:color w:val="000000"/>
          <w:sz w:val="24"/>
        </w:rPr>
        <w:t>6. Competitive Landscape and Vendor Considerations</w:t>
      </w:r>
      <w:bookmarkEnd w:id="36"/>
    </w:p>
    <w:p w14:paraId="65FD5944" w14:textId="77777777" w:rsidR="00C30896" w:rsidRDefault="00000000">
      <w:pPr>
        <w:spacing w:after="210" w:line="360" w:lineRule="auto"/>
      </w:pPr>
      <w:r>
        <w:rPr>
          <w:rFonts w:eastAsia="Georgia" w:hAnsi="Georgia" w:cs="Georgia"/>
          <w:color w:val="000000"/>
        </w:rPr>
        <w:t>The unified compliance platform market is evolving rapidly. Key platform categories and exemplars relevant to Project Overwatch include: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86"/>
        <w:gridCol w:w="2496"/>
        <w:gridCol w:w="4822"/>
      </w:tblGrid>
      <w:tr w:rsidR="00C30896" w14:paraId="742499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56689C" w14:textId="77777777" w:rsidR="00C30896" w:rsidRDefault="00000000">
            <w:pPr>
              <w:spacing w:line="360" w:lineRule="auto"/>
            </w:pPr>
            <w:r>
              <w:rPr>
                <w:rFonts w:ascii="helvetica neue" w:eastAsia="helvetica neue" w:hAnsi="helvetica neue" w:cs="helvetica neue"/>
                <w:color w:val="000000"/>
                <w:sz w:val="17"/>
              </w:rPr>
              <w:t>Category</w:t>
            </w:r>
          </w:p>
        </w:tc>
        <w:tc>
          <w:tcPr>
            <w:tcW w:w="0" w:type="auto"/>
            <w:tcBorders>
              <w:top w:val="single" w:sz="1" w:space="0" w:color="000000"/>
              <w:bottom w:val="single" w:sz="1" w:space="0" w:color="000000"/>
              <w:right w:val="single" w:sz="1" w:space="0" w:color="000000"/>
            </w:tcBorders>
          </w:tcPr>
          <w:p w14:paraId="64F7F984" w14:textId="77777777" w:rsidR="00C30896" w:rsidRDefault="00000000">
            <w:pPr>
              <w:spacing w:line="360" w:lineRule="auto"/>
            </w:pPr>
            <w:r>
              <w:rPr>
                <w:rFonts w:ascii="helvetica neue" w:eastAsia="helvetica neue" w:hAnsi="helvetica neue" w:cs="helvetica neue"/>
                <w:color w:val="000000"/>
                <w:sz w:val="17"/>
              </w:rPr>
              <w:t>Representative Players</w:t>
            </w:r>
          </w:p>
        </w:tc>
        <w:tc>
          <w:tcPr>
            <w:tcW w:w="0" w:type="auto"/>
            <w:tcBorders>
              <w:top w:val="single" w:sz="1" w:space="0" w:color="000000"/>
              <w:bottom w:val="single" w:sz="1" w:space="0" w:color="000000"/>
            </w:tcBorders>
          </w:tcPr>
          <w:p w14:paraId="182C3CC9" w14:textId="77777777" w:rsidR="00C30896" w:rsidRDefault="00000000">
            <w:pPr>
              <w:spacing w:line="360" w:lineRule="auto"/>
            </w:pPr>
            <w:r>
              <w:rPr>
                <w:rFonts w:ascii="helvetica neue" w:eastAsia="helvetica neue" w:hAnsi="helvetica neue" w:cs="helvetica neue"/>
                <w:color w:val="000000"/>
                <w:sz w:val="17"/>
              </w:rPr>
              <w:t>Relevance to Project Overwatch</w:t>
            </w:r>
          </w:p>
        </w:tc>
      </w:tr>
      <w:tr w:rsidR="00C30896" w14:paraId="0A6AA4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2F07D4" w14:textId="77777777" w:rsidR="00C30896" w:rsidRDefault="00000000">
            <w:pPr>
              <w:spacing w:line="360" w:lineRule="auto"/>
            </w:pPr>
            <w:r>
              <w:rPr>
                <w:rFonts w:ascii="helvetica neue" w:eastAsia="helvetica neue" w:hAnsi="helvetica neue" w:cs="helvetica neue"/>
                <w:color w:val="000000"/>
                <w:sz w:val="17"/>
              </w:rPr>
              <w:t>Unified fiat + crypto AML platforms</w:t>
            </w:r>
          </w:p>
        </w:tc>
        <w:tc>
          <w:tcPr>
            <w:tcW w:w="0" w:type="auto"/>
            <w:tcBorders>
              <w:top w:val="single" w:sz="1" w:space="0" w:color="000000"/>
              <w:bottom w:val="single" w:sz="1" w:space="0" w:color="000000"/>
              <w:right w:val="single" w:sz="1" w:space="0" w:color="000000"/>
            </w:tcBorders>
          </w:tcPr>
          <w:p w14:paraId="164C1C5F" w14:textId="77777777" w:rsidR="00C30896" w:rsidRDefault="00000000">
            <w:pPr>
              <w:spacing w:line="360" w:lineRule="auto"/>
            </w:pPr>
            <w:proofErr w:type="spellStart"/>
            <w:r>
              <w:rPr>
                <w:rFonts w:ascii="helvetica neue" w:eastAsia="helvetica neue" w:hAnsi="helvetica neue" w:cs="helvetica neue"/>
                <w:color w:val="000000"/>
                <w:sz w:val="17"/>
              </w:rPr>
              <w:t>Flagright</w:t>
            </w:r>
            <w:proofErr w:type="spellEnd"/>
            <w:r>
              <w:rPr>
                <w:rFonts w:ascii="helvetica neue" w:eastAsia="helvetica neue" w:hAnsi="helvetica neue" w:cs="helvetica neue"/>
                <w:color w:val="000000"/>
                <w:sz w:val="17"/>
              </w:rPr>
              <w:t>, iComply, Napier AI</w:t>
            </w:r>
          </w:p>
        </w:tc>
        <w:tc>
          <w:tcPr>
            <w:tcW w:w="0" w:type="auto"/>
            <w:tcBorders>
              <w:top w:val="single" w:sz="1" w:space="0" w:color="000000"/>
              <w:bottom w:val="single" w:sz="1" w:space="0" w:color="000000"/>
            </w:tcBorders>
          </w:tcPr>
          <w:p w14:paraId="00E91F83" w14:textId="31D22FF7" w:rsidR="00C30896" w:rsidRDefault="00000000">
            <w:pPr>
              <w:spacing w:line="360" w:lineRule="auto"/>
            </w:pPr>
            <w:r>
              <w:rPr>
                <w:rFonts w:ascii="helvetica neue" w:eastAsia="helvetica neue" w:hAnsi="helvetica neue" w:cs="helvetica neue"/>
                <w:color w:val="000000"/>
                <w:sz w:val="17"/>
              </w:rPr>
              <w:t>Core monitoring engine candidates; evaluate for rail coverage, API design, HKMA/</w:t>
            </w:r>
            <w:proofErr w:type="spellStart"/>
            <w:r>
              <w:rPr>
                <w:rFonts w:ascii="helvetica neue" w:eastAsia="helvetica neue" w:hAnsi="helvetica neue" w:cs="helvetica neue"/>
                <w:color w:val="000000"/>
                <w:sz w:val="17"/>
              </w:rPr>
              <w:t>MiCA</w:t>
            </w:r>
            <w:proofErr w:type="spellEnd"/>
            <w:r>
              <w:rPr>
                <w:rFonts w:ascii="helvetica neue" w:eastAsia="helvetica neue" w:hAnsi="helvetica neue" w:cs="helvetica neue"/>
                <w:color w:val="000000"/>
                <w:sz w:val="17"/>
              </w:rPr>
              <w:t xml:space="preserve"> certification</w:t>
            </w:r>
          </w:p>
        </w:tc>
      </w:tr>
      <w:tr w:rsidR="00C30896" w14:paraId="12AEE0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5C062" w14:textId="77777777" w:rsidR="00C30896" w:rsidRDefault="00000000">
            <w:pPr>
              <w:spacing w:line="360" w:lineRule="auto"/>
            </w:pPr>
            <w:r>
              <w:rPr>
                <w:rFonts w:ascii="helvetica neue" w:eastAsia="helvetica neue" w:hAnsi="helvetica neue" w:cs="helvetica neue"/>
                <w:color w:val="000000"/>
                <w:sz w:val="17"/>
              </w:rPr>
              <w:t>Blockchain analytics</w:t>
            </w:r>
          </w:p>
        </w:tc>
        <w:tc>
          <w:tcPr>
            <w:tcW w:w="0" w:type="auto"/>
            <w:tcBorders>
              <w:top w:val="single" w:sz="1" w:space="0" w:color="000000"/>
              <w:bottom w:val="single" w:sz="1" w:space="0" w:color="000000"/>
              <w:right w:val="single" w:sz="1" w:space="0" w:color="000000"/>
            </w:tcBorders>
          </w:tcPr>
          <w:p w14:paraId="01223494" w14:textId="77777777" w:rsidR="00C30896" w:rsidRDefault="00000000">
            <w:pPr>
              <w:spacing w:line="360" w:lineRule="auto"/>
            </w:pPr>
            <w:proofErr w:type="spellStart"/>
            <w:r>
              <w:rPr>
                <w:rFonts w:ascii="helvetica neue" w:eastAsia="helvetica neue" w:hAnsi="helvetica neue" w:cs="helvetica neue"/>
                <w:color w:val="000000"/>
                <w:sz w:val="17"/>
              </w:rPr>
              <w:t>Chainalysis</w:t>
            </w:r>
            <w:proofErr w:type="spellEnd"/>
            <w:r>
              <w:rPr>
                <w:rFonts w:ascii="helvetica neue" w:eastAsia="helvetica neue" w:hAnsi="helvetica neue" w:cs="helvetica neue"/>
                <w:color w:val="000000"/>
                <w:sz w:val="17"/>
              </w:rPr>
              <w:t xml:space="preserve">, Elliptic, </w:t>
            </w:r>
            <w:proofErr w:type="spellStart"/>
            <w:r>
              <w:rPr>
                <w:rFonts w:ascii="helvetica neue" w:eastAsia="helvetica neue" w:hAnsi="helvetica neue" w:cs="helvetica neue"/>
                <w:color w:val="000000"/>
                <w:sz w:val="17"/>
              </w:rPr>
              <w:t>Scorechain</w:t>
            </w:r>
            <w:proofErr w:type="spellEnd"/>
          </w:p>
        </w:tc>
        <w:tc>
          <w:tcPr>
            <w:tcW w:w="0" w:type="auto"/>
            <w:tcBorders>
              <w:top w:val="single" w:sz="1" w:space="0" w:color="000000"/>
              <w:bottom w:val="single" w:sz="1" w:space="0" w:color="000000"/>
            </w:tcBorders>
          </w:tcPr>
          <w:p w14:paraId="1847B9C8" w14:textId="3A527355" w:rsidR="00C30896" w:rsidRDefault="00000000">
            <w:pPr>
              <w:spacing w:line="360" w:lineRule="auto"/>
            </w:pPr>
            <w:r>
              <w:rPr>
                <w:rFonts w:ascii="helvetica neue" w:eastAsia="helvetica neue" w:hAnsi="helvetica neue" w:cs="helvetica neue"/>
                <w:color w:val="000000"/>
                <w:sz w:val="17"/>
              </w:rPr>
              <w:t>On-chain risk scoring, wallet screening, taint analysis, ecosystem monitoring</w:t>
            </w:r>
          </w:p>
        </w:tc>
      </w:tr>
      <w:tr w:rsidR="00C30896" w14:paraId="4FF0A1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F9F2C8" w14:textId="77777777" w:rsidR="00C30896" w:rsidRDefault="00000000">
            <w:pPr>
              <w:spacing w:line="360" w:lineRule="auto"/>
            </w:pPr>
            <w:r>
              <w:rPr>
                <w:rFonts w:ascii="helvetica neue" w:eastAsia="helvetica neue" w:hAnsi="helvetica neue" w:cs="helvetica neue"/>
                <w:color w:val="000000"/>
                <w:sz w:val="17"/>
              </w:rPr>
              <w:t>Travel Rule infrastructure</w:t>
            </w:r>
          </w:p>
        </w:tc>
        <w:tc>
          <w:tcPr>
            <w:tcW w:w="0" w:type="auto"/>
            <w:tcBorders>
              <w:top w:val="single" w:sz="1" w:space="0" w:color="000000"/>
              <w:bottom w:val="single" w:sz="1" w:space="0" w:color="000000"/>
              <w:right w:val="single" w:sz="1" w:space="0" w:color="000000"/>
            </w:tcBorders>
          </w:tcPr>
          <w:p w14:paraId="64E3D2EF" w14:textId="77777777" w:rsidR="00C30896" w:rsidRDefault="00000000">
            <w:pPr>
              <w:spacing w:line="360" w:lineRule="auto"/>
            </w:pPr>
            <w:proofErr w:type="spellStart"/>
            <w:r>
              <w:rPr>
                <w:rFonts w:ascii="helvetica neue" w:eastAsia="helvetica neue" w:hAnsi="helvetica neue" w:cs="helvetica neue"/>
                <w:color w:val="000000"/>
                <w:sz w:val="17"/>
              </w:rPr>
              <w:t>OpenVASP</w:t>
            </w:r>
            <w:proofErr w:type="spellEnd"/>
            <w:r>
              <w:rPr>
                <w:rFonts w:ascii="helvetica neue" w:eastAsia="helvetica neue" w:hAnsi="helvetica neue" w:cs="helvetica neue"/>
                <w:color w:val="000000"/>
                <w:sz w:val="17"/>
              </w:rPr>
              <w:t xml:space="preserve">, </w:t>
            </w:r>
            <w:proofErr w:type="spellStart"/>
            <w:r>
              <w:rPr>
                <w:rFonts w:ascii="helvetica neue" w:eastAsia="helvetica neue" w:hAnsi="helvetica neue" w:cs="helvetica neue"/>
                <w:color w:val="000000"/>
                <w:sz w:val="17"/>
              </w:rPr>
              <w:t>Notabene</w:t>
            </w:r>
            <w:proofErr w:type="spellEnd"/>
            <w:r>
              <w:rPr>
                <w:rFonts w:ascii="helvetica neue" w:eastAsia="helvetica neue" w:hAnsi="helvetica neue" w:cs="helvetica neue"/>
                <w:color w:val="000000"/>
                <w:sz w:val="17"/>
              </w:rPr>
              <w:t xml:space="preserve">, </w:t>
            </w:r>
            <w:proofErr w:type="spellStart"/>
            <w:r>
              <w:rPr>
                <w:rFonts w:ascii="helvetica neue" w:eastAsia="helvetica neue" w:hAnsi="helvetica neue" w:cs="helvetica neue"/>
                <w:color w:val="000000"/>
                <w:sz w:val="17"/>
              </w:rPr>
              <w:t>Sygna</w:t>
            </w:r>
            <w:proofErr w:type="spellEnd"/>
          </w:p>
        </w:tc>
        <w:tc>
          <w:tcPr>
            <w:tcW w:w="0" w:type="auto"/>
            <w:tcBorders>
              <w:top w:val="single" w:sz="1" w:space="0" w:color="000000"/>
              <w:bottom w:val="single" w:sz="1" w:space="0" w:color="000000"/>
            </w:tcBorders>
          </w:tcPr>
          <w:p w14:paraId="13200F1E" w14:textId="369F4B69" w:rsidR="00C30896" w:rsidRDefault="00000000">
            <w:pPr>
              <w:spacing w:line="360" w:lineRule="auto"/>
            </w:pPr>
            <w:r>
              <w:rPr>
                <w:rFonts w:ascii="helvetica neue" w:eastAsia="helvetica neue" w:hAnsi="helvetica neue" w:cs="helvetica neue"/>
                <w:color w:val="000000"/>
                <w:sz w:val="17"/>
              </w:rPr>
              <w:t>VASP-to-VASP data exchange for stablecoin Travel Rule compliance</w:t>
            </w:r>
          </w:p>
        </w:tc>
      </w:tr>
      <w:tr w:rsidR="00C30896" w14:paraId="542C90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7B2BC1" w14:textId="77777777" w:rsidR="00C30896" w:rsidRDefault="00000000">
            <w:pPr>
              <w:spacing w:line="360" w:lineRule="auto"/>
            </w:pPr>
            <w:r>
              <w:rPr>
                <w:rFonts w:ascii="helvetica neue" w:eastAsia="helvetica neue" w:hAnsi="helvetica neue" w:cs="helvetica neue"/>
                <w:color w:val="000000"/>
                <w:sz w:val="17"/>
              </w:rPr>
              <w:t>AI/ML transaction monitoring</w:t>
            </w:r>
          </w:p>
        </w:tc>
        <w:tc>
          <w:tcPr>
            <w:tcW w:w="0" w:type="auto"/>
            <w:tcBorders>
              <w:top w:val="single" w:sz="1" w:space="0" w:color="000000"/>
              <w:bottom w:val="single" w:sz="1" w:space="0" w:color="000000"/>
              <w:right w:val="single" w:sz="1" w:space="0" w:color="000000"/>
            </w:tcBorders>
          </w:tcPr>
          <w:p w14:paraId="594A6A7F" w14:textId="77777777" w:rsidR="00C30896" w:rsidRDefault="00000000">
            <w:pPr>
              <w:spacing w:line="360" w:lineRule="auto"/>
            </w:pPr>
            <w:proofErr w:type="spellStart"/>
            <w:r>
              <w:rPr>
                <w:rFonts w:ascii="helvetica neue" w:eastAsia="helvetica neue" w:hAnsi="helvetica neue" w:cs="helvetica neue"/>
                <w:color w:val="000000"/>
                <w:sz w:val="17"/>
              </w:rPr>
              <w:t>Lucinity</w:t>
            </w:r>
            <w:proofErr w:type="spellEnd"/>
            <w:r>
              <w:rPr>
                <w:rFonts w:ascii="helvetica neue" w:eastAsia="helvetica neue" w:hAnsi="helvetica neue" w:cs="helvetica neue"/>
                <w:color w:val="000000"/>
                <w:sz w:val="17"/>
              </w:rPr>
              <w:t>, Consilient</w:t>
            </w:r>
          </w:p>
        </w:tc>
        <w:tc>
          <w:tcPr>
            <w:tcW w:w="0" w:type="auto"/>
            <w:tcBorders>
              <w:top w:val="single" w:sz="1" w:space="0" w:color="000000"/>
              <w:bottom w:val="single" w:sz="1" w:space="0" w:color="000000"/>
            </w:tcBorders>
          </w:tcPr>
          <w:p w14:paraId="16E46CBF" w14:textId="520455A0" w:rsidR="00C30896" w:rsidRDefault="00000000">
            <w:pPr>
              <w:spacing w:line="360" w:lineRule="auto"/>
            </w:pPr>
            <w:r>
              <w:rPr>
                <w:rFonts w:ascii="helvetica neue" w:eastAsia="helvetica neue" w:hAnsi="helvetica neue" w:cs="helvetica neue"/>
                <w:color w:val="000000"/>
                <w:sz w:val="17"/>
              </w:rPr>
              <w:t xml:space="preserve">False positive reduction; </w:t>
            </w:r>
            <w:proofErr w:type="spellStart"/>
            <w:r>
              <w:rPr>
                <w:rFonts w:ascii="helvetica neue" w:eastAsia="helvetica neue" w:hAnsi="helvetica neue" w:cs="helvetica neue"/>
                <w:color w:val="000000"/>
                <w:sz w:val="17"/>
              </w:rPr>
              <w:t>behavioural</w:t>
            </w:r>
            <w:proofErr w:type="spellEnd"/>
            <w:r>
              <w:rPr>
                <w:rFonts w:ascii="helvetica neue" w:eastAsia="helvetica neue" w:hAnsi="helvetica neue" w:cs="helvetica neue"/>
                <w:color w:val="000000"/>
                <w:sz w:val="17"/>
              </w:rPr>
              <w:t xml:space="preserve"> </w:t>
            </w:r>
            <w:proofErr w:type="gramStart"/>
            <w:r>
              <w:rPr>
                <w:rFonts w:ascii="helvetica neue" w:eastAsia="helvetica neue" w:hAnsi="helvetica neue" w:cs="helvetica neue"/>
                <w:color w:val="000000"/>
                <w:sz w:val="17"/>
              </w:rPr>
              <w:t>baselining</w:t>
            </w:r>
            <w:proofErr w:type="gramEnd"/>
            <w:r>
              <w:rPr>
                <w:rFonts w:ascii="helvetica neue" w:eastAsia="helvetica neue" w:hAnsi="helvetica neue" w:cs="helvetica neue"/>
                <w:color w:val="000000"/>
                <w:sz w:val="17"/>
              </w:rPr>
              <w:t>; graph analytics</w:t>
            </w:r>
          </w:p>
        </w:tc>
      </w:tr>
      <w:tr w:rsidR="00C30896" w14:paraId="4CE0AF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AB035F" w14:textId="77777777" w:rsidR="00C30896" w:rsidRDefault="00000000">
            <w:pPr>
              <w:spacing w:line="360" w:lineRule="auto"/>
            </w:pPr>
            <w:r>
              <w:rPr>
                <w:rFonts w:ascii="helvetica neue" w:eastAsia="helvetica neue" w:hAnsi="helvetica neue" w:cs="helvetica neue"/>
                <w:color w:val="000000"/>
                <w:sz w:val="17"/>
              </w:rPr>
              <w:t>Case management and SAR filing</w:t>
            </w:r>
          </w:p>
        </w:tc>
        <w:tc>
          <w:tcPr>
            <w:tcW w:w="0" w:type="auto"/>
            <w:tcBorders>
              <w:top w:val="single" w:sz="1" w:space="0" w:color="000000"/>
              <w:bottom w:val="single" w:sz="1" w:space="0" w:color="000000"/>
              <w:right w:val="single" w:sz="1" w:space="0" w:color="000000"/>
            </w:tcBorders>
          </w:tcPr>
          <w:p w14:paraId="57AD2735" w14:textId="77777777" w:rsidR="00C30896" w:rsidRDefault="00000000">
            <w:pPr>
              <w:spacing w:line="360" w:lineRule="auto"/>
            </w:pPr>
            <w:r>
              <w:rPr>
                <w:rFonts w:ascii="helvetica neue" w:eastAsia="helvetica neue" w:hAnsi="helvetica neue" w:cs="helvetica neue"/>
                <w:color w:val="000000"/>
                <w:sz w:val="17"/>
              </w:rPr>
              <w:t xml:space="preserve">NICE Actimize, </w:t>
            </w:r>
            <w:proofErr w:type="spellStart"/>
            <w:r>
              <w:rPr>
                <w:rFonts w:ascii="helvetica neue" w:eastAsia="helvetica neue" w:hAnsi="helvetica neue" w:cs="helvetica neue"/>
                <w:color w:val="000000"/>
                <w:sz w:val="17"/>
              </w:rPr>
              <w:t>Quantexa</w:t>
            </w:r>
            <w:proofErr w:type="spellEnd"/>
            <w:r>
              <w:rPr>
                <w:rFonts w:ascii="helvetica neue" w:eastAsia="helvetica neue" w:hAnsi="helvetica neue" w:cs="helvetica neue"/>
                <w:color w:val="000000"/>
                <w:sz w:val="17"/>
              </w:rPr>
              <w:t>, Oracle FCCM</w:t>
            </w:r>
          </w:p>
        </w:tc>
        <w:tc>
          <w:tcPr>
            <w:tcW w:w="0" w:type="auto"/>
            <w:tcBorders>
              <w:top w:val="single" w:sz="1" w:space="0" w:color="000000"/>
              <w:bottom w:val="single" w:sz="1" w:space="0" w:color="000000"/>
            </w:tcBorders>
          </w:tcPr>
          <w:p w14:paraId="28C5F1F9" w14:textId="21B3463B" w:rsidR="00C30896" w:rsidRDefault="00000000">
            <w:pPr>
              <w:spacing w:line="360" w:lineRule="auto"/>
            </w:pPr>
            <w:r>
              <w:rPr>
                <w:rFonts w:ascii="helvetica neue" w:eastAsia="helvetica neue" w:hAnsi="helvetica neue" w:cs="helvetica neue"/>
                <w:color w:val="000000"/>
                <w:sz w:val="17"/>
              </w:rPr>
              <w:t>Investigation workflow; SAR automation; audit trail management</w:t>
            </w:r>
          </w:p>
        </w:tc>
      </w:tr>
    </w:tbl>
    <w:p w14:paraId="62B9BDBB" w14:textId="77777777" w:rsidR="00C30896" w:rsidRDefault="00C30896"/>
    <w:p w14:paraId="0AB08EEC" w14:textId="77777777" w:rsidR="00C30896" w:rsidRDefault="00000000">
      <w:pPr>
        <w:spacing w:after="210" w:line="360" w:lineRule="auto"/>
      </w:pPr>
      <w:r>
        <w:rPr>
          <w:rFonts w:eastAsia="Georgia" w:hAnsi="Georgia" w:cs="Georgia"/>
          <w:color w:val="000000"/>
        </w:rPr>
        <w:t>A build-vs-buy analysis should be conducted during Phase 1 scoping, evaluating total cost of ownership, time-to-compliance, and vendor regulatory certification status across relevant jurisdictions. A hybrid approach — leveraging a unified monitoring platform from a specialist vendor, integrated with best-of-breed blockchain analytics — is likely to offer the optimal combination of speed-to-compliance and analytical depth.</w:t>
      </w:r>
    </w:p>
    <w:p w14:paraId="32679AFF" w14:textId="77777777" w:rsidR="00C30896" w:rsidRDefault="00000000">
      <w:pPr>
        <w:spacing w:before="210" w:after="0" w:line="360" w:lineRule="auto"/>
      </w:pPr>
      <w:r>
        <w:rPr>
          <w:noProof/>
        </w:rPr>
      </w:r>
      <w:r>
        <w:rPr>
          <w:noProof/>
        </w:rPr>
        <w:pict w14:anchorId="56B7B521">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B2095E" w14:textId="77777777" w:rsidR="00C30896" w:rsidRDefault="00000000">
      <w:pPr>
        <w:spacing w:before="315" w:after="105" w:line="360" w:lineRule="auto"/>
        <w:ind w:left="-30"/>
      </w:pPr>
      <w:bookmarkStart w:id="37" w:name="bm_7_conclusion"/>
      <w:r>
        <w:rPr>
          <w:rFonts w:eastAsia="Georgia" w:hAnsi="Georgia" w:cs="Georgia"/>
          <w:b/>
          <w:color w:val="000000"/>
          <w:sz w:val="24"/>
        </w:rPr>
        <w:t>7. Conclusion</w:t>
      </w:r>
      <w:bookmarkEnd w:id="37"/>
    </w:p>
    <w:p w14:paraId="081E4819" w14:textId="2BD8A012" w:rsidR="00C30896" w:rsidRDefault="00000000">
      <w:pPr>
        <w:spacing w:after="210" w:line="360" w:lineRule="auto"/>
      </w:pPr>
      <w:r>
        <w:rPr>
          <w:rFonts w:eastAsia="Georgia" w:hAnsi="Georgia" w:cs="Georgia"/>
          <w:color w:val="000000"/>
        </w:rPr>
        <w:t xml:space="preserve">The convergence of fiat and regulated stablecoin transactions is not a future scenario — it is today's operational reality. With global stablecoin transaction volumes at </w:t>
      </w:r>
      <w:r>
        <w:rPr>
          <w:rFonts w:eastAsia="Georgia" w:hAnsi="Georgia" w:cs="Georgia"/>
          <w:b/>
          <w:color w:val="000000"/>
        </w:rPr>
        <w:t>$33 trillion and rising</w:t>
      </w:r>
      <w:r>
        <w:rPr>
          <w:rFonts w:eastAsia="Georgia" w:hAnsi="Georgia" w:cs="Georgia"/>
          <w:color w:val="000000"/>
        </w:rPr>
        <w:t xml:space="preserve">, regulatory frameworks firmly in place across Hong Kong, the EU, and the US, and criminal </w:t>
      </w:r>
      <w:r>
        <w:rPr>
          <w:rFonts w:eastAsia="Georgia" w:hAnsi="Georgia" w:cs="Georgia"/>
          <w:color w:val="000000"/>
        </w:rPr>
        <w:lastRenderedPageBreak/>
        <w:t>exploitation of the compliance gap already well-documented, the case for a unified transaction monitoring architecture is both commercially and regulatorily compelling.</w:t>
      </w:r>
    </w:p>
    <w:p w14:paraId="0CC09E9B" w14:textId="6D91E74D" w:rsidR="00C30896" w:rsidRDefault="00000000">
      <w:pPr>
        <w:spacing w:after="210" w:line="360" w:lineRule="auto"/>
      </w:pPr>
      <w:r>
        <w:rPr>
          <w:rFonts w:eastAsia="Georgia" w:hAnsi="Georgia" w:cs="Georgia"/>
          <w:color w:val="000000"/>
        </w:rPr>
        <w:t xml:space="preserve">Project Overwatch addresses the root causes of fragmented compliance — siloed systems, duplicate rule sets, blind spots at the rail crossover, and unsustainable false positive rates — through a purpose-designed unified platform. The solution delivers measurable business outcomes: </w:t>
      </w:r>
      <w:r>
        <w:rPr>
          <w:rFonts w:eastAsia="Georgia" w:hAnsi="Georgia" w:cs="Georgia"/>
          <w:b/>
          <w:color w:val="000000"/>
        </w:rPr>
        <w:t>70–80% reductions in false positives</w:t>
      </w:r>
      <w:r>
        <w:rPr>
          <w:rFonts w:eastAsia="Georgia" w:hAnsi="Georgia" w:cs="Georgia"/>
          <w:color w:val="000000"/>
        </w:rPr>
        <w:t xml:space="preserve">, materially lower operational costs, regulatory examination readiness across HKMA, </w:t>
      </w:r>
      <w:proofErr w:type="spellStart"/>
      <w:r>
        <w:rPr>
          <w:rFonts w:eastAsia="Georgia" w:hAnsi="Georgia" w:cs="Georgia"/>
          <w:color w:val="000000"/>
        </w:rPr>
        <w:t>MiCA</w:t>
      </w:r>
      <w:proofErr w:type="spellEnd"/>
      <w:r>
        <w:rPr>
          <w:rFonts w:eastAsia="Georgia" w:hAnsi="Georgia" w:cs="Georgia"/>
          <w:color w:val="000000"/>
        </w:rPr>
        <w:t>, and FATF standards, and the commercial capability to serve the fastest-growing segment of the payments market.</w:t>
      </w:r>
    </w:p>
    <w:p w14:paraId="54916AA3" w14:textId="77777777" w:rsidR="00C30896" w:rsidRDefault="00000000">
      <w:pPr>
        <w:spacing w:after="210" w:line="360" w:lineRule="auto"/>
      </w:pPr>
      <w:r>
        <w:rPr>
          <w:rFonts w:eastAsia="Georgia" w:hAnsi="Georgia" w:cs="Georgia"/>
          <w:color w:val="000000"/>
        </w:rPr>
        <w:t>The three-phase implementation roadmap is designed to deliver early value — compliance-ready fiat monitoring and blockchain analytics integration within six months — while building toward a fully unified, AI-augmented, and ecosystem-aware monitoring architecture that will remain fit for purpose as regulatory expectations continue to evolve.</w:t>
      </w:r>
    </w:p>
    <w:p w14:paraId="69B4D03F" w14:textId="77777777" w:rsidR="00C30896" w:rsidRDefault="00000000">
      <w:pPr>
        <w:spacing w:after="210" w:line="360" w:lineRule="auto"/>
      </w:pPr>
      <w:r>
        <w:rPr>
          <w:rFonts w:eastAsia="Georgia" w:hAnsi="Georgia" w:cs="Georgia"/>
          <w:color w:val="000000"/>
        </w:rPr>
        <w:t>Project Overwatch is not merely a compliance investment. It is the foundational infrastructure for participating in the next era of financial services.</w:t>
      </w:r>
    </w:p>
    <w:p w14:paraId="58A5E357" w14:textId="77777777" w:rsidR="00C30896" w:rsidRDefault="00000000">
      <w:pPr>
        <w:spacing w:before="210" w:after="0" w:line="360" w:lineRule="auto"/>
      </w:pPr>
      <w:r>
        <w:rPr>
          <w:noProof/>
        </w:rPr>
      </w:r>
      <w:r>
        <w:rPr>
          <w:noProof/>
        </w:rPr>
        <w:pict w14:anchorId="5860FEA4">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F0F745E" w14:textId="77777777" w:rsidR="00C30896" w:rsidRDefault="00000000">
      <w:pPr>
        <w:spacing w:after="210" w:line="360" w:lineRule="auto"/>
        <w:rPr>
          <w:rFonts w:eastAsia="Georgia" w:hAnsi="Georgia" w:cs="Georgia"/>
          <w:i/>
          <w:color w:val="000000"/>
        </w:rPr>
      </w:pPr>
      <w:r>
        <w:rPr>
          <w:rFonts w:eastAsia="Georgia" w:hAnsi="Georgia" w:cs="Georgia"/>
          <w:i/>
          <w:color w:val="000000"/>
        </w:rPr>
        <w:t xml:space="preserve">This proposal has been prepared based on current regulatory requirements and market intelligence as of April 2026. Regulatory frameworks referenced include HKMA Stablecoins Ordinance (Cap. 656), EU </w:t>
      </w:r>
      <w:proofErr w:type="spellStart"/>
      <w:r>
        <w:rPr>
          <w:rFonts w:eastAsia="Georgia" w:hAnsi="Georgia" w:cs="Georgia"/>
          <w:i/>
          <w:color w:val="000000"/>
        </w:rPr>
        <w:t>MiCA</w:t>
      </w:r>
      <w:proofErr w:type="spellEnd"/>
      <w:r>
        <w:rPr>
          <w:rFonts w:eastAsia="Georgia" w:hAnsi="Georgia" w:cs="Georgia"/>
          <w:i/>
          <w:color w:val="000000"/>
        </w:rPr>
        <w:t xml:space="preserve"> Regulation, US GENIUS Act, and FATF Recommendations 15 and 16 as revised at </w:t>
      </w:r>
      <w:proofErr w:type="gramStart"/>
      <w:r>
        <w:rPr>
          <w:rFonts w:eastAsia="Georgia" w:hAnsi="Georgia" w:cs="Georgia"/>
          <w:i/>
          <w:color w:val="000000"/>
        </w:rPr>
        <w:t>the June</w:t>
      </w:r>
      <w:proofErr w:type="gramEnd"/>
      <w:r>
        <w:rPr>
          <w:rFonts w:eastAsia="Georgia" w:hAnsi="Georgia" w:cs="Georgia"/>
          <w:i/>
          <w:color w:val="000000"/>
        </w:rPr>
        <w:t xml:space="preserve"> 2025 FATF Plenary.</w:t>
      </w:r>
    </w:p>
    <w:p w14:paraId="2AADC97B" w14:textId="042996C3" w:rsidR="00F64BB2" w:rsidRDefault="00F64BB2">
      <w:pPr>
        <w:spacing w:after="210" w:line="360" w:lineRule="auto"/>
      </w:pPr>
    </w:p>
    <w:p w14:paraId="4A895FD3" w14:textId="77777777" w:rsidR="00F64BB2" w:rsidRDefault="00F64BB2">
      <w:r>
        <w:br w:type="page"/>
      </w:r>
    </w:p>
    <w:p w14:paraId="79D1F626" w14:textId="77777777" w:rsidR="00F64BB2" w:rsidRDefault="00F64BB2" w:rsidP="00F64BB2">
      <w:pPr>
        <w:pStyle w:val="Heading1"/>
      </w:pPr>
      <w:bookmarkStart w:id="38" w:name="aml_admin_portal_functional_non_f_920bed"/>
      <w:r>
        <w:lastRenderedPageBreak/>
        <w:t>AML Admin Portal — Functional &amp; Non-Functional Requirements Specification</w:t>
      </w:r>
      <w:bookmarkEnd w:id="38"/>
    </w:p>
    <w:p w14:paraId="06DCFA35" w14:textId="77777777" w:rsidR="00F64BB2" w:rsidRPr="00F64BB2" w:rsidRDefault="00F64BB2" w:rsidP="00F64BB2">
      <w:pPr>
        <w:pStyle w:val="Heading2"/>
      </w:pPr>
      <w:r w:rsidRPr="00F64BB2">
        <w:t>Executive Summary</w:t>
      </w:r>
    </w:p>
    <w:p w14:paraId="66777408" w14:textId="77777777" w:rsidR="00F64BB2" w:rsidRDefault="00F64BB2" w:rsidP="00F64BB2">
      <w:pPr>
        <w:spacing w:after="210"/>
      </w:pPr>
      <w:r>
        <w:t xml:space="preserve">This document specifies the functional and non-functional requirements for an AML (Anti-Money Laundering) admin portal comprising four integrated modules: a KPI Monitoring and Alerting Dashboard, a Case Management system, an Interactive Network Visualization layer for fund flow analysis, and an ETL pipeline serving a PostgreSQL transaction database and Apache AGE graph exploration layer. The specification targets the established stack of Next.js + React + TypeScript on the frontend and Python + </w:t>
      </w:r>
      <w:proofErr w:type="spellStart"/>
      <w:r>
        <w:t>FastAPI</w:t>
      </w:r>
      <w:proofErr w:type="spellEnd"/>
      <w:r>
        <w:t xml:space="preserve"> + PostgreSQL + Apache AGE + Temporal on the backend.[1][2][3]</w:t>
      </w:r>
    </w:p>
    <w:p w14:paraId="0FAB3A44" w14:textId="77777777" w:rsidR="00F64BB2" w:rsidRDefault="00F64BB2" w:rsidP="00F64BB2">
      <w:pPr>
        <w:spacing w:after="210"/>
      </w:pPr>
      <w:r>
        <w:t xml:space="preserve">The system must satisfy global regulatory frameworks including the Bank Secrecy Act (BSA), EU AML Directives (AMLD5 and AMLD6), FATF recommendations, and GDPR, </w:t>
      </w:r>
      <w:proofErr w:type="gramStart"/>
      <w:r>
        <w:t>all of</w:t>
      </w:r>
      <w:proofErr w:type="gramEnd"/>
      <w:r>
        <w:t xml:space="preserve"> which mandate transaction monitoring, suspicious activity reporting, audit documentation, and risk-based controls.[4][5][3]</w:t>
      </w:r>
    </w:p>
    <w:p w14:paraId="36E6F0A3" w14:textId="77777777" w:rsidR="00F64BB2" w:rsidRDefault="00F64BB2" w:rsidP="00F64BB2">
      <w:r>
        <w:rPr>
          <w:noProof/>
        </w:rPr>
        <w:pict w14:anchorId="5D88EED3">
          <v:rect id="_x0000_i1039" alt="" style="width:434.5pt;height:.05pt;mso-width-percent:0;mso-height-percent:0;mso-width-percent:0;mso-height-percent:0" o:hralign="center" o:hrstd="t" o:hr="t"/>
        </w:pict>
      </w:r>
    </w:p>
    <w:p w14:paraId="54AA5DF4" w14:textId="77777777" w:rsidR="00F64BB2" w:rsidRPr="00F64BB2" w:rsidRDefault="00F64BB2" w:rsidP="00F64BB2">
      <w:pPr>
        <w:pStyle w:val="Heading2"/>
      </w:pPr>
      <w:bookmarkStart w:id="39" w:name="module_1_kpi_monitoring_and_alert_80a42d"/>
      <w:r w:rsidRPr="00F64BB2">
        <w:t>Module 1: KPI Monitoring and Alerting Dashboard</w:t>
      </w:r>
      <w:bookmarkEnd w:id="39"/>
    </w:p>
    <w:p w14:paraId="26E33115" w14:textId="77777777" w:rsidR="00F64BB2" w:rsidRPr="00F64BB2" w:rsidRDefault="00F64BB2" w:rsidP="00F64BB2">
      <w:pPr>
        <w:pStyle w:val="Heading2"/>
      </w:pPr>
      <w:bookmarkStart w:id="40" w:name="functional_requirements"/>
      <w:r w:rsidRPr="00F64BB2">
        <w:t>Functional Requirements</w:t>
      </w:r>
      <w:bookmarkEnd w:id="40"/>
    </w:p>
    <w:p w14:paraId="74DECB7E" w14:textId="77777777" w:rsidR="00F64BB2" w:rsidRDefault="00F64BB2" w:rsidP="00F64BB2">
      <w:pPr>
        <w:pStyle w:val="Heading3"/>
      </w:pPr>
      <w:bookmarkStart w:id="41" w:name="fr_d01_kpi_metrics_display"/>
      <w:r>
        <w:t>FR-D01 — KPI Metrics Display</w:t>
      </w:r>
      <w:bookmarkEnd w:id="41"/>
    </w:p>
    <w:p w14:paraId="22318AF3" w14:textId="77777777" w:rsidR="00F64BB2" w:rsidRDefault="00F64BB2" w:rsidP="00F64BB2">
      <w:pPr>
        <w:spacing w:after="210"/>
      </w:pPr>
      <w:r>
        <w:t>The dashboard must display the following AML operational KPIs in real time, updated at intervals not exceeding 60 seconds for live alert queues:[6][7][8][9]</w:t>
      </w:r>
    </w:p>
    <w:p w14:paraId="61AC4E96" w14:textId="77777777" w:rsidR="00F64BB2" w:rsidRDefault="00F64BB2" w:rsidP="00F64BB2">
      <w:pPr>
        <w:numPr>
          <w:ilvl w:val="0"/>
          <w:numId w:val="23"/>
        </w:numPr>
      </w:pPr>
      <w:r>
        <w:t>Alert volume (total, by rule, by risk tier, by channel)</w:t>
      </w:r>
    </w:p>
    <w:p w14:paraId="2A4FC72E" w14:textId="77777777" w:rsidR="00F64BB2" w:rsidRDefault="00F64BB2" w:rsidP="00F64BB2">
      <w:pPr>
        <w:numPr>
          <w:ilvl w:val="0"/>
          <w:numId w:val="23"/>
        </w:numPr>
      </w:pPr>
      <w:r>
        <w:t>Alert-to-case conversion rate</w:t>
      </w:r>
    </w:p>
    <w:p w14:paraId="5198FEC2" w14:textId="77777777" w:rsidR="00F64BB2" w:rsidRDefault="00F64BB2" w:rsidP="00F64BB2">
      <w:pPr>
        <w:numPr>
          <w:ilvl w:val="0"/>
          <w:numId w:val="23"/>
        </w:numPr>
      </w:pPr>
      <w:r>
        <w:t>False-positive rate and trend line</w:t>
      </w:r>
    </w:p>
    <w:p w14:paraId="75724A84" w14:textId="77777777" w:rsidR="00F64BB2" w:rsidRDefault="00F64BB2" w:rsidP="00F64BB2">
      <w:pPr>
        <w:numPr>
          <w:ilvl w:val="0"/>
          <w:numId w:val="23"/>
        </w:numPr>
      </w:pPr>
      <w:r>
        <w:t>SAR/STR filing volume and status</w:t>
      </w:r>
    </w:p>
    <w:p w14:paraId="3CA19553" w14:textId="77777777" w:rsidR="00F64BB2" w:rsidRDefault="00F64BB2" w:rsidP="00F64BB2">
      <w:pPr>
        <w:numPr>
          <w:ilvl w:val="0"/>
          <w:numId w:val="23"/>
        </w:numPr>
      </w:pPr>
      <w:r>
        <w:t>Average case resolution time (time-to-close)</w:t>
      </w:r>
    </w:p>
    <w:p w14:paraId="1DEA763C" w14:textId="77777777" w:rsidR="00F64BB2" w:rsidRDefault="00F64BB2" w:rsidP="00F64BB2">
      <w:pPr>
        <w:numPr>
          <w:ilvl w:val="0"/>
          <w:numId w:val="23"/>
        </w:numPr>
      </w:pPr>
      <w:r>
        <w:t>Queue backlog count and aging distribution</w:t>
      </w:r>
    </w:p>
    <w:p w14:paraId="46C6908C" w14:textId="77777777" w:rsidR="00F64BB2" w:rsidRDefault="00F64BB2" w:rsidP="00F64BB2">
      <w:pPr>
        <w:numPr>
          <w:ilvl w:val="0"/>
          <w:numId w:val="23"/>
        </w:numPr>
      </w:pPr>
      <w:r>
        <w:t>SLA compliance percentage per investigator and team</w:t>
      </w:r>
    </w:p>
    <w:p w14:paraId="4AA41FE7" w14:textId="77777777" w:rsidR="00F64BB2" w:rsidRDefault="00F64BB2" w:rsidP="00F64BB2">
      <w:pPr>
        <w:numPr>
          <w:ilvl w:val="0"/>
          <w:numId w:val="23"/>
        </w:numPr>
      </w:pPr>
      <w:r>
        <w:t>Customer risk tier breakdown (low, medium, high, PEP, sanctions)</w:t>
      </w:r>
    </w:p>
    <w:p w14:paraId="1568C0FB" w14:textId="77777777" w:rsidR="00F64BB2" w:rsidRDefault="00F64BB2" w:rsidP="00F64BB2">
      <w:pPr>
        <w:numPr>
          <w:ilvl w:val="0"/>
          <w:numId w:val="23"/>
        </w:numPr>
      </w:pPr>
      <w:r>
        <w:t>KYC completion rate</w:t>
      </w:r>
    </w:p>
    <w:p w14:paraId="6EC00B69" w14:textId="77777777" w:rsidR="00F64BB2" w:rsidRDefault="00F64BB2" w:rsidP="00F64BB2">
      <w:pPr>
        <w:numPr>
          <w:ilvl w:val="0"/>
          <w:numId w:val="23"/>
        </w:numPr>
      </w:pPr>
      <w:r>
        <w:t>Cost-per-case (computed from case count and team hour inputs)</w:t>
      </w:r>
    </w:p>
    <w:p w14:paraId="5882BE1E" w14:textId="77777777" w:rsidR="00F64BB2" w:rsidRDefault="00F64BB2" w:rsidP="00F64BB2">
      <w:pPr>
        <w:pStyle w:val="Heading3"/>
      </w:pPr>
      <w:bookmarkStart w:id="42" w:name="fr_d02_traffic_light_indicators"/>
      <w:r>
        <w:t>FR-D02 — Traffic-Light Indicators</w:t>
      </w:r>
      <w:bookmarkEnd w:id="42"/>
    </w:p>
    <w:p w14:paraId="2AC47238" w14:textId="77777777" w:rsidR="00F64BB2" w:rsidRDefault="00F64BB2" w:rsidP="00F64BB2">
      <w:pPr>
        <w:spacing w:after="210"/>
      </w:pPr>
      <w:r>
        <w:t>Each KPI card must display a three-level traffic-light indicator (green, amber, red) against configurable thresholds, providing at-a-glance health status for the AML/CFT compliance officer and management. Threshold values must be configurable per role without requiring a code deployment.[9][6]</w:t>
      </w:r>
    </w:p>
    <w:p w14:paraId="4D5EA8B5" w14:textId="77777777" w:rsidR="00F64BB2" w:rsidRDefault="00F64BB2" w:rsidP="00F64BB2">
      <w:pPr>
        <w:pStyle w:val="Heading3"/>
      </w:pPr>
      <w:bookmarkStart w:id="43" w:name="fr_d03_alert_volume_charts"/>
      <w:r>
        <w:t>FR-D03 — Alert Volume Charts</w:t>
      </w:r>
      <w:bookmarkEnd w:id="43"/>
    </w:p>
    <w:p w14:paraId="437B03D7" w14:textId="77777777" w:rsidR="00F64BB2" w:rsidRDefault="00F64BB2" w:rsidP="00F64BB2">
      <w:pPr>
        <w:spacing w:after="210"/>
      </w:pPr>
      <w:r>
        <w:t xml:space="preserve">The dashboard must render time-series charts for alert volume, SAR filing volume, and false-positive rate across configurable rolling windows (24 h, 7 d, 30 d, 90 d). Charts must support zoom, pan, and data-point inspection, and must use </w:t>
      </w:r>
      <w:proofErr w:type="spellStart"/>
      <w:r>
        <w:t>ECharts</w:t>
      </w:r>
      <w:proofErr w:type="spellEnd"/>
      <w:r>
        <w:t xml:space="preserve"> or a comparable library capable of handling large time-series datasets.[8][10]</w:t>
      </w:r>
    </w:p>
    <w:p w14:paraId="614F3202" w14:textId="77777777" w:rsidR="00F64BB2" w:rsidRDefault="00F64BB2" w:rsidP="00F64BB2">
      <w:pPr>
        <w:pStyle w:val="Heading3"/>
      </w:pPr>
      <w:bookmarkStart w:id="44" w:name="fr_d04_tiered_alert_notification"/>
      <w:r>
        <w:lastRenderedPageBreak/>
        <w:t>FR-D04 — Tiered Alert Notification</w:t>
      </w:r>
      <w:bookmarkEnd w:id="44"/>
    </w:p>
    <w:p w14:paraId="363E6DF0" w14:textId="77777777" w:rsidR="00F64BB2" w:rsidRDefault="00F64BB2" w:rsidP="00F64BB2">
      <w:pPr>
        <w:spacing w:after="210"/>
      </w:pPr>
      <w:r>
        <w:t>The system must deliver automated notifications using a tiered strategy to prevent alert fatigue:[9]</w:t>
      </w:r>
    </w:p>
    <w:p w14:paraId="140C69A8" w14:textId="77777777" w:rsidR="00F64BB2" w:rsidRDefault="00F64BB2" w:rsidP="00F64BB2">
      <w:pPr>
        <w:numPr>
          <w:ilvl w:val="0"/>
          <w:numId w:val="24"/>
        </w:numPr>
      </w:pPr>
      <w:r>
        <w:rPr>
          <w:b/>
        </w:rPr>
        <w:t>Critical</w:t>
      </w:r>
      <w:r>
        <w:t xml:space="preserve"> (high-risk, threshold-amount breach): immediate push notification and email to assigned compliance officer</w:t>
      </w:r>
    </w:p>
    <w:p w14:paraId="3B3E00DD" w14:textId="77777777" w:rsidR="00F64BB2" w:rsidRDefault="00F64BB2" w:rsidP="00F64BB2">
      <w:pPr>
        <w:numPr>
          <w:ilvl w:val="0"/>
          <w:numId w:val="24"/>
        </w:numPr>
      </w:pPr>
      <w:r>
        <w:rPr>
          <w:b/>
        </w:rPr>
        <w:t>High</w:t>
      </w:r>
      <w:r>
        <w:t xml:space="preserve"> (SLA risk, escalation pending): in-app notification and email digest every 2 hours</w:t>
      </w:r>
    </w:p>
    <w:p w14:paraId="54B3E5EA" w14:textId="77777777" w:rsidR="00F64BB2" w:rsidRDefault="00F64BB2" w:rsidP="00F64BB2">
      <w:pPr>
        <w:numPr>
          <w:ilvl w:val="0"/>
          <w:numId w:val="24"/>
        </w:numPr>
      </w:pPr>
      <w:r>
        <w:rPr>
          <w:b/>
        </w:rPr>
        <w:t>Medium</w:t>
      </w:r>
      <w:r>
        <w:t xml:space="preserve"> (routine monitoring pattern): aggregated daily digest</w:t>
      </w:r>
    </w:p>
    <w:p w14:paraId="148834BA" w14:textId="77777777" w:rsidR="00F64BB2" w:rsidRDefault="00F64BB2" w:rsidP="00F64BB2">
      <w:pPr>
        <w:numPr>
          <w:ilvl w:val="0"/>
          <w:numId w:val="24"/>
        </w:numPr>
      </w:pPr>
      <w:r>
        <w:rPr>
          <w:b/>
        </w:rPr>
        <w:t>Low / Informational</w:t>
      </w:r>
      <w:r>
        <w:t>: visible in-portal only, no push</w:t>
      </w:r>
    </w:p>
    <w:p w14:paraId="485B7A91" w14:textId="77777777" w:rsidR="00F64BB2" w:rsidRDefault="00F64BB2" w:rsidP="00F64BB2">
      <w:pPr>
        <w:spacing w:after="210"/>
      </w:pPr>
      <w:r>
        <w:t>Each tier's threshold conditions must be configurable by compliance administrators.</w:t>
      </w:r>
    </w:p>
    <w:p w14:paraId="7879F2F3" w14:textId="77777777" w:rsidR="00F64BB2" w:rsidRDefault="00F64BB2" w:rsidP="00F64BB2">
      <w:pPr>
        <w:pStyle w:val="Heading3"/>
      </w:pPr>
      <w:bookmarkStart w:id="45" w:name="fr_d05_analyst_operational_view"/>
      <w:r>
        <w:t>FR-D05 — Analyst Operational View</w:t>
      </w:r>
      <w:bookmarkEnd w:id="45"/>
    </w:p>
    <w:p w14:paraId="796A5227" w14:textId="77777777" w:rsidR="00F64BB2" w:rsidRDefault="00F64BB2" w:rsidP="00F64BB2">
      <w:pPr>
        <w:spacing w:after="210"/>
      </w:pPr>
      <w:r>
        <w:t>The dashboard must provide a dedicated operational view for transaction monitoring analysts showing alert volume, backlog, alerts resolved, alerts escalated, and a throughput trend, updated in real time. Managers must see aggregated team-level views.[10]</w:t>
      </w:r>
    </w:p>
    <w:p w14:paraId="7EDEA85C" w14:textId="77777777" w:rsidR="00F64BB2" w:rsidRDefault="00F64BB2" w:rsidP="00F64BB2">
      <w:pPr>
        <w:pStyle w:val="Heading3"/>
      </w:pPr>
      <w:bookmarkStart w:id="46" w:name="fr_d06_rule_and_scenario_performance"/>
      <w:r>
        <w:t>FR-D06 — Rule and Scenario Performance</w:t>
      </w:r>
      <w:bookmarkEnd w:id="46"/>
    </w:p>
    <w:p w14:paraId="3EEDDDEA" w14:textId="77777777" w:rsidR="00F64BB2" w:rsidRDefault="00F64BB2" w:rsidP="00F64BB2">
      <w:pPr>
        <w:spacing w:after="210"/>
      </w:pPr>
      <w:r>
        <w:t xml:space="preserve">The dashboard must display per-rule performance metrics </w:t>
      </w:r>
      <w:proofErr w:type="gramStart"/>
      <w:r>
        <w:t>including:</w:t>
      </w:r>
      <w:proofErr w:type="gramEnd"/>
      <w:r>
        <w:t xml:space="preserve"> hit rate, false-positive rate, number of cases generated, and last modification timestamp. Rules with a false-positive rate above a configurable threshold must be highlighted automatically.[7]</w:t>
      </w:r>
    </w:p>
    <w:p w14:paraId="466723AA" w14:textId="77777777" w:rsidR="00F64BB2" w:rsidRDefault="00F64BB2" w:rsidP="00F64BB2">
      <w:pPr>
        <w:pStyle w:val="Heading3"/>
      </w:pPr>
      <w:bookmarkStart w:id="47" w:name="fr_d07_exportable_compliance_reports"/>
      <w:r>
        <w:t>FR-D07 — Exportable Compliance Reports</w:t>
      </w:r>
      <w:bookmarkEnd w:id="47"/>
    </w:p>
    <w:p w14:paraId="7DCFF96F" w14:textId="77777777" w:rsidR="00F64BB2" w:rsidRDefault="00F64BB2" w:rsidP="00F64BB2">
      <w:pPr>
        <w:spacing w:after="210"/>
      </w:pPr>
      <w:r>
        <w:t>Compliance officers must be able to export dashboard snapshots and metric summaries as PDF and CSV for board reporting, regulator inspection, and internal audit.[11][9]</w:t>
      </w:r>
    </w:p>
    <w:p w14:paraId="2EA11EDF" w14:textId="77777777" w:rsidR="00F64BB2" w:rsidRDefault="00F64BB2" w:rsidP="00F64BB2">
      <w:pPr>
        <w:pStyle w:val="Heading3"/>
      </w:pPr>
      <w:bookmarkStart w:id="48" w:name="frontend_requirements_module_1"/>
      <w:r>
        <w:t>Frontend Requirements (Module 1)</w:t>
      </w:r>
      <w:bookmarkEnd w:id="4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63"/>
        <w:gridCol w:w="7741"/>
      </w:tblGrid>
      <w:tr w:rsidR="00F64BB2" w14:paraId="03764701" w14:textId="77777777" w:rsidTr="00074F6A">
        <w:trPr>
          <w:cantSplit/>
          <w:tblCellSpacing w:w="0" w:type="dxa"/>
          <w:jc w:val="center"/>
        </w:trPr>
        <w:tc>
          <w:tcPr>
            <w:tcW w:w="0" w:type="auto"/>
            <w:tcBorders>
              <w:top w:val="single" w:sz="1" w:space="0" w:color="000000"/>
              <w:bottom w:val="single" w:sz="1" w:space="0" w:color="000000"/>
            </w:tcBorders>
          </w:tcPr>
          <w:p w14:paraId="762A1B1D" w14:textId="77777777" w:rsidR="00F64BB2" w:rsidRDefault="00F64BB2" w:rsidP="00074F6A">
            <w:r>
              <w:t>Requirement</w:t>
            </w:r>
          </w:p>
        </w:tc>
        <w:tc>
          <w:tcPr>
            <w:tcW w:w="0" w:type="auto"/>
            <w:tcBorders>
              <w:top w:val="single" w:sz="1" w:space="0" w:color="000000"/>
              <w:left w:val="single" w:sz="1" w:space="0" w:color="000000"/>
              <w:bottom w:val="single" w:sz="1" w:space="0" w:color="000000"/>
            </w:tcBorders>
          </w:tcPr>
          <w:p w14:paraId="485F1A07" w14:textId="77777777" w:rsidR="00F64BB2" w:rsidRDefault="00F64BB2" w:rsidP="00074F6A">
            <w:r>
              <w:t>Detail</w:t>
            </w:r>
          </w:p>
        </w:tc>
      </w:tr>
      <w:tr w:rsidR="00F64BB2" w14:paraId="5026D68C" w14:textId="77777777" w:rsidTr="00074F6A">
        <w:trPr>
          <w:cantSplit/>
          <w:tblCellSpacing w:w="0" w:type="dxa"/>
          <w:jc w:val="center"/>
        </w:trPr>
        <w:tc>
          <w:tcPr>
            <w:tcW w:w="0" w:type="auto"/>
            <w:tcBorders>
              <w:top w:val="single" w:sz="1" w:space="0" w:color="000000"/>
              <w:bottom w:val="single" w:sz="1" w:space="0" w:color="000000"/>
            </w:tcBorders>
          </w:tcPr>
          <w:p w14:paraId="6B8E9746" w14:textId="77777777" w:rsidR="00F64BB2" w:rsidRDefault="00F64BB2" w:rsidP="00074F6A">
            <w:r>
              <w:t>Technology</w:t>
            </w:r>
          </w:p>
        </w:tc>
        <w:tc>
          <w:tcPr>
            <w:tcW w:w="0" w:type="auto"/>
            <w:tcBorders>
              <w:top w:val="single" w:sz="1" w:space="0" w:color="000000"/>
              <w:left w:val="single" w:sz="1" w:space="0" w:color="000000"/>
              <w:bottom w:val="single" w:sz="1" w:space="0" w:color="000000"/>
            </w:tcBorders>
          </w:tcPr>
          <w:p w14:paraId="584E552F" w14:textId="77777777" w:rsidR="00F64BB2" w:rsidRDefault="00F64BB2" w:rsidP="00074F6A">
            <w:r>
              <w:t xml:space="preserve">Next.js App Router page, </w:t>
            </w:r>
            <w:proofErr w:type="spellStart"/>
            <w:r>
              <w:t>TanStack</w:t>
            </w:r>
            <w:proofErr w:type="spellEnd"/>
            <w:r>
              <w:t xml:space="preserve"> Query for polling/cache, </w:t>
            </w:r>
            <w:proofErr w:type="spellStart"/>
            <w:r>
              <w:t>ECharts</w:t>
            </w:r>
            <w:proofErr w:type="spellEnd"/>
            <w:r>
              <w:t xml:space="preserve"> for time-series</w:t>
            </w:r>
          </w:p>
        </w:tc>
      </w:tr>
      <w:tr w:rsidR="00F64BB2" w14:paraId="25997643" w14:textId="77777777" w:rsidTr="00074F6A">
        <w:trPr>
          <w:cantSplit/>
          <w:tblCellSpacing w:w="0" w:type="dxa"/>
          <w:jc w:val="center"/>
        </w:trPr>
        <w:tc>
          <w:tcPr>
            <w:tcW w:w="0" w:type="auto"/>
            <w:tcBorders>
              <w:top w:val="single" w:sz="1" w:space="0" w:color="000000"/>
              <w:bottom w:val="single" w:sz="1" w:space="0" w:color="000000"/>
            </w:tcBorders>
          </w:tcPr>
          <w:p w14:paraId="7D0196F7" w14:textId="77777777" w:rsidR="00F64BB2" w:rsidRDefault="00F64BB2" w:rsidP="00074F6A">
            <w:r>
              <w:t>Refresh strategy</w:t>
            </w:r>
          </w:p>
        </w:tc>
        <w:tc>
          <w:tcPr>
            <w:tcW w:w="0" w:type="auto"/>
            <w:tcBorders>
              <w:top w:val="single" w:sz="1" w:space="0" w:color="000000"/>
              <w:left w:val="single" w:sz="1" w:space="0" w:color="000000"/>
              <w:bottom w:val="single" w:sz="1" w:space="0" w:color="000000"/>
            </w:tcBorders>
          </w:tcPr>
          <w:p w14:paraId="41098754" w14:textId="77777777" w:rsidR="00F64BB2" w:rsidRDefault="00F64BB2" w:rsidP="00074F6A">
            <w:proofErr w:type="spellStart"/>
            <w:r>
              <w:t>TanStack</w:t>
            </w:r>
            <w:proofErr w:type="spellEnd"/>
            <w:r>
              <w:t xml:space="preserve"> Query </w:t>
            </w:r>
            <w:proofErr w:type="spellStart"/>
            <w:r>
              <w:rPr>
                <w:rStyle w:val="VerbatimChar"/>
                <w:rFonts w:ascii="menlo" w:eastAsia="menlo" w:hAnsi="menlo" w:cs="menlo"/>
                <w:shd w:val="clear" w:color="auto" w:fill="F8F8FA"/>
              </w:rPr>
              <w:t>refetchInterval</w:t>
            </w:r>
            <w:proofErr w:type="spellEnd"/>
            <w:r>
              <w:t xml:space="preserve"> for live KPI cards; WebSocket or SSE for critical alert counters</w:t>
            </w:r>
          </w:p>
        </w:tc>
      </w:tr>
      <w:tr w:rsidR="00F64BB2" w14:paraId="0A476E98" w14:textId="77777777" w:rsidTr="00074F6A">
        <w:trPr>
          <w:cantSplit/>
          <w:tblCellSpacing w:w="0" w:type="dxa"/>
          <w:jc w:val="center"/>
        </w:trPr>
        <w:tc>
          <w:tcPr>
            <w:tcW w:w="0" w:type="auto"/>
            <w:tcBorders>
              <w:top w:val="single" w:sz="1" w:space="0" w:color="000000"/>
              <w:bottom w:val="single" w:sz="1" w:space="0" w:color="000000"/>
            </w:tcBorders>
          </w:tcPr>
          <w:p w14:paraId="0B5AAC87" w14:textId="77777777" w:rsidR="00F64BB2" w:rsidRDefault="00F64BB2" w:rsidP="00074F6A">
            <w:r>
              <w:t>Layout</w:t>
            </w:r>
          </w:p>
        </w:tc>
        <w:tc>
          <w:tcPr>
            <w:tcW w:w="0" w:type="auto"/>
            <w:tcBorders>
              <w:top w:val="single" w:sz="1" w:space="0" w:color="000000"/>
              <w:left w:val="single" w:sz="1" w:space="0" w:color="000000"/>
              <w:bottom w:val="single" w:sz="1" w:space="0" w:color="000000"/>
            </w:tcBorders>
          </w:tcPr>
          <w:p w14:paraId="309975C2" w14:textId="77777777" w:rsidR="00F64BB2" w:rsidRDefault="00F64BB2" w:rsidP="00074F6A">
            <w:r>
              <w:rPr>
                <w:rFonts w:eastAsia="Georgia" w:hAnsi="Georgia" w:cs="Georgia"/>
              </w:rPr>
              <w:t>KPI cards row → trend charts → alert queue summary table, following top-KPI-then-detail hierarchy</w:t>
            </w:r>
          </w:p>
        </w:tc>
      </w:tr>
      <w:tr w:rsidR="00F64BB2" w14:paraId="74CDF9C7" w14:textId="77777777" w:rsidTr="00074F6A">
        <w:trPr>
          <w:cantSplit/>
          <w:tblCellSpacing w:w="0" w:type="dxa"/>
          <w:jc w:val="center"/>
        </w:trPr>
        <w:tc>
          <w:tcPr>
            <w:tcW w:w="0" w:type="auto"/>
            <w:tcBorders>
              <w:top w:val="single" w:sz="1" w:space="0" w:color="000000"/>
              <w:bottom w:val="single" w:sz="1" w:space="0" w:color="000000"/>
            </w:tcBorders>
          </w:tcPr>
          <w:p w14:paraId="716A6BE5" w14:textId="77777777" w:rsidR="00F64BB2" w:rsidRDefault="00F64BB2" w:rsidP="00074F6A">
            <w:r>
              <w:t>Responsive</w:t>
            </w:r>
          </w:p>
        </w:tc>
        <w:tc>
          <w:tcPr>
            <w:tcW w:w="0" w:type="auto"/>
            <w:tcBorders>
              <w:top w:val="single" w:sz="1" w:space="0" w:color="000000"/>
              <w:left w:val="single" w:sz="1" w:space="0" w:color="000000"/>
              <w:bottom w:val="single" w:sz="1" w:space="0" w:color="000000"/>
            </w:tcBorders>
          </w:tcPr>
          <w:p w14:paraId="1ABA369E" w14:textId="77777777" w:rsidR="00F64BB2" w:rsidRDefault="00F64BB2" w:rsidP="00074F6A">
            <w:proofErr w:type="gramStart"/>
            <w:r>
              <w:rPr>
                <w:rFonts w:eastAsia="Georgia" w:hAnsi="Georgia" w:cs="Georgia"/>
              </w:rPr>
              <w:t>Full-width</w:t>
            </w:r>
            <w:proofErr w:type="gramEnd"/>
            <w:r>
              <w:rPr>
                <w:rFonts w:eastAsia="Georgia" w:hAnsi="Georgia" w:cs="Georgia"/>
              </w:rPr>
              <w:t xml:space="preserve"> at 1280px+; KPI cards stack vertically at ≤768px</w:t>
            </w:r>
          </w:p>
        </w:tc>
      </w:tr>
      <w:tr w:rsidR="00F64BB2" w14:paraId="3FB2A7EE" w14:textId="77777777" w:rsidTr="00074F6A">
        <w:trPr>
          <w:cantSplit/>
          <w:tblCellSpacing w:w="0" w:type="dxa"/>
          <w:jc w:val="center"/>
        </w:trPr>
        <w:tc>
          <w:tcPr>
            <w:tcW w:w="0" w:type="auto"/>
            <w:tcBorders>
              <w:top w:val="single" w:sz="1" w:space="0" w:color="000000"/>
              <w:bottom w:val="single" w:sz="1" w:space="0" w:color="000000"/>
            </w:tcBorders>
          </w:tcPr>
          <w:p w14:paraId="1CF431D8" w14:textId="77777777" w:rsidR="00F64BB2" w:rsidRDefault="00F64BB2" w:rsidP="00074F6A">
            <w:r>
              <w:t>Skeleton states</w:t>
            </w:r>
          </w:p>
        </w:tc>
        <w:tc>
          <w:tcPr>
            <w:tcW w:w="0" w:type="auto"/>
            <w:tcBorders>
              <w:top w:val="single" w:sz="1" w:space="0" w:color="000000"/>
              <w:left w:val="single" w:sz="1" w:space="0" w:color="000000"/>
              <w:bottom w:val="single" w:sz="1" w:space="0" w:color="000000"/>
            </w:tcBorders>
          </w:tcPr>
          <w:p w14:paraId="5F28EA55" w14:textId="77777777" w:rsidR="00F64BB2" w:rsidRDefault="00F64BB2" w:rsidP="00074F6A">
            <w:r>
              <w:t>All KPI cards and charts must render shimmer skeletons during load</w:t>
            </w:r>
          </w:p>
        </w:tc>
      </w:tr>
      <w:tr w:rsidR="00F64BB2" w14:paraId="3925905B" w14:textId="77777777" w:rsidTr="00074F6A">
        <w:trPr>
          <w:cantSplit/>
          <w:tblCellSpacing w:w="0" w:type="dxa"/>
          <w:jc w:val="center"/>
        </w:trPr>
        <w:tc>
          <w:tcPr>
            <w:tcW w:w="0" w:type="auto"/>
            <w:tcBorders>
              <w:top w:val="single" w:sz="1" w:space="0" w:color="000000"/>
              <w:bottom w:val="single" w:sz="1" w:space="0" w:color="000000"/>
            </w:tcBorders>
          </w:tcPr>
          <w:p w14:paraId="43E12243" w14:textId="77777777" w:rsidR="00F64BB2" w:rsidRDefault="00F64BB2" w:rsidP="00074F6A">
            <w:r>
              <w:t>Accessibility</w:t>
            </w:r>
          </w:p>
        </w:tc>
        <w:tc>
          <w:tcPr>
            <w:tcW w:w="0" w:type="auto"/>
            <w:tcBorders>
              <w:top w:val="single" w:sz="1" w:space="0" w:color="000000"/>
              <w:left w:val="single" w:sz="1" w:space="0" w:color="000000"/>
              <w:bottom w:val="single" w:sz="1" w:space="0" w:color="000000"/>
            </w:tcBorders>
          </w:tcPr>
          <w:p w14:paraId="2EEC4526" w14:textId="77777777" w:rsidR="00F64BB2" w:rsidRDefault="00F64BB2" w:rsidP="00074F6A">
            <w:r>
              <w:t>WCAG AA contrast, keyboard navigable, screen-reader labels on all chart elements</w:t>
            </w:r>
          </w:p>
        </w:tc>
      </w:tr>
    </w:tbl>
    <w:p w14:paraId="711FCCD2" w14:textId="77777777" w:rsidR="00F64BB2" w:rsidRDefault="00F64BB2" w:rsidP="00F64BB2"/>
    <w:p w14:paraId="6C01855A" w14:textId="77777777" w:rsidR="00F64BB2" w:rsidRDefault="00F64BB2" w:rsidP="00F64BB2">
      <w:pPr>
        <w:pStyle w:val="Heading3"/>
      </w:pPr>
      <w:bookmarkStart w:id="49" w:name="backend_requirements_module_1"/>
      <w:r>
        <w:t>Backend Requirements (Module 1)</w:t>
      </w:r>
      <w:bookmarkEnd w:id="4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63"/>
        <w:gridCol w:w="1586"/>
        <w:gridCol w:w="4555"/>
      </w:tblGrid>
      <w:tr w:rsidR="00F64BB2" w14:paraId="45C6051F" w14:textId="77777777" w:rsidTr="00074F6A">
        <w:trPr>
          <w:cantSplit/>
          <w:tblCellSpacing w:w="0" w:type="dxa"/>
          <w:jc w:val="center"/>
        </w:trPr>
        <w:tc>
          <w:tcPr>
            <w:tcW w:w="0" w:type="auto"/>
            <w:tcBorders>
              <w:top w:val="single" w:sz="1" w:space="0" w:color="000000"/>
              <w:bottom w:val="single" w:sz="1" w:space="0" w:color="000000"/>
            </w:tcBorders>
          </w:tcPr>
          <w:p w14:paraId="1165D1A6" w14:textId="77777777" w:rsidR="00F64BB2" w:rsidRDefault="00F64BB2" w:rsidP="00074F6A">
            <w:r>
              <w:t>Endpoint</w:t>
            </w:r>
          </w:p>
        </w:tc>
        <w:tc>
          <w:tcPr>
            <w:tcW w:w="0" w:type="auto"/>
            <w:tcBorders>
              <w:top w:val="single" w:sz="1" w:space="0" w:color="000000"/>
              <w:left w:val="single" w:sz="1" w:space="0" w:color="000000"/>
              <w:bottom w:val="single" w:sz="1" w:space="0" w:color="000000"/>
            </w:tcBorders>
          </w:tcPr>
          <w:p w14:paraId="0A287BD7" w14:textId="77777777" w:rsidR="00F64BB2" w:rsidRDefault="00F64BB2" w:rsidP="00074F6A">
            <w:r>
              <w:t>Method</w:t>
            </w:r>
          </w:p>
        </w:tc>
        <w:tc>
          <w:tcPr>
            <w:tcW w:w="0" w:type="auto"/>
            <w:tcBorders>
              <w:top w:val="single" w:sz="1" w:space="0" w:color="000000"/>
              <w:left w:val="single" w:sz="1" w:space="0" w:color="000000"/>
              <w:bottom w:val="single" w:sz="1" w:space="0" w:color="000000"/>
            </w:tcBorders>
          </w:tcPr>
          <w:p w14:paraId="4E2392DD" w14:textId="77777777" w:rsidR="00F64BB2" w:rsidRDefault="00F64BB2" w:rsidP="00074F6A">
            <w:r>
              <w:t>Description</w:t>
            </w:r>
          </w:p>
        </w:tc>
      </w:tr>
      <w:tr w:rsidR="00F64BB2" w14:paraId="1EF89196" w14:textId="77777777" w:rsidTr="00074F6A">
        <w:trPr>
          <w:cantSplit/>
          <w:tblCellSpacing w:w="0" w:type="dxa"/>
          <w:jc w:val="center"/>
        </w:trPr>
        <w:tc>
          <w:tcPr>
            <w:tcW w:w="0" w:type="auto"/>
            <w:tcBorders>
              <w:top w:val="single" w:sz="1" w:space="0" w:color="000000"/>
              <w:bottom w:val="single" w:sz="1" w:space="0" w:color="000000"/>
            </w:tcBorders>
          </w:tcPr>
          <w:p w14:paraId="58BF521F" w14:textId="77777777" w:rsidR="00F64BB2" w:rsidRDefault="00F64BB2" w:rsidP="00074F6A">
            <w:r>
              <w:rPr>
                <w:rStyle w:val="VerbatimChar"/>
                <w:rFonts w:ascii="menlo" w:eastAsia="menlo" w:hAnsi="menlo" w:cs="menlo"/>
                <w:shd w:val="clear" w:color="auto" w:fill="F8F8FA"/>
              </w:rPr>
              <w:t>/dashboard/</w:t>
            </w:r>
            <w:proofErr w:type="spellStart"/>
            <w:r>
              <w:rPr>
                <w:rStyle w:val="VerbatimChar"/>
                <w:rFonts w:ascii="menlo" w:eastAsia="menlo" w:hAnsi="menlo" w:cs="menlo"/>
                <w:shd w:val="clear" w:color="auto" w:fill="F8F8FA"/>
              </w:rPr>
              <w:t>kpis</w:t>
            </w:r>
            <w:proofErr w:type="spellEnd"/>
          </w:p>
        </w:tc>
        <w:tc>
          <w:tcPr>
            <w:tcW w:w="0" w:type="auto"/>
            <w:tcBorders>
              <w:top w:val="single" w:sz="1" w:space="0" w:color="000000"/>
              <w:left w:val="single" w:sz="1" w:space="0" w:color="000000"/>
              <w:bottom w:val="single" w:sz="1" w:space="0" w:color="000000"/>
            </w:tcBorders>
          </w:tcPr>
          <w:p w14:paraId="3EBE63A0"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2900CE56" w14:textId="77777777" w:rsidR="00F64BB2" w:rsidRDefault="00F64BB2" w:rsidP="00074F6A">
            <w:r>
              <w:t>Returns all current KPI values with computed traffic-light status</w:t>
            </w:r>
          </w:p>
        </w:tc>
      </w:tr>
      <w:tr w:rsidR="00F64BB2" w14:paraId="4D010276" w14:textId="77777777" w:rsidTr="00074F6A">
        <w:trPr>
          <w:cantSplit/>
          <w:tblCellSpacing w:w="0" w:type="dxa"/>
          <w:jc w:val="center"/>
        </w:trPr>
        <w:tc>
          <w:tcPr>
            <w:tcW w:w="0" w:type="auto"/>
            <w:tcBorders>
              <w:top w:val="single" w:sz="1" w:space="0" w:color="000000"/>
              <w:bottom w:val="single" w:sz="1" w:space="0" w:color="000000"/>
            </w:tcBorders>
          </w:tcPr>
          <w:p w14:paraId="40F5E0E3" w14:textId="77777777" w:rsidR="00F64BB2" w:rsidRDefault="00F64BB2" w:rsidP="00074F6A">
            <w:r>
              <w:rPr>
                <w:rStyle w:val="VerbatimChar"/>
                <w:rFonts w:ascii="menlo" w:eastAsia="menlo" w:hAnsi="menlo" w:cs="menlo"/>
                <w:shd w:val="clear" w:color="auto" w:fill="F8F8FA"/>
              </w:rPr>
              <w:t>/dashboard/alerts/timeseries</w:t>
            </w:r>
          </w:p>
        </w:tc>
        <w:tc>
          <w:tcPr>
            <w:tcW w:w="0" w:type="auto"/>
            <w:tcBorders>
              <w:top w:val="single" w:sz="1" w:space="0" w:color="000000"/>
              <w:left w:val="single" w:sz="1" w:space="0" w:color="000000"/>
              <w:bottom w:val="single" w:sz="1" w:space="0" w:color="000000"/>
            </w:tcBorders>
          </w:tcPr>
          <w:p w14:paraId="33C1438D"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18493EF5" w14:textId="77777777" w:rsidR="00F64BB2" w:rsidRDefault="00F64BB2" w:rsidP="00074F6A">
            <w:r>
              <w:t>Returns alert volume time-series for a given window and granularity</w:t>
            </w:r>
          </w:p>
        </w:tc>
      </w:tr>
      <w:tr w:rsidR="00F64BB2" w14:paraId="6A8408AC" w14:textId="77777777" w:rsidTr="00074F6A">
        <w:trPr>
          <w:cantSplit/>
          <w:tblCellSpacing w:w="0" w:type="dxa"/>
          <w:jc w:val="center"/>
        </w:trPr>
        <w:tc>
          <w:tcPr>
            <w:tcW w:w="0" w:type="auto"/>
            <w:tcBorders>
              <w:top w:val="single" w:sz="1" w:space="0" w:color="000000"/>
              <w:bottom w:val="single" w:sz="1" w:space="0" w:color="000000"/>
            </w:tcBorders>
          </w:tcPr>
          <w:p w14:paraId="3AC85151" w14:textId="77777777" w:rsidR="00F64BB2" w:rsidRDefault="00F64BB2" w:rsidP="00074F6A">
            <w:r>
              <w:rPr>
                <w:rStyle w:val="VerbatimChar"/>
                <w:rFonts w:ascii="menlo" w:eastAsia="menlo" w:hAnsi="menlo" w:cs="menlo"/>
                <w:shd w:val="clear" w:color="auto" w:fill="F8F8FA"/>
              </w:rPr>
              <w:lastRenderedPageBreak/>
              <w:t>/dashboard/rules/performance</w:t>
            </w:r>
          </w:p>
        </w:tc>
        <w:tc>
          <w:tcPr>
            <w:tcW w:w="0" w:type="auto"/>
            <w:tcBorders>
              <w:top w:val="single" w:sz="1" w:space="0" w:color="000000"/>
              <w:left w:val="single" w:sz="1" w:space="0" w:color="000000"/>
              <w:bottom w:val="single" w:sz="1" w:space="0" w:color="000000"/>
            </w:tcBorders>
          </w:tcPr>
          <w:p w14:paraId="31E47235"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23FE36AB" w14:textId="77777777" w:rsidR="00F64BB2" w:rsidRDefault="00F64BB2" w:rsidP="00074F6A">
            <w:r>
              <w:t>Returns per-rule hit rate, FP rate, case conversion</w:t>
            </w:r>
          </w:p>
        </w:tc>
      </w:tr>
      <w:tr w:rsidR="00F64BB2" w14:paraId="7D643941" w14:textId="77777777" w:rsidTr="00074F6A">
        <w:trPr>
          <w:cantSplit/>
          <w:tblCellSpacing w:w="0" w:type="dxa"/>
          <w:jc w:val="center"/>
        </w:trPr>
        <w:tc>
          <w:tcPr>
            <w:tcW w:w="0" w:type="auto"/>
            <w:tcBorders>
              <w:top w:val="single" w:sz="1" w:space="0" w:color="000000"/>
              <w:bottom w:val="single" w:sz="1" w:space="0" w:color="000000"/>
            </w:tcBorders>
          </w:tcPr>
          <w:p w14:paraId="664DA46B" w14:textId="77777777" w:rsidR="00F64BB2" w:rsidRDefault="00F64BB2" w:rsidP="00074F6A">
            <w:r>
              <w:rPr>
                <w:rStyle w:val="VerbatimChar"/>
                <w:rFonts w:ascii="menlo" w:eastAsia="menlo" w:hAnsi="menlo" w:cs="menlo"/>
                <w:shd w:val="clear" w:color="auto" w:fill="F8F8FA"/>
              </w:rPr>
              <w:t>/dashboard/alerts/notifications</w:t>
            </w:r>
          </w:p>
        </w:tc>
        <w:tc>
          <w:tcPr>
            <w:tcW w:w="0" w:type="auto"/>
            <w:tcBorders>
              <w:top w:val="single" w:sz="1" w:space="0" w:color="000000"/>
              <w:left w:val="single" w:sz="1" w:space="0" w:color="000000"/>
              <w:bottom w:val="single" w:sz="1" w:space="0" w:color="000000"/>
            </w:tcBorders>
          </w:tcPr>
          <w:p w14:paraId="4BA99954" w14:textId="77777777" w:rsidR="00F64BB2" w:rsidRDefault="00F64BB2" w:rsidP="00074F6A">
            <w:r>
              <w:t>GET (SSE or WS)</w:t>
            </w:r>
          </w:p>
        </w:tc>
        <w:tc>
          <w:tcPr>
            <w:tcW w:w="0" w:type="auto"/>
            <w:tcBorders>
              <w:top w:val="single" w:sz="1" w:space="0" w:color="000000"/>
              <w:left w:val="single" w:sz="1" w:space="0" w:color="000000"/>
              <w:bottom w:val="single" w:sz="1" w:space="0" w:color="000000"/>
            </w:tcBorders>
          </w:tcPr>
          <w:p w14:paraId="446BFA0A" w14:textId="77777777" w:rsidR="00F64BB2" w:rsidRDefault="00F64BB2" w:rsidP="00074F6A">
            <w:r>
              <w:t>Streams critical alert events to connected clients</w:t>
            </w:r>
          </w:p>
        </w:tc>
      </w:tr>
      <w:tr w:rsidR="00F64BB2" w14:paraId="70611B28" w14:textId="77777777" w:rsidTr="00074F6A">
        <w:trPr>
          <w:cantSplit/>
          <w:tblCellSpacing w:w="0" w:type="dxa"/>
          <w:jc w:val="center"/>
        </w:trPr>
        <w:tc>
          <w:tcPr>
            <w:tcW w:w="0" w:type="auto"/>
            <w:tcBorders>
              <w:top w:val="single" w:sz="1" w:space="0" w:color="000000"/>
              <w:bottom w:val="single" w:sz="1" w:space="0" w:color="000000"/>
            </w:tcBorders>
          </w:tcPr>
          <w:p w14:paraId="08F57AD6" w14:textId="77777777" w:rsidR="00F64BB2" w:rsidRDefault="00F64BB2" w:rsidP="00074F6A">
            <w:r>
              <w:rPr>
                <w:rStyle w:val="VerbatimChar"/>
                <w:rFonts w:ascii="menlo" w:eastAsia="menlo" w:hAnsi="menlo" w:cs="menlo"/>
                <w:shd w:val="clear" w:color="auto" w:fill="F8F8FA"/>
              </w:rPr>
              <w:t>/dashboard/export</w:t>
            </w:r>
          </w:p>
        </w:tc>
        <w:tc>
          <w:tcPr>
            <w:tcW w:w="0" w:type="auto"/>
            <w:tcBorders>
              <w:top w:val="single" w:sz="1" w:space="0" w:color="000000"/>
              <w:left w:val="single" w:sz="1" w:space="0" w:color="000000"/>
              <w:bottom w:val="single" w:sz="1" w:space="0" w:color="000000"/>
            </w:tcBorders>
          </w:tcPr>
          <w:p w14:paraId="4C761FE9" w14:textId="77777777" w:rsidR="00F64BB2" w:rsidRDefault="00F64BB2" w:rsidP="00074F6A">
            <w:r>
              <w:t>POST</w:t>
            </w:r>
          </w:p>
        </w:tc>
        <w:tc>
          <w:tcPr>
            <w:tcW w:w="0" w:type="auto"/>
            <w:tcBorders>
              <w:top w:val="single" w:sz="1" w:space="0" w:color="000000"/>
              <w:left w:val="single" w:sz="1" w:space="0" w:color="000000"/>
              <w:bottom w:val="single" w:sz="1" w:space="0" w:color="000000"/>
            </w:tcBorders>
          </w:tcPr>
          <w:p w14:paraId="6AB30203" w14:textId="77777777" w:rsidR="00F64BB2" w:rsidRDefault="00F64BB2" w:rsidP="00074F6A">
            <w:r>
              <w:t>Generates PDF or CSV report snapshot</w:t>
            </w:r>
          </w:p>
        </w:tc>
      </w:tr>
    </w:tbl>
    <w:p w14:paraId="585BC737" w14:textId="77777777" w:rsidR="00F64BB2" w:rsidRDefault="00F64BB2" w:rsidP="00F64BB2"/>
    <w:p w14:paraId="53F66238" w14:textId="77777777" w:rsidR="00F64BB2" w:rsidRDefault="00F64BB2" w:rsidP="00F64BB2">
      <w:r>
        <w:rPr>
          <w:noProof/>
        </w:rPr>
        <w:pict w14:anchorId="693EF216">
          <v:rect id="_x0000_i1040" alt="" style="width:434.5pt;height:.05pt;mso-width-percent:0;mso-height-percent:0;mso-width-percent:0;mso-height-percent:0" o:hralign="center" o:hrstd="t" o:hr="t"/>
        </w:pict>
      </w:r>
    </w:p>
    <w:p w14:paraId="2E22E4FF" w14:textId="77777777" w:rsidR="00F64BB2" w:rsidRDefault="00F64BB2" w:rsidP="00F64BB2">
      <w:pPr>
        <w:pStyle w:val="Heading2"/>
      </w:pPr>
      <w:bookmarkStart w:id="50" w:name="module_2_case_management"/>
      <w:r>
        <w:t>Module 2: Case Management</w:t>
      </w:r>
      <w:bookmarkEnd w:id="50"/>
    </w:p>
    <w:p w14:paraId="0BB7DEA3" w14:textId="77777777" w:rsidR="00F64BB2" w:rsidRDefault="00F64BB2" w:rsidP="00F64BB2">
      <w:pPr>
        <w:pStyle w:val="Heading3"/>
      </w:pPr>
      <w:bookmarkStart w:id="51" w:name="functional_requirements_2"/>
      <w:r>
        <w:t>Functional Requirements</w:t>
      </w:r>
      <w:bookmarkEnd w:id="51"/>
    </w:p>
    <w:p w14:paraId="27E4B815" w14:textId="77777777" w:rsidR="00F64BB2" w:rsidRDefault="00F64BB2" w:rsidP="00F64BB2">
      <w:pPr>
        <w:pStyle w:val="Heading3"/>
      </w:pPr>
      <w:bookmarkStart w:id="52" w:name="fr_c01_case_creation"/>
      <w:r>
        <w:t>FR-C01 — Case Creation</w:t>
      </w:r>
      <w:bookmarkEnd w:id="52"/>
    </w:p>
    <w:p w14:paraId="0C76BF32" w14:textId="77777777" w:rsidR="00F64BB2" w:rsidRDefault="00F64BB2" w:rsidP="00F64BB2">
      <w:pPr>
        <w:spacing w:after="210"/>
      </w:pPr>
      <w:r>
        <w:t xml:space="preserve">Cases must be </w:t>
      </w:r>
      <w:proofErr w:type="spellStart"/>
      <w:r>
        <w:t>createable</w:t>
      </w:r>
      <w:proofErr w:type="spellEnd"/>
      <w:r>
        <w:t xml:space="preserve"> by two triggers:[12][2][13]</w:t>
      </w:r>
    </w:p>
    <w:p w14:paraId="4291922B" w14:textId="77777777" w:rsidR="00F64BB2" w:rsidRDefault="00F64BB2" w:rsidP="00F64BB2">
      <w:pPr>
        <w:numPr>
          <w:ilvl w:val="0"/>
          <w:numId w:val="25"/>
        </w:numPr>
      </w:pPr>
      <w:r>
        <w:rPr>
          <w:b/>
        </w:rPr>
        <w:t>Automatic</w:t>
      </w:r>
      <w:r>
        <w:t>: an alert fired by the transaction monitoring rules engine, with case metadata pre-populated from the alert payload (entity, rule ID, alert severity, triggering transaction IDs)</w:t>
      </w:r>
    </w:p>
    <w:p w14:paraId="65A14D84" w14:textId="77777777" w:rsidR="00F64BB2" w:rsidRDefault="00F64BB2" w:rsidP="00F64BB2">
      <w:pPr>
        <w:numPr>
          <w:ilvl w:val="0"/>
          <w:numId w:val="25"/>
        </w:numPr>
      </w:pPr>
      <w:r>
        <w:rPr>
          <w:b/>
        </w:rPr>
        <w:t>Manual</w:t>
      </w:r>
      <w:r>
        <w:t>: an investigator or supervisor creates a case from the alert queue, a graph investigation, or a scheduled review</w:t>
      </w:r>
    </w:p>
    <w:p w14:paraId="7827AF3F" w14:textId="77777777" w:rsidR="00F64BB2" w:rsidRDefault="00F64BB2" w:rsidP="00F64BB2">
      <w:pPr>
        <w:pStyle w:val="Heading3"/>
      </w:pPr>
      <w:bookmarkStart w:id="53" w:name="fr_c02_case_lifecycle_workflow"/>
      <w:r>
        <w:t>FR-C02 — Case Lifecycle Workflow</w:t>
      </w:r>
      <w:bookmarkEnd w:id="53"/>
    </w:p>
    <w:p w14:paraId="257AEC1D" w14:textId="77777777" w:rsidR="00F64BB2" w:rsidRDefault="00F64BB2" w:rsidP="00F64BB2">
      <w:pPr>
        <w:spacing w:after="210"/>
      </w:pPr>
      <w:r>
        <w:t>Each case must follow a defined lifecycle with configurable stage transitions:[2][3]</w:t>
      </w:r>
    </w:p>
    <w:p w14:paraId="77C0E17C" w14:textId="77777777" w:rsidR="00F64BB2" w:rsidRDefault="00F64BB2" w:rsidP="00F64BB2">
      <w:pPr>
        <w:numPr>
          <w:ilvl w:val="0"/>
          <w:numId w:val="26"/>
        </w:numPr>
      </w:pPr>
      <w:r>
        <w:rPr>
          <w:rStyle w:val="VerbatimChar"/>
          <w:rFonts w:ascii="menlo" w:eastAsia="menlo" w:hAnsi="menlo" w:cs="menlo"/>
          <w:shd w:val="clear" w:color="auto" w:fill="F8F8FA"/>
        </w:rPr>
        <w:t>NEW</w:t>
      </w:r>
      <w:r>
        <w:rPr>
          <w:rFonts w:eastAsia="Georgia" w:hAnsi="Georgia" w:cs="Georgia"/>
        </w:rPr>
        <w:t xml:space="preserve"> → </w:t>
      </w:r>
      <w:r>
        <w:rPr>
          <w:rStyle w:val="VerbatimChar"/>
          <w:rFonts w:ascii="menlo" w:eastAsia="menlo" w:hAnsi="menlo" w:cs="menlo"/>
          <w:shd w:val="clear" w:color="auto" w:fill="F8F8FA"/>
        </w:rPr>
        <w:t>TRIAGED</w:t>
      </w:r>
      <w:r>
        <w:rPr>
          <w:rFonts w:eastAsia="Georgia" w:hAnsi="Georgia" w:cs="Georgia"/>
        </w:rPr>
        <w:t xml:space="preserve"> → </w:t>
      </w:r>
      <w:r>
        <w:rPr>
          <w:rStyle w:val="VerbatimChar"/>
          <w:rFonts w:ascii="menlo" w:eastAsia="menlo" w:hAnsi="menlo" w:cs="menlo"/>
          <w:shd w:val="clear" w:color="auto" w:fill="F8F8FA"/>
        </w:rPr>
        <w:t>UNDER_INVESTIGATION</w:t>
      </w:r>
      <w:r>
        <w:rPr>
          <w:rFonts w:eastAsia="Georgia" w:hAnsi="Georgia" w:cs="Georgia"/>
        </w:rPr>
        <w:t xml:space="preserve"> → </w:t>
      </w:r>
      <w:r>
        <w:rPr>
          <w:rStyle w:val="VerbatimChar"/>
          <w:rFonts w:ascii="menlo" w:eastAsia="menlo" w:hAnsi="menlo" w:cs="menlo"/>
          <w:shd w:val="clear" w:color="auto" w:fill="F8F8FA"/>
        </w:rPr>
        <w:t>ESCALATED</w:t>
      </w:r>
      <w:r>
        <w:rPr>
          <w:rFonts w:eastAsia="Georgia" w:hAnsi="Georgia" w:cs="Georgia"/>
        </w:rPr>
        <w:t xml:space="preserve"> → </w:t>
      </w:r>
      <w:r>
        <w:rPr>
          <w:rStyle w:val="VerbatimChar"/>
          <w:rFonts w:ascii="menlo" w:eastAsia="menlo" w:hAnsi="menlo" w:cs="menlo"/>
          <w:shd w:val="clear" w:color="auto" w:fill="F8F8FA"/>
        </w:rPr>
        <w:t>CLOSED</w:t>
      </w:r>
      <w:r>
        <w:t xml:space="preserve"> (cleared or SAR filed) or </w:t>
      </w:r>
      <w:r>
        <w:rPr>
          <w:rStyle w:val="VerbatimChar"/>
          <w:rFonts w:ascii="menlo" w:eastAsia="menlo" w:hAnsi="menlo" w:cs="menlo"/>
          <w:shd w:val="clear" w:color="auto" w:fill="F8F8FA"/>
        </w:rPr>
        <w:t>REOPENED</w:t>
      </w:r>
    </w:p>
    <w:p w14:paraId="3D9740CB" w14:textId="77777777" w:rsidR="00F64BB2" w:rsidRDefault="00F64BB2" w:rsidP="00F64BB2">
      <w:pPr>
        <w:numPr>
          <w:ilvl w:val="0"/>
          <w:numId w:val="26"/>
        </w:numPr>
      </w:pPr>
      <w:r>
        <w:t>Workflow transitions must enforce role-based gate conditions (e.g., only a supervisor can approve escalation)</w:t>
      </w:r>
    </w:p>
    <w:p w14:paraId="6E9D7134" w14:textId="77777777" w:rsidR="00F64BB2" w:rsidRDefault="00F64BB2" w:rsidP="00F64BB2">
      <w:pPr>
        <w:numPr>
          <w:ilvl w:val="0"/>
          <w:numId w:val="26"/>
        </w:numPr>
      </w:pPr>
      <w:r>
        <w:t>Stage durations must be tracked for SLA monitoring</w:t>
      </w:r>
    </w:p>
    <w:p w14:paraId="290CC058" w14:textId="77777777" w:rsidR="00F64BB2" w:rsidRDefault="00F64BB2" w:rsidP="00F64BB2">
      <w:pPr>
        <w:pStyle w:val="Heading3"/>
      </w:pPr>
      <w:bookmarkStart w:id="54" w:name="fr_c03_role_based_access_control_rbac"/>
      <w:r>
        <w:t>FR-C03 — Role-Based Access Control (RBAC)</w:t>
      </w:r>
      <w:bookmarkEnd w:id="54"/>
    </w:p>
    <w:p w14:paraId="693BAB89" w14:textId="77777777" w:rsidR="00F64BB2" w:rsidRDefault="00F64BB2" w:rsidP="00F64BB2">
      <w:pPr>
        <w:spacing w:after="210"/>
      </w:pPr>
      <w:r>
        <w:t>The system must implement a role matrix with at minimum the following roles:[3][14]</w:t>
      </w:r>
    </w:p>
    <w:p w14:paraId="3130901F" w14:textId="77777777" w:rsidR="00F64BB2" w:rsidRDefault="00F64BB2" w:rsidP="00F64BB2">
      <w:pPr>
        <w:numPr>
          <w:ilvl w:val="0"/>
          <w:numId w:val="27"/>
        </w:numPr>
      </w:pPr>
      <w:r>
        <w:rPr>
          <w:b/>
        </w:rPr>
        <w:t>Analyst</w:t>
      </w:r>
      <w:r>
        <w:t>: create, view, edit assigned cases; add notes; request escalation</w:t>
      </w:r>
    </w:p>
    <w:p w14:paraId="2F15B793" w14:textId="77777777" w:rsidR="00F64BB2" w:rsidRDefault="00F64BB2" w:rsidP="00F64BB2">
      <w:pPr>
        <w:numPr>
          <w:ilvl w:val="0"/>
          <w:numId w:val="27"/>
        </w:numPr>
      </w:pPr>
      <w:r>
        <w:rPr>
          <w:b/>
        </w:rPr>
        <w:t>Supervisor</w:t>
      </w:r>
      <w:r>
        <w:t>: view all team cases; approve/reject escalations; override dispositions</w:t>
      </w:r>
    </w:p>
    <w:p w14:paraId="6F3052B9" w14:textId="77777777" w:rsidR="00F64BB2" w:rsidRDefault="00F64BB2" w:rsidP="00F64BB2">
      <w:pPr>
        <w:numPr>
          <w:ilvl w:val="0"/>
          <w:numId w:val="27"/>
        </w:numPr>
      </w:pPr>
      <w:r>
        <w:rPr>
          <w:b/>
        </w:rPr>
        <w:t>QA Reviewer</w:t>
      </w:r>
      <w:r>
        <w:t>: read-only access to closed cases for quality control auditing</w:t>
      </w:r>
    </w:p>
    <w:p w14:paraId="2BE2789F" w14:textId="77777777" w:rsidR="00F64BB2" w:rsidRDefault="00F64BB2" w:rsidP="00F64BB2">
      <w:pPr>
        <w:numPr>
          <w:ilvl w:val="0"/>
          <w:numId w:val="27"/>
        </w:numPr>
      </w:pPr>
      <w:r>
        <w:rPr>
          <w:b/>
        </w:rPr>
        <w:t>Compliance Officer (MLRO)</w:t>
      </w:r>
      <w:r>
        <w:t>: view all cases; approve SAR filing; access board-level reporting</w:t>
      </w:r>
    </w:p>
    <w:p w14:paraId="2A3A3784" w14:textId="77777777" w:rsidR="00F64BB2" w:rsidRDefault="00F64BB2" w:rsidP="00F64BB2">
      <w:pPr>
        <w:numPr>
          <w:ilvl w:val="0"/>
          <w:numId w:val="27"/>
        </w:numPr>
      </w:pPr>
      <w:r>
        <w:rPr>
          <w:b/>
        </w:rPr>
        <w:t>Compliance Admin</w:t>
      </w:r>
      <w:r>
        <w:t>: configure rules, thresholds, workflow stages, and user assignments</w:t>
      </w:r>
    </w:p>
    <w:p w14:paraId="16708EEF" w14:textId="77777777" w:rsidR="00F64BB2" w:rsidRDefault="00F64BB2" w:rsidP="00F64BB2">
      <w:pPr>
        <w:numPr>
          <w:ilvl w:val="0"/>
          <w:numId w:val="27"/>
        </w:numPr>
      </w:pPr>
      <w:r>
        <w:rPr>
          <w:b/>
        </w:rPr>
        <w:t>System Admin</w:t>
      </w:r>
      <w:r>
        <w:t>: manage users, roles, integrations, and audit log access</w:t>
      </w:r>
    </w:p>
    <w:p w14:paraId="77282157" w14:textId="77777777" w:rsidR="00F64BB2" w:rsidRDefault="00F64BB2" w:rsidP="00F64BB2">
      <w:pPr>
        <w:spacing w:after="210"/>
      </w:pPr>
      <w:r>
        <w:t>No role may exceed its defined permissions; privilege escalation must require MLRO or admin approval.[3]</w:t>
      </w:r>
    </w:p>
    <w:p w14:paraId="5994017D" w14:textId="77777777" w:rsidR="00F64BB2" w:rsidRDefault="00F64BB2" w:rsidP="00F64BB2">
      <w:pPr>
        <w:pStyle w:val="Heading3"/>
      </w:pPr>
      <w:bookmarkStart w:id="55" w:name="fr_c04_case_workspace"/>
      <w:r>
        <w:t>FR-C04 — Case Workspace</w:t>
      </w:r>
      <w:bookmarkEnd w:id="55"/>
    </w:p>
    <w:p w14:paraId="1E09EE0E" w14:textId="77777777" w:rsidR="00F64BB2" w:rsidRDefault="00F64BB2" w:rsidP="00F64BB2">
      <w:pPr>
        <w:spacing w:after="210"/>
      </w:pPr>
      <w:r>
        <w:t>Each case must have a workspace containing:[13][12][2]</w:t>
      </w:r>
    </w:p>
    <w:p w14:paraId="7DFE5A29" w14:textId="77777777" w:rsidR="00F64BB2" w:rsidRDefault="00F64BB2" w:rsidP="00F64BB2">
      <w:pPr>
        <w:numPr>
          <w:ilvl w:val="0"/>
          <w:numId w:val="28"/>
        </w:numPr>
      </w:pPr>
      <w:r>
        <w:t>Case summary (entity, risk score, alerts linked, assigned investigator, status, age)</w:t>
      </w:r>
    </w:p>
    <w:p w14:paraId="21D5D740" w14:textId="77777777" w:rsidR="00F64BB2" w:rsidRDefault="00F64BB2" w:rsidP="00F64BB2">
      <w:pPr>
        <w:numPr>
          <w:ilvl w:val="0"/>
          <w:numId w:val="28"/>
        </w:numPr>
      </w:pPr>
      <w:r>
        <w:t>Transaction evidence viewer (linked transactions with amounts, timestamps, counterparties)</w:t>
      </w:r>
    </w:p>
    <w:p w14:paraId="23AF6B92" w14:textId="77777777" w:rsidR="00F64BB2" w:rsidRDefault="00F64BB2" w:rsidP="00F64BB2">
      <w:pPr>
        <w:numPr>
          <w:ilvl w:val="0"/>
          <w:numId w:val="28"/>
        </w:numPr>
      </w:pPr>
      <w:r>
        <w:lastRenderedPageBreak/>
        <w:t>Graph investigation panel (embedded Cytoscape.js fund-flow view for case entities)</w:t>
      </w:r>
    </w:p>
    <w:p w14:paraId="1BBE9828" w14:textId="77777777" w:rsidR="00F64BB2" w:rsidRDefault="00F64BB2" w:rsidP="00F64BB2">
      <w:pPr>
        <w:numPr>
          <w:ilvl w:val="0"/>
          <w:numId w:val="28"/>
        </w:numPr>
      </w:pPr>
      <w:r>
        <w:t>Timeline of all case actions in chronological order</w:t>
      </w:r>
    </w:p>
    <w:p w14:paraId="79E00162" w14:textId="77777777" w:rsidR="00F64BB2" w:rsidRDefault="00F64BB2" w:rsidP="00F64BB2">
      <w:pPr>
        <w:numPr>
          <w:ilvl w:val="0"/>
          <w:numId w:val="28"/>
        </w:numPr>
      </w:pPr>
      <w:r>
        <w:t>Notes and tagging with multi-investigator collaboration support</w:t>
      </w:r>
    </w:p>
    <w:p w14:paraId="21A1F80D" w14:textId="77777777" w:rsidR="00F64BB2" w:rsidRDefault="00F64BB2" w:rsidP="00F64BB2">
      <w:pPr>
        <w:numPr>
          <w:ilvl w:val="0"/>
          <w:numId w:val="28"/>
        </w:numPr>
      </w:pPr>
      <w:r>
        <w:t>File attachment for supporting evidence (KYC documents, screenshots, external reports)</w:t>
      </w:r>
    </w:p>
    <w:p w14:paraId="5DB5D07B" w14:textId="77777777" w:rsidR="00F64BB2" w:rsidRDefault="00F64BB2" w:rsidP="00F64BB2">
      <w:pPr>
        <w:numPr>
          <w:ilvl w:val="0"/>
          <w:numId w:val="28"/>
        </w:numPr>
      </w:pPr>
      <w:r>
        <w:t>SAR/STR preparation form with regulatory template fields</w:t>
      </w:r>
    </w:p>
    <w:p w14:paraId="230BDCA5" w14:textId="77777777" w:rsidR="00F64BB2" w:rsidRDefault="00F64BB2" w:rsidP="00F64BB2">
      <w:pPr>
        <w:pStyle w:val="Heading3"/>
      </w:pPr>
      <w:bookmarkStart w:id="56" w:name="fr_c05_sar_str_generation"/>
      <w:r>
        <w:t>FR-C05 — SAR/STR Generation</w:t>
      </w:r>
      <w:bookmarkEnd w:id="56"/>
    </w:p>
    <w:p w14:paraId="191C773E" w14:textId="77777777" w:rsidR="00F64BB2" w:rsidRDefault="00F64BB2" w:rsidP="00F64BB2">
      <w:pPr>
        <w:spacing w:after="210"/>
      </w:pPr>
      <w:r>
        <w:t>The system must support generation of SAR (Suspicious Activity Reports) and STR (Suspicious Transaction Reports) pre-populated with case data, supporting jurisdiction-specific templates. Completed reports must be exportable in the format required by the relevant financial intelligence unit (FIU). Filing status and confirmation must be recorded in the case audit trail.[4][13]</w:t>
      </w:r>
    </w:p>
    <w:p w14:paraId="74173C12" w14:textId="77777777" w:rsidR="00F64BB2" w:rsidRDefault="00F64BB2" w:rsidP="00F64BB2">
      <w:pPr>
        <w:pStyle w:val="Heading3"/>
      </w:pPr>
      <w:bookmarkStart w:id="57" w:name="fr_c06_audit_trail_and_chain_of_custody"/>
      <w:r>
        <w:t>FR-C06 — Audit Trail and Chain of Custody</w:t>
      </w:r>
      <w:bookmarkEnd w:id="57"/>
    </w:p>
    <w:p w14:paraId="3A68615F" w14:textId="77777777" w:rsidR="00F64BB2" w:rsidRDefault="00F64BB2" w:rsidP="00F64BB2">
      <w:pPr>
        <w:spacing w:after="210"/>
      </w:pPr>
      <w:r>
        <w:t>Every case action must be persisted as an immutable, append-only audit event including:[11][15][3]</w:t>
      </w:r>
    </w:p>
    <w:p w14:paraId="516C4377" w14:textId="77777777" w:rsidR="00F64BB2" w:rsidRDefault="00F64BB2" w:rsidP="00F64BB2">
      <w:pPr>
        <w:numPr>
          <w:ilvl w:val="0"/>
          <w:numId w:val="29"/>
        </w:numPr>
      </w:pPr>
      <w:r>
        <w:t>Action type (create, edit, note, status change, file attach, SAR file, escalate, close)</w:t>
      </w:r>
    </w:p>
    <w:p w14:paraId="416510C9" w14:textId="77777777" w:rsidR="00F64BB2" w:rsidRDefault="00F64BB2" w:rsidP="00F64BB2">
      <w:pPr>
        <w:numPr>
          <w:ilvl w:val="0"/>
          <w:numId w:val="29"/>
        </w:numPr>
      </w:pPr>
      <w:r>
        <w:t>Actor (user ID, role, IP address)</w:t>
      </w:r>
    </w:p>
    <w:p w14:paraId="5D41BFB7" w14:textId="77777777" w:rsidR="00F64BB2" w:rsidRDefault="00F64BB2" w:rsidP="00F64BB2">
      <w:pPr>
        <w:numPr>
          <w:ilvl w:val="0"/>
          <w:numId w:val="29"/>
        </w:numPr>
      </w:pPr>
      <w:r>
        <w:t>Timestamp (UTC, millisecond precision)</w:t>
      </w:r>
    </w:p>
    <w:p w14:paraId="3E64C15F" w14:textId="77777777" w:rsidR="00F64BB2" w:rsidRDefault="00F64BB2" w:rsidP="00F64BB2">
      <w:pPr>
        <w:numPr>
          <w:ilvl w:val="0"/>
          <w:numId w:val="29"/>
        </w:numPr>
      </w:pPr>
      <w:r>
        <w:t>Before/after state for field changes</w:t>
      </w:r>
    </w:p>
    <w:p w14:paraId="3A5B36F3" w14:textId="77777777" w:rsidR="00F64BB2" w:rsidRDefault="00F64BB2" w:rsidP="00F64BB2">
      <w:pPr>
        <w:numPr>
          <w:ilvl w:val="0"/>
          <w:numId w:val="29"/>
        </w:numPr>
      </w:pPr>
      <w:r>
        <w:t>Rule version and model version in effect at time of alert</w:t>
      </w:r>
    </w:p>
    <w:p w14:paraId="5857CF29" w14:textId="77777777" w:rsidR="00F64BB2" w:rsidRDefault="00F64BB2" w:rsidP="00F64BB2">
      <w:pPr>
        <w:numPr>
          <w:ilvl w:val="0"/>
          <w:numId w:val="29"/>
        </w:numPr>
      </w:pPr>
      <w:r>
        <w:t>Approval workflow log and MLRO sign-off</w:t>
      </w:r>
    </w:p>
    <w:p w14:paraId="3BB32B4A" w14:textId="77777777" w:rsidR="00F64BB2" w:rsidRDefault="00F64BB2" w:rsidP="00F64BB2">
      <w:pPr>
        <w:spacing w:after="210"/>
      </w:pPr>
      <w:r>
        <w:t>Audit records must be stored in a tamper-evident log and must meet FATF, AMLD5/6, and EBA documentation requirements.[15][3]</w:t>
      </w:r>
    </w:p>
    <w:p w14:paraId="63909617" w14:textId="77777777" w:rsidR="00F64BB2" w:rsidRDefault="00F64BB2" w:rsidP="00F64BB2">
      <w:pPr>
        <w:pStyle w:val="Heading3"/>
      </w:pPr>
      <w:bookmarkStart w:id="58" w:name="fr_c07_sla_and_kpi_tracking"/>
      <w:r>
        <w:t>FR-C07 — SLA and KPI Tracking</w:t>
      </w:r>
      <w:bookmarkEnd w:id="58"/>
    </w:p>
    <w:p w14:paraId="3CDAD2E3" w14:textId="77777777" w:rsidR="00F64BB2" w:rsidRDefault="00F64BB2" w:rsidP="00F64BB2">
      <w:pPr>
        <w:spacing w:after="210"/>
      </w:pPr>
      <w:r>
        <w:t xml:space="preserve">The system must track per-case SLA targets and surface breaches in both the </w:t>
      </w:r>
      <w:proofErr w:type="gramStart"/>
      <w:r>
        <w:t>case workspace</w:t>
      </w:r>
      <w:proofErr w:type="gramEnd"/>
      <w:r>
        <w:t xml:space="preserve"> and the dashboard:[16][3]</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2"/>
        <w:gridCol w:w="1865"/>
        <w:gridCol w:w="1986"/>
      </w:tblGrid>
      <w:tr w:rsidR="00F64BB2" w14:paraId="666F1652" w14:textId="77777777" w:rsidTr="00074F6A">
        <w:trPr>
          <w:cantSplit/>
          <w:tblCellSpacing w:w="0" w:type="dxa"/>
          <w:jc w:val="center"/>
        </w:trPr>
        <w:tc>
          <w:tcPr>
            <w:tcW w:w="0" w:type="auto"/>
            <w:tcBorders>
              <w:top w:val="single" w:sz="1" w:space="0" w:color="000000"/>
              <w:bottom w:val="single" w:sz="1" w:space="0" w:color="000000"/>
            </w:tcBorders>
          </w:tcPr>
          <w:p w14:paraId="31D922D6" w14:textId="77777777" w:rsidR="00F64BB2" w:rsidRDefault="00F64BB2" w:rsidP="00074F6A">
            <w:r>
              <w:t>Priority</w:t>
            </w:r>
          </w:p>
        </w:tc>
        <w:tc>
          <w:tcPr>
            <w:tcW w:w="0" w:type="auto"/>
            <w:tcBorders>
              <w:top w:val="single" w:sz="1" w:space="0" w:color="000000"/>
              <w:left w:val="single" w:sz="1" w:space="0" w:color="000000"/>
              <w:bottom w:val="single" w:sz="1" w:space="0" w:color="000000"/>
            </w:tcBorders>
          </w:tcPr>
          <w:p w14:paraId="721A3372" w14:textId="77777777" w:rsidR="00F64BB2" w:rsidRDefault="00F64BB2" w:rsidP="00074F6A">
            <w:r>
              <w:t>Response Target</w:t>
            </w:r>
          </w:p>
        </w:tc>
        <w:tc>
          <w:tcPr>
            <w:tcW w:w="0" w:type="auto"/>
            <w:tcBorders>
              <w:top w:val="single" w:sz="1" w:space="0" w:color="000000"/>
              <w:left w:val="single" w:sz="1" w:space="0" w:color="000000"/>
              <w:bottom w:val="single" w:sz="1" w:space="0" w:color="000000"/>
            </w:tcBorders>
          </w:tcPr>
          <w:p w14:paraId="72349618" w14:textId="77777777" w:rsidR="00F64BB2" w:rsidRDefault="00F64BB2" w:rsidP="00074F6A">
            <w:r>
              <w:t>Resolution Target</w:t>
            </w:r>
          </w:p>
        </w:tc>
      </w:tr>
      <w:tr w:rsidR="00F64BB2" w14:paraId="35048E9F" w14:textId="77777777" w:rsidTr="00074F6A">
        <w:trPr>
          <w:cantSplit/>
          <w:tblCellSpacing w:w="0" w:type="dxa"/>
          <w:jc w:val="center"/>
        </w:trPr>
        <w:tc>
          <w:tcPr>
            <w:tcW w:w="0" w:type="auto"/>
            <w:tcBorders>
              <w:top w:val="single" w:sz="1" w:space="0" w:color="000000"/>
              <w:bottom w:val="single" w:sz="1" w:space="0" w:color="000000"/>
            </w:tcBorders>
          </w:tcPr>
          <w:p w14:paraId="4EB82E84" w14:textId="77777777" w:rsidR="00F64BB2" w:rsidRDefault="00F64BB2" w:rsidP="00074F6A">
            <w:r>
              <w:t>Critical (P1)</w:t>
            </w:r>
          </w:p>
        </w:tc>
        <w:tc>
          <w:tcPr>
            <w:tcW w:w="0" w:type="auto"/>
            <w:tcBorders>
              <w:top w:val="single" w:sz="1" w:space="0" w:color="000000"/>
              <w:left w:val="single" w:sz="1" w:space="0" w:color="000000"/>
              <w:bottom w:val="single" w:sz="1" w:space="0" w:color="000000"/>
            </w:tcBorders>
          </w:tcPr>
          <w:p w14:paraId="0ADD58EB" w14:textId="77777777" w:rsidR="00F64BB2" w:rsidRDefault="00F64BB2" w:rsidP="00074F6A">
            <w:r>
              <w:t>15 minutes</w:t>
            </w:r>
          </w:p>
        </w:tc>
        <w:tc>
          <w:tcPr>
            <w:tcW w:w="0" w:type="auto"/>
            <w:tcBorders>
              <w:top w:val="single" w:sz="1" w:space="0" w:color="000000"/>
              <w:left w:val="single" w:sz="1" w:space="0" w:color="000000"/>
              <w:bottom w:val="single" w:sz="1" w:space="0" w:color="000000"/>
            </w:tcBorders>
          </w:tcPr>
          <w:p w14:paraId="68A8F67A" w14:textId="77777777" w:rsidR="00F64BB2" w:rsidRDefault="00F64BB2" w:rsidP="00074F6A">
            <w:r>
              <w:t>4 hours (24/7)</w:t>
            </w:r>
          </w:p>
        </w:tc>
      </w:tr>
      <w:tr w:rsidR="00F64BB2" w14:paraId="2973CD63" w14:textId="77777777" w:rsidTr="00074F6A">
        <w:trPr>
          <w:cantSplit/>
          <w:tblCellSpacing w:w="0" w:type="dxa"/>
          <w:jc w:val="center"/>
        </w:trPr>
        <w:tc>
          <w:tcPr>
            <w:tcW w:w="0" w:type="auto"/>
            <w:tcBorders>
              <w:top w:val="single" w:sz="1" w:space="0" w:color="000000"/>
              <w:bottom w:val="single" w:sz="1" w:space="0" w:color="000000"/>
            </w:tcBorders>
          </w:tcPr>
          <w:p w14:paraId="0AE03D9C" w14:textId="77777777" w:rsidR="00F64BB2" w:rsidRDefault="00F64BB2" w:rsidP="00074F6A">
            <w:r>
              <w:t>High (P2)</w:t>
            </w:r>
          </w:p>
        </w:tc>
        <w:tc>
          <w:tcPr>
            <w:tcW w:w="0" w:type="auto"/>
            <w:tcBorders>
              <w:top w:val="single" w:sz="1" w:space="0" w:color="000000"/>
              <w:left w:val="single" w:sz="1" w:space="0" w:color="000000"/>
              <w:bottom w:val="single" w:sz="1" w:space="0" w:color="000000"/>
            </w:tcBorders>
          </w:tcPr>
          <w:p w14:paraId="57A846F6" w14:textId="77777777" w:rsidR="00F64BB2" w:rsidRDefault="00F64BB2" w:rsidP="00074F6A">
            <w:r>
              <w:t>30 minutes</w:t>
            </w:r>
          </w:p>
        </w:tc>
        <w:tc>
          <w:tcPr>
            <w:tcW w:w="0" w:type="auto"/>
            <w:tcBorders>
              <w:top w:val="single" w:sz="1" w:space="0" w:color="000000"/>
              <w:left w:val="single" w:sz="1" w:space="0" w:color="000000"/>
              <w:bottom w:val="single" w:sz="1" w:space="0" w:color="000000"/>
            </w:tcBorders>
          </w:tcPr>
          <w:p w14:paraId="6DB73B88" w14:textId="77777777" w:rsidR="00F64BB2" w:rsidRDefault="00F64BB2" w:rsidP="00074F6A">
            <w:r>
              <w:t>8 hours (24/7)</w:t>
            </w:r>
          </w:p>
        </w:tc>
      </w:tr>
      <w:tr w:rsidR="00F64BB2" w14:paraId="754C3530" w14:textId="77777777" w:rsidTr="00074F6A">
        <w:trPr>
          <w:cantSplit/>
          <w:tblCellSpacing w:w="0" w:type="dxa"/>
          <w:jc w:val="center"/>
        </w:trPr>
        <w:tc>
          <w:tcPr>
            <w:tcW w:w="0" w:type="auto"/>
            <w:tcBorders>
              <w:top w:val="single" w:sz="1" w:space="0" w:color="000000"/>
              <w:bottom w:val="single" w:sz="1" w:space="0" w:color="000000"/>
            </w:tcBorders>
          </w:tcPr>
          <w:p w14:paraId="5A9B27E7" w14:textId="77777777" w:rsidR="00F64BB2" w:rsidRDefault="00F64BB2" w:rsidP="00074F6A">
            <w:r>
              <w:t>Medium (P3)</w:t>
            </w:r>
          </w:p>
        </w:tc>
        <w:tc>
          <w:tcPr>
            <w:tcW w:w="0" w:type="auto"/>
            <w:tcBorders>
              <w:top w:val="single" w:sz="1" w:space="0" w:color="000000"/>
              <w:left w:val="single" w:sz="1" w:space="0" w:color="000000"/>
              <w:bottom w:val="single" w:sz="1" w:space="0" w:color="000000"/>
            </w:tcBorders>
          </w:tcPr>
          <w:p w14:paraId="0D56BA10" w14:textId="77777777" w:rsidR="00F64BB2" w:rsidRDefault="00F64BB2" w:rsidP="00074F6A">
            <w:r>
              <w:t>1 hour</w:t>
            </w:r>
          </w:p>
        </w:tc>
        <w:tc>
          <w:tcPr>
            <w:tcW w:w="0" w:type="auto"/>
            <w:tcBorders>
              <w:top w:val="single" w:sz="1" w:space="0" w:color="000000"/>
              <w:left w:val="single" w:sz="1" w:space="0" w:color="000000"/>
              <w:bottom w:val="single" w:sz="1" w:space="0" w:color="000000"/>
            </w:tcBorders>
          </w:tcPr>
          <w:p w14:paraId="532CB5ED" w14:textId="77777777" w:rsidR="00F64BB2" w:rsidRDefault="00F64BB2" w:rsidP="00074F6A">
            <w:r>
              <w:t>1 business day</w:t>
            </w:r>
          </w:p>
        </w:tc>
      </w:tr>
      <w:tr w:rsidR="00F64BB2" w14:paraId="78CC671D" w14:textId="77777777" w:rsidTr="00074F6A">
        <w:trPr>
          <w:cantSplit/>
          <w:tblCellSpacing w:w="0" w:type="dxa"/>
          <w:jc w:val="center"/>
        </w:trPr>
        <w:tc>
          <w:tcPr>
            <w:tcW w:w="0" w:type="auto"/>
            <w:tcBorders>
              <w:top w:val="single" w:sz="1" w:space="0" w:color="000000"/>
              <w:bottom w:val="single" w:sz="1" w:space="0" w:color="000000"/>
            </w:tcBorders>
          </w:tcPr>
          <w:p w14:paraId="07A16874" w14:textId="77777777" w:rsidR="00F64BB2" w:rsidRDefault="00F64BB2" w:rsidP="00074F6A">
            <w:r>
              <w:t>Low (P4)</w:t>
            </w:r>
          </w:p>
        </w:tc>
        <w:tc>
          <w:tcPr>
            <w:tcW w:w="0" w:type="auto"/>
            <w:tcBorders>
              <w:top w:val="single" w:sz="1" w:space="0" w:color="000000"/>
              <w:left w:val="single" w:sz="1" w:space="0" w:color="000000"/>
              <w:bottom w:val="single" w:sz="1" w:space="0" w:color="000000"/>
            </w:tcBorders>
          </w:tcPr>
          <w:p w14:paraId="5630E0EA" w14:textId="77777777" w:rsidR="00F64BB2" w:rsidRDefault="00F64BB2" w:rsidP="00074F6A">
            <w:r>
              <w:t>2 hours</w:t>
            </w:r>
          </w:p>
        </w:tc>
        <w:tc>
          <w:tcPr>
            <w:tcW w:w="0" w:type="auto"/>
            <w:tcBorders>
              <w:top w:val="single" w:sz="1" w:space="0" w:color="000000"/>
              <w:left w:val="single" w:sz="1" w:space="0" w:color="000000"/>
              <w:bottom w:val="single" w:sz="1" w:space="0" w:color="000000"/>
            </w:tcBorders>
          </w:tcPr>
          <w:p w14:paraId="2C314262" w14:textId="77777777" w:rsidR="00F64BB2" w:rsidRDefault="00F64BB2" w:rsidP="00074F6A">
            <w:r>
              <w:t>2 business days</w:t>
            </w:r>
          </w:p>
        </w:tc>
      </w:tr>
    </w:tbl>
    <w:p w14:paraId="549CC89B" w14:textId="77777777" w:rsidR="00F64BB2" w:rsidRDefault="00F64BB2" w:rsidP="00F64BB2"/>
    <w:p w14:paraId="1DC8D2EE" w14:textId="77777777" w:rsidR="00F64BB2" w:rsidRDefault="00F64BB2" w:rsidP="00F64BB2">
      <w:pPr>
        <w:pStyle w:val="Heading3"/>
      </w:pPr>
      <w:bookmarkStart w:id="59" w:name="fr_c08_case_linking_and_entity_re_aaf44e"/>
      <w:r>
        <w:t>FR-C08 — Case Linking and Entity Resolution</w:t>
      </w:r>
      <w:bookmarkEnd w:id="59"/>
    </w:p>
    <w:p w14:paraId="3C50A829" w14:textId="77777777" w:rsidR="00F64BB2" w:rsidRDefault="00F64BB2" w:rsidP="00F64BB2">
      <w:pPr>
        <w:spacing w:after="210"/>
      </w:pPr>
      <w:r>
        <w:t>Cases involving overlapping entities (shared account, device, customer, jurisdiction) must be surfaced as related cases and linkable into a case cluster for joint investigation. Entity resolution must allow analysts to merge or link entities across cases when duplicates are identified.[3]</w:t>
      </w:r>
    </w:p>
    <w:p w14:paraId="7D501378" w14:textId="77777777" w:rsidR="00F64BB2" w:rsidRDefault="00F64BB2" w:rsidP="00F64BB2">
      <w:pPr>
        <w:pStyle w:val="Heading3"/>
      </w:pPr>
      <w:bookmarkStart w:id="60" w:name="fr_c09_integration_points"/>
      <w:r>
        <w:t>FR-C09 — Integration Points</w:t>
      </w:r>
      <w:bookmarkEnd w:id="60"/>
    </w:p>
    <w:p w14:paraId="0407D5FD" w14:textId="77777777" w:rsidR="00F64BB2" w:rsidRDefault="00F64BB2" w:rsidP="00F64BB2">
      <w:pPr>
        <w:spacing w:after="210"/>
      </w:pPr>
      <w:r>
        <w:t xml:space="preserve">The case management module must </w:t>
      </w:r>
      <w:proofErr w:type="gramStart"/>
      <w:r>
        <w:t>integrate</w:t>
      </w:r>
      <w:proofErr w:type="gramEnd"/>
      <w:r>
        <w:t xml:space="preserve"> via API with:[12][2]</w:t>
      </w:r>
    </w:p>
    <w:p w14:paraId="3BA8F3E6" w14:textId="77777777" w:rsidR="00F64BB2" w:rsidRDefault="00F64BB2" w:rsidP="00F64BB2">
      <w:pPr>
        <w:numPr>
          <w:ilvl w:val="0"/>
          <w:numId w:val="30"/>
        </w:numPr>
      </w:pPr>
      <w:r>
        <w:t>Transaction monitoring rules engine (alert ingestion)</w:t>
      </w:r>
    </w:p>
    <w:p w14:paraId="5BA17FBE" w14:textId="77777777" w:rsidR="00F64BB2" w:rsidRDefault="00F64BB2" w:rsidP="00F64BB2">
      <w:pPr>
        <w:numPr>
          <w:ilvl w:val="0"/>
          <w:numId w:val="30"/>
        </w:numPr>
      </w:pPr>
      <w:r>
        <w:t>KYC/CDD provider (customer risk profile enrichment)</w:t>
      </w:r>
    </w:p>
    <w:p w14:paraId="5DAE76E9" w14:textId="77777777" w:rsidR="00F64BB2" w:rsidRDefault="00F64BB2" w:rsidP="00F64BB2">
      <w:pPr>
        <w:numPr>
          <w:ilvl w:val="0"/>
          <w:numId w:val="30"/>
        </w:numPr>
      </w:pPr>
      <w:r>
        <w:lastRenderedPageBreak/>
        <w:t>Sanctions and PEP screening API (entity screening at case open and on demand)</w:t>
      </w:r>
    </w:p>
    <w:p w14:paraId="0914AF26" w14:textId="77777777" w:rsidR="00F64BB2" w:rsidRDefault="00F64BB2" w:rsidP="00F64BB2">
      <w:pPr>
        <w:numPr>
          <w:ilvl w:val="0"/>
          <w:numId w:val="30"/>
        </w:numPr>
      </w:pPr>
      <w:r>
        <w:t>Graph investigation service (network subgraph for case entities)</w:t>
      </w:r>
    </w:p>
    <w:p w14:paraId="79900ADC" w14:textId="77777777" w:rsidR="00F64BB2" w:rsidRDefault="00F64BB2" w:rsidP="00F64BB2">
      <w:pPr>
        <w:numPr>
          <w:ilvl w:val="0"/>
          <w:numId w:val="30"/>
        </w:numPr>
      </w:pPr>
      <w:r>
        <w:t>Regulatory reporting system (SAR/STR export and submission confirmation)</w:t>
      </w:r>
    </w:p>
    <w:p w14:paraId="25FD93C2" w14:textId="77777777" w:rsidR="00F64BB2" w:rsidRDefault="00F64BB2" w:rsidP="00F64BB2">
      <w:pPr>
        <w:pStyle w:val="Heading3"/>
      </w:pPr>
      <w:bookmarkStart w:id="61" w:name="frontend_requirements_module_2"/>
      <w:r>
        <w:t>Frontend Requirements (Module 2)</w:t>
      </w:r>
      <w:bookmarkEnd w:id="6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7"/>
        <w:gridCol w:w="7607"/>
      </w:tblGrid>
      <w:tr w:rsidR="00F64BB2" w14:paraId="012070C7" w14:textId="77777777" w:rsidTr="00074F6A">
        <w:trPr>
          <w:cantSplit/>
          <w:tblCellSpacing w:w="0" w:type="dxa"/>
          <w:jc w:val="center"/>
        </w:trPr>
        <w:tc>
          <w:tcPr>
            <w:tcW w:w="0" w:type="auto"/>
            <w:tcBorders>
              <w:top w:val="single" w:sz="1" w:space="0" w:color="000000"/>
              <w:bottom w:val="single" w:sz="1" w:space="0" w:color="000000"/>
            </w:tcBorders>
          </w:tcPr>
          <w:p w14:paraId="0C1A3A71" w14:textId="77777777" w:rsidR="00F64BB2" w:rsidRDefault="00F64BB2" w:rsidP="00074F6A">
            <w:r>
              <w:t>Requirement</w:t>
            </w:r>
          </w:p>
        </w:tc>
        <w:tc>
          <w:tcPr>
            <w:tcW w:w="0" w:type="auto"/>
            <w:tcBorders>
              <w:top w:val="single" w:sz="1" w:space="0" w:color="000000"/>
              <w:left w:val="single" w:sz="1" w:space="0" w:color="000000"/>
              <w:bottom w:val="single" w:sz="1" w:space="0" w:color="000000"/>
            </w:tcBorders>
          </w:tcPr>
          <w:p w14:paraId="6540C708" w14:textId="77777777" w:rsidR="00F64BB2" w:rsidRDefault="00F64BB2" w:rsidP="00074F6A">
            <w:r>
              <w:t>Detail</w:t>
            </w:r>
          </w:p>
        </w:tc>
      </w:tr>
      <w:tr w:rsidR="00F64BB2" w14:paraId="3459D985" w14:textId="77777777" w:rsidTr="00074F6A">
        <w:trPr>
          <w:cantSplit/>
          <w:tblCellSpacing w:w="0" w:type="dxa"/>
          <w:jc w:val="center"/>
        </w:trPr>
        <w:tc>
          <w:tcPr>
            <w:tcW w:w="0" w:type="auto"/>
            <w:tcBorders>
              <w:top w:val="single" w:sz="1" w:space="0" w:color="000000"/>
              <w:bottom w:val="single" w:sz="1" w:space="0" w:color="000000"/>
            </w:tcBorders>
          </w:tcPr>
          <w:p w14:paraId="549320DD" w14:textId="77777777" w:rsidR="00F64BB2" w:rsidRDefault="00F64BB2" w:rsidP="00074F6A">
            <w:r>
              <w:t>Technology</w:t>
            </w:r>
          </w:p>
        </w:tc>
        <w:tc>
          <w:tcPr>
            <w:tcW w:w="0" w:type="auto"/>
            <w:tcBorders>
              <w:top w:val="single" w:sz="1" w:space="0" w:color="000000"/>
              <w:left w:val="single" w:sz="1" w:space="0" w:color="000000"/>
              <w:bottom w:val="single" w:sz="1" w:space="0" w:color="000000"/>
            </w:tcBorders>
          </w:tcPr>
          <w:p w14:paraId="2B609C53" w14:textId="77777777" w:rsidR="00F64BB2" w:rsidRDefault="00F64BB2" w:rsidP="00074F6A">
            <w:r>
              <w:t xml:space="preserve">Next.js, </w:t>
            </w:r>
            <w:proofErr w:type="spellStart"/>
            <w:r>
              <w:t>TanStack</w:t>
            </w:r>
            <w:proofErr w:type="spellEnd"/>
            <w:r>
              <w:t xml:space="preserve"> Table for case queues, React Hook Form + Zod for case forms and SAR templates</w:t>
            </w:r>
          </w:p>
        </w:tc>
      </w:tr>
      <w:tr w:rsidR="00F64BB2" w14:paraId="67306C95" w14:textId="77777777" w:rsidTr="00074F6A">
        <w:trPr>
          <w:cantSplit/>
          <w:tblCellSpacing w:w="0" w:type="dxa"/>
          <w:jc w:val="center"/>
        </w:trPr>
        <w:tc>
          <w:tcPr>
            <w:tcW w:w="0" w:type="auto"/>
            <w:tcBorders>
              <w:top w:val="single" w:sz="1" w:space="0" w:color="000000"/>
              <w:bottom w:val="single" w:sz="1" w:space="0" w:color="000000"/>
            </w:tcBorders>
          </w:tcPr>
          <w:p w14:paraId="75FA9416" w14:textId="77777777" w:rsidR="00F64BB2" w:rsidRDefault="00F64BB2" w:rsidP="00074F6A">
            <w:r>
              <w:t>Case queue</w:t>
            </w:r>
          </w:p>
        </w:tc>
        <w:tc>
          <w:tcPr>
            <w:tcW w:w="0" w:type="auto"/>
            <w:tcBorders>
              <w:top w:val="single" w:sz="1" w:space="0" w:color="000000"/>
              <w:left w:val="single" w:sz="1" w:space="0" w:color="000000"/>
              <w:bottom w:val="single" w:sz="1" w:space="0" w:color="000000"/>
            </w:tcBorders>
          </w:tcPr>
          <w:p w14:paraId="291008DA" w14:textId="77777777" w:rsidR="00F64BB2" w:rsidRDefault="00F64BB2" w:rsidP="00074F6A">
            <w:r>
              <w:t xml:space="preserve">Faceted filter sidebar (risk, status, rule, assignee, date); column-sortable </w:t>
            </w:r>
            <w:proofErr w:type="spellStart"/>
            <w:r>
              <w:t>TanStack</w:t>
            </w:r>
            <w:proofErr w:type="spellEnd"/>
            <w:r>
              <w:t xml:space="preserve"> Table; bulk disposition actions</w:t>
            </w:r>
          </w:p>
        </w:tc>
      </w:tr>
      <w:tr w:rsidR="00F64BB2" w14:paraId="65EF838F" w14:textId="77777777" w:rsidTr="00074F6A">
        <w:trPr>
          <w:cantSplit/>
          <w:tblCellSpacing w:w="0" w:type="dxa"/>
          <w:jc w:val="center"/>
        </w:trPr>
        <w:tc>
          <w:tcPr>
            <w:tcW w:w="0" w:type="auto"/>
            <w:tcBorders>
              <w:top w:val="single" w:sz="1" w:space="0" w:color="000000"/>
              <w:bottom w:val="single" w:sz="1" w:space="0" w:color="000000"/>
            </w:tcBorders>
          </w:tcPr>
          <w:p w14:paraId="47C284B8" w14:textId="77777777" w:rsidR="00F64BB2" w:rsidRDefault="00F64BB2" w:rsidP="00074F6A">
            <w:r>
              <w:t>Case workspace</w:t>
            </w:r>
          </w:p>
        </w:tc>
        <w:tc>
          <w:tcPr>
            <w:tcW w:w="0" w:type="auto"/>
            <w:tcBorders>
              <w:top w:val="single" w:sz="1" w:space="0" w:color="000000"/>
              <w:left w:val="single" w:sz="1" w:space="0" w:color="000000"/>
              <w:bottom w:val="single" w:sz="1" w:space="0" w:color="000000"/>
            </w:tcBorders>
          </w:tcPr>
          <w:p w14:paraId="0C6A529A" w14:textId="77777777" w:rsidR="00F64BB2" w:rsidRDefault="00F64BB2" w:rsidP="00074F6A">
            <w:r>
              <w:t>Split-pane layout: left summary + evidence; right notes + timeline; full-screen graph investigation modal</w:t>
            </w:r>
          </w:p>
        </w:tc>
      </w:tr>
      <w:tr w:rsidR="00F64BB2" w14:paraId="07557D34" w14:textId="77777777" w:rsidTr="00074F6A">
        <w:trPr>
          <w:cantSplit/>
          <w:tblCellSpacing w:w="0" w:type="dxa"/>
          <w:jc w:val="center"/>
        </w:trPr>
        <w:tc>
          <w:tcPr>
            <w:tcW w:w="0" w:type="auto"/>
            <w:tcBorders>
              <w:top w:val="single" w:sz="1" w:space="0" w:color="000000"/>
              <w:bottom w:val="single" w:sz="1" w:space="0" w:color="000000"/>
            </w:tcBorders>
          </w:tcPr>
          <w:p w14:paraId="3096E5D5" w14:textId="77777777" w:rsidR="00F64BB2" w:rsidRDefault="00F64BB2" w:rsidP="00074F6A">
            <w:r>
              <w:t>Notifications</w:t>
            </w:r>
          </w:p>
        </w:tc>
        <w:tc>
          <w:tcPr>
            <w:tcW w:w="0" w:type="auto"/>
            <w:tcBorders>
              <w:top w:val="single" w:sz="1" w:space="0" w:color="000000"/>
              <w:left w:val="single" w:sz="1" w:space="0" w:color="000000"/>
              <w:bottom w:val="single" w:sz="1" w:space="0" w:color="000000"/>
            </w:tcBorders>
          </w:tcPr>
          <w:p w14:paraId="27FBF0E6" w14:textId="77777777" w:rsidR="00F64BB2" w:rsidRDefault="00F64BB2" w:rsidP="00074F6A">
            <w:r>
              <w:t>In-app toast for SLA breach, escalation, and assignment; SSE feed from backend</w:t>
            </w:r>
          </w:p>
        </w:tc>
      </w:tr>
      <w:tr w:rsidR="00F64BB2" w14:paraId="717D1F4A" w14:textId="77777777" w:rsidTr="00074F6A">
        <w:trPr>
          <w:cantSplit/>
          <w:tblCellSpacing w:w="0" w:type="dxa"/>
          <w:jc w:val="center"/>
        </w:trPr>
        <w:tc>
          <w:tcPr>
            <w:tcW w:w="0" w:type="auto"/>
            <w:tcBorders>
              <w:top w:val="single" w:sz="1" w:space="0" w:color="000000"/>
              <w:bottom w:val="single" w:sz="1" w:space="0" w:color="000000"/>
            </w:tcBorders>
          </w:tcPr>
          <w:p w14:paraId="75B0D89A" w14:textId="77777777" w:rsidR="00F64BB2" w:rsidRDefault="00F64BB2" w:rsidP="00074F6A">
            <w:r>
              <w:t>Optimistic updates</w:t>
            </w:r>
          </w:p>
        </w:tc>
        <w:tc>
          <w:tcPr>
            <w:tcW w:w="0" w:type="auto"/>
            <w:tcBorders>
              <w:top w:val="single" w:sz="1" w:space="0" w:color="000000"/>
              <w:left w:val="single" w:sz="1" w:space="0" w:color="000000"/>
              <w:bottom w:val="single" w:sz="1" w:space="0" w:color="000000"/>
            </w:tcBorders>
          </w:tcPr>
          <w:p w14:paraId="1C728C4D" w14:textId="77777777" w:rsidR="00F64BB2" w:rsidRDefault="00F64BB2" w:rsidP="00074F6A">
            <w:r>
              <w:t>Case status and note additions must optimistically update before server confirmation</w:t>
            </w:r>
          </w:p>
        </w:tc>
      </w:tr>
    </w:tbl>
    <w:p w14:paraId="6826585C" w14:textId="77777777" w:rsidR="00F64BB2" w:rsidRDefault="00F64BB2" w:rsidP="00F64BB2"/>
    <w:p w14:paraId="2218B2A4" w14:textId="77777777" w:rsidR="00F64BB2" w:rsidRDefault="00F64BB2" w:rsidP="00F64BB2">
      <w:pPr>
        <w:pStyle w:val="Heading3"/>
      </w:pPr>
      <w:bookmarkStart w:id="62" w:name="backend_requirements_module_2"/>
      <w:r>
        <w:t>Backend Requirements (Module 2)</w:t>
      </w:r>
      <w:bookmarkEnd w:id="6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68"/>
        <w:gridCol w:w="2351"/>
        <w:gridCol w:w="4485"/>
      </w:tblGrid>
      <w:tr w:rsidR="00F64BB2" w14:paraId="42C98086" w14:textId="77777777" w:rsidTr="00074F6A">
        <w:trPr>
          <w:cantSplit/>
          <w:tblCellSpacing w:w="0" w:type="dxa"/>
          <w:jc w:val="center"/>
        </w:trPr>
        <w:tc>
          <w:tcPr>
            <w:tcW w:w="0" w:type="auto"/>
            <w:tcBorders>
              <w:top w:val="single" w:sz="1" w:space="0" w:color="000000"/>
              <w:bottom w:val="single" w:sz="1" w:space="0" w:color="000000"/>
            </w:tcBorders>
          </w:tcPr>
          <w:p w14:paraId="288A02AA" w14:textId="77777777" w:rsidR="00F64BB2" w:rsidRDefault="00F64BB2" w:rsidP="00074F6A">
            <w:r>
              <w:t>Endpoint</w:t>
            </w:r>
          </w:p>
        </w:tc>
        <w:tc>
          <w:tcPr>
            <w:tcW w:w="0" w:type="auto"/>
            <w:tcBorders>
              <w:top w:val="single" w:sz="1" w:space="0" w:color="000000"/>
              <w:left w:val="single" w:sz="1" w:space="0" w:color="000000"/>
              <w:bottom w:val="single" w:sz="1" w:space="0" w:color="000000"/>
            </w:tcBorders>
          </w:tcPr>
          <w:p w14:paraId="5194F95E" w14:textId="77777777" w:rsidR="00F64BB2" w:rsidRDefault="00F64BB2" w:rsidP="00074F6A">
            <w:r>
              <w:t>Method</w:t>
            </w:r>
          </w:p>
        </w:tc>
        <w:tc>
          <w:tcPr>
            <w:tcW w:w="0" w:type="auto"/>
            <w:tcBorders>
              <w:top w:val="single" w:sz="1" w:space="0" w:color="000000"/>
              <w:left w:val="single" w:sz="1" w:space="0" w:color="000000"/>
              <w:bottom w:val="single" w:sz="1" w:space="0" w:color="000000"/>
            </w:tcBorders>
          </w:tcPr>
          <w:p w14:paraId="5B2F5B2C" w14:textId="77777777" w:rsidR="00F64BB2" w:rsidRDefault="00F64BB2" w:rsidP="00074F6A">
            <w:r>
              <w:t>Description</w:t>
            </w:r>
          </w:p>
        </w:tc>
      </w:tr>
      <w:tr w:rsidR="00F64BB2" w14:paraId="6B08027B" w14:textId="77777777" w:rsidTr="00074F6A">
        <w:trPr>
          <w:cantSplit/>
          <w:tblCellSpacing w:w="0" w:type="dxa"/>
          <w:jc w:val="center"/>
        </w:trPr>
        <w:tc>
          <w:tcPr>
            <w:tcW w:w="0" w:type="auto"/>
            <w:tcBorders>
              <w:top w:val="single" w:sz="1" w:space="0" w:color="000000"/>
              <w:bottom w:val="single" w:sz="1" w:space="0" w:color="000000"/>
            </w:tcBorders>
          </w:tcPr>
          <w:p w14:paraId="475470D7"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cases</w:t>
            </w:r>
            <w:proofErr w:type="gramEnd"/>
          </w:p>
        </w:tc>
        <w:tc>
          <w:tcPr>
            <w:tcW w:w="0" w:type="auto"/>
            <w:tcBorders>
              <w:top w:val="single" w:sz="1" w:space="0" w:color="000000"/>
              <w:left w:val="single" w:sz="1" w:space="0" w:color="000000"/>
              <w:bottom w:val="single" w:sz="1" w:space="0" w:color="000000"/>
            </w:tcBorders>
          </w:tcPr>
          <w:p w14:paraId="0D79D1FC" w14:textId="77777777" w:rsidR="00F64BB2" w:rsidRDefault="00F64BB2" w:rsidP="00074F6A">
            <w:r>
              <w:t>GET / POST</w:t>
            </w:r>
          </w:p>
        </w:tc>
        <w:tc>
          <w:tcPr>
            <w:tcW w:w="0" w:type="auto"/>
            <w:tcBorders>
              <w:top w:val="single" w:sz="1" w:space="0" w:color="000000"/>
              <w:left w:val="single" w:sz="1" w:space="0" w:color="000000"/>
              <w:bottom w:val="single" w:sz="1" w:space="0" w:color="000000"/>
            </w:tcBorders>
          </w:tcPr>
          <w:p w14:paraId="157956EA" w14:textId="77777777" w:rsidR="00F64BB2" w:rsidRDefault="00F64BB2" w:rsidP="00074F6A">
            <w:r>
              <w:t>List cases with filters; create manual case</w:t>
            </w:r>
          </w:p>
        </w:tc>
      </w:tr>
      <w:tr w:rsidR="00F64BB2" w14:paraId="44EB0DB7" w14:textId="77777777" w:rsidTr="00074F6A">
        <w:trPr>
          <w:cantSplit/>
          <w:tblCellSpacing w:w="0" w:type="dxa"/>
          <w:jc w:val="center"/>
        </w:trPr>
        <w:tc>
          <w:tcPr>
            <w:tcW w:w="0" w:type="auto"/>
            <w:tcBorders>
              <w:top w:val="single" w:sz="1" w:space="0" w:color="000000"/>
              <w:bottom w:val="single" w:sz="1" w:space="0" w:color="000000"/>
            </w:tcBorders>
          </w:tcPr>
          <w:p w14:paraId="2D5420B8"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cases/{</w:t>
            </w:r>
            <w:proofErr w:type="gramEnd"/>
            <w:r>
              <w:rPr>
                <w:rStyle w:val="VerbatimChar"/>
                <w:rFonts w:ascii="menlo" w:eastAsia="menlo" w:hAnsi="menlo" w:cs="menlo"/>
                <w:shd w:val="clear" w:color="auto" w:fill="F8F8FA"/>
              </w:rPr>
              <w:t>id}</w:t>
            </w:r>
          </w:p>
        </w:tc>
        <w:tc>
          <w:tcPr>
            <w:tcW w:w="0" w:type="auto"/>
            <w:tcBorders>
              <w:top w:val="single" w:sz="1" w:space="0" w:color="000000"/>
              <w:left w:val="single" w:sz="1" w:space="0" w:color="000000"/>
              <w:bottom w:val="single" w:sz="1" w:space="0" w:color="000000"/>
            </w:tcBorders>
          </w:tcPr>
          <w:p w14:paraId="0F780C63" w14:textId="77777777" w:rsidR="00F64BB2" w:rsidRDefault="00F64BB2" w:rsidP="00074F6A">
            <w:r>
              <w:t>GET / PATCH / DELETE</w:t>
            </w:r>
          </w:p>
        </w:tc>
        <w:tc>
          <w:tcPr>
            <w:tcW w:w="0" w:type="auto"/>
            <w:tcBorders>
              <w:top w:val="single" w:sz="1" w:space="0" w:color="000000"/>
              <w:left w:val="single" w:sz="1" w:space="0" w:color="000000"/>
              <w:bottom w:val="single" w:sz="1" w:space="0" w:color="000000"/>
            </w:tcBorders>
          </w:tcPr>
          <w:p w14:paraId="0B7FE7C4" w14:textId="77777777" w:rsidR="00F64BB2" w:rsidRDefault="00F64BB2" w:rsidP="00074F6A">
            <w:r>
              <w:t xml:space="preserve">Retrieve, update, or </w:t>
            </w:r>
            <w:proofErr w:type="gramStart"/>
            <w:r>
              <w:t>soft-delete</w:t>
            </w:r>
            <w:proofErr w:type="gramEnd"/>
            <w:r>
              <w:t xml:space="preserve"> a case</w:t>
            </w:r>
          </w:p>
        </w:tc>
      </w:tr>
      <w:tr w:rsidR="00F64BB2" w14:paraId="577274B7" w14:textId="77777777" w:rsidTr="00074F6A">
        <w:trPr>
          <w:cantSplit/>
          <w:tblCellSpacing w:w="0" w:type="dxa"/>
          <w:jc w:val="center"/>
        </w:trPr>
        <w:tc>
          <w:tcPr>
            <w:tcW w:w="0" w:type="auto"/>
            <w:tcBorders>
              <w:top w:val="single" w:sz="1" w:space="0" w:color="000000"/>
              <w:bottom w:val="single" w:sz="1" w:space="0" w:color="000000"/>
            </w:tcBorders>
          </w:tcPr>
          <w:p w14:paraId="0879F236"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cases/{id}/</w:t>
            </w:r>
            <w:proofErr w:type="gramEnd"/>
            <w:r>
              <w:rPr>
                <w:rStyle w:val="VerbatimChar"/>
                <w:rFonts w:ascii="menlo" w:eastAsia="menlo" w:hAnsi="menlo" w:cs="menlo"/>
                <w:shd w:val="clear" w:color="auto" w:fill="F8F8FA"/>
              </w:rPr>
              <w:t>transitions</w:t>
            </w:r>
          </w:p>
        </w:tc>
        <w:tc>
          <w:tcPr>
            <w:tcW w:w="0" w:type="auto"/>
            <w:tcBorders>
              <w:top w:val="single" w:sz="1" w:space="0" w:color="000000"/>
              <w:left w:val="single" w:sz="1" w:space="0" w:color="000000"/>
              <w:bottom w:val="single" w:sz="1" w:space="0" w:color="000000"/>
            </w:tcBorders>
          </w:tcPr>
          <w:p w14:paraId="494DB518" w14:textId="77777777" w:rsidR="00F64BB2" w:rsidRDefault="00F64BB2" w:rsidP="00074F6A">
            <w:r>
              <w:t>POST</w:t>
            </w:r>
          </w:p>
        </w:tc>
        <w:tc>
          <w:tcPr>
            <w:tcW w:w="0" w:type="auto"/>
            <w:tcBorders>
              <w:top w:val="single" w:sz="1" w:space="0" w:color="000000"/>
              <w:left w:val="single" w:sz="1" w:space="0" w:color="000000"/>
              <w:bottom w:val="single" w:sz="1" w:space="0" w:color="000000"/>
            </w:tcBorders>
          </w:tcPr>
          <w:p w14:paraId="45292B64" w14:textId="77777777" w:rsidR="00F64BB2" w:rsidRDefault="00F64BB2" w:rsidP="00074F6A">
            <w:r>
              <w:t>Execute workflow state transition with role validation</w:t>
            </w:r>
          </w:p>
        </w:tc>
      </w:tr>
      <w:tr w:rsidR="00F64BB2" w14:paraId="2D053797" w14:textId="77777777" w:rsidTr="00074F6A">
        <w:trPr>
          <w:cantSplit/>
          <w:tblCellSpacing w:w="0" w:type="dxa"/>
          <w:jc w:val="center"/>
        </w:trPr>
        <w:tc>
          <w:tcPr>
            <w:tcW w:w="0" w:type="auto"/>
            <w:tcBorders>
              <w:top w:val="single" w:sz="1" w:space="0" w:color="000000"/>
              <w:bottom w:val="single" w:sz="1" w:space="0" w:color="000000"/>
            </w:tcBorders>
          </w:tcPr>
          <w:p w14:paraId="5CF48511"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cases/{id}/</w:t>
            </w:r>
            <w:proofErr w:type="gramEnd"/>
            <w:r>
              <w:rPr>
                <w:rStyle w:val="VerbatimChar"/>
                <w:rFonts w:ascii="menlo" w:eastAsia="menlo" w:hAnsi="menlo" w:cs="menlo"/>
                <w:shd w:val="clear" w:color="auto" w:fill="F8F8FA"/>
              </w:rPr>
              <w:t>notes</w:t>
            </w:r>
          </w:p>
        </w:tc>
        <w:tc>
          <w:tcPr>
            <w:tcW w:w="0" w:type="auto"/>
            <w:tcBorders>
              <w:top w:val="single" w:sz="1" w:space="0" w:color="000000"/>
              <w:left w:val="single" w:sz="1" w:space="0" w:color="000000"/>
              <w:bottom w:val="single" w:sz="1" w:space="0" w:color="000000"/>
            </w:tcBorders>
          </w:tcPr>
          <w:p w14:paraId="2BA1CF4B" w14:textId="77777777" w:rsidR="00F64BB2" w:rsidRDefault="00F64BB2" w:rsidP="00074F6A">
            <w:r>
              <w:t>GET / POST</w:t>
            </w:r>
          </w:p>
        </w:tc>
        <w:tc>
          <w:tcPr>
            <w:tcW w:w="0" w:type="auto"/>
            <w:tcBorders>
              <w:top w:val="single" w:sz="1" w:space="0" w:color="000000"/>
              <w:left w:val="single" w:sz="1" w:space="0" w:color="000000"/>
              <w:bottom w:val="single" w:sz="1" w:space="0" w:color="000000"/>
            </w:tcBorders>
          </w:tcPr>
          <w:p w14:paraId="799A3C38" w14:textId="77777777" w:rsidR="00F64BB2" w:rsidRDefault="00F64BB2" w:rsidP="00074F6A">
            <w:r>
              <w:t>List or add case notes</w:t>
            </w:r>
          </w:p>
        </w:tc>
      </w:tr>
      <w:tr w:rsidR="00F64BB2" w14:paraId="61F4A9F5" w14:textId="77777777" w:rsidTr="00074F6A">
        <w:trPr>
          <w:cantSplit/>
          <w:tblCellSpacing w:w="0" w:type="dxa"/>
          <w:jc w:val="center"/>
        </w:trPr>
        <w:tc>
          <w:tcPr>
            <w:tcW w:w="0" w:type="auto"/>
            <w:tcBorders>
              <w:top w:val="single" w:sz="1" w:space="0" w:color="000000"/>
              <w:bottom w:val="single" w:sz="1" w:space="0" w:color="000000"/>
            </w:tcBorders>
          </w:tcPr>
          <w:p w14:paraId="3C327073"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cases/{id}/</w:t>
            </w:r>
            <w:proofErr w:type="gramEnd"/>
            <w:r>
              <w:rPr>
                <w:rStyle w:val="VerbatimChar"/>
                <w:rFonts w:ascii="menlo" w:eastAsia="menlo" w:hAnsi="menlo" w:cs="menlo"/>
                <w:shd w:val="clear" w:color="auto" w:fill="F8F8FA"/>
              </w:rPr>
              <w:t>attachments</w:t>
            </w:r>
          </w:p>
        </w:tc>
        <w:tc>
          <w:tcPr>
            <w:tcW w:w="0" w:type="auto"/>
            <w:tcBorders>
              <w:top w:val="single" w:sz="1" w:space="0" w:color="000000"/>
              <w:left w:val="single" w:sz="1" w:space="0" w:color="000000"/>
              <w:bottom w:val="single" w:sz="1" w:space="0" w:color="000000"/>
            </w:tcBorders>
          </w:tcPr>
          <w:p w14:paraId="7610C863" w14:textId="77777777" w:rsidR="00F64BB2" w:rsidRDefault="00F64BB2" w:rsidP="00074F6A">
            <w:r>
              <w:t>GET / POST</w:t>
            </w:r>
          </w:p>
        </w:tc>
        <w:tc>
          <w:tcPr>
            <w:tcW w:w="0" w:type="auto"/>
            <w:tcBorders>
              <w:top w:val="single" w:sz="1" w:space="0" w:color="000000"/>
              <w:left w:val="single" w:sz="1" w:space="0" w:color="000000"/>
              <w:bottom w:val="single" w:sz="1" w:space="0" w:color="000000"/>
            </w:tcBorders>
          </w:tcPr>
          <w:p w14:paraId="7CE46B48" w14:textId="77777777" w:rsidR="00F64BB2" w:rsidRDefault="00F64BB2" w:rsidP="00074F6A">
            <w:r>
              <w:t>List or upload case attachments</w:t>
            </w:r>
          </w:p>
        </w:tc>
      </w:tr>
      <w:tr w:rsidR="00F64BB2" w14:paraId="3B09B8F7" w14:textId="77777777" w:rsidTr="00074F6A">
        <w:trPr>
          <w:cantSplit/>
          <w:tblCellSpacing w:w="0" w:type="dxa"/>
          <w:jc w:val="center"/>
        </w:trPr>
        <w:tc>
          <w:tcPr>
            <w:tcW w:w="0" w:type="auto"/>
            <w:tcBorders>
              <w:top w:val="single" w:sz="1" w:space="0" w:color="000000"/>
              <w:bottom w:val="single" w:sz="1" w:space="0" w:color="000000"/>
            </w:tcBorders>
          </w:tcPr>
          <w:p w14:paraId="0228FF23"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cases/{id}/</w:t>
            </w:r>
            <w:proofErr w:type="gramEnd"/>
            <w:r>
              <w:rPr>
                <w:rStyle w:val="VerbatimChar"/>
                <w:rFonts w:ascii="menlo" w:eastAsia="menlo" w:hAnsi="menlo" w:cs="menlo"/>
                <w:shd w:val="clear" w:color="auto" w:fill="F8F8FA"/>
              </w:rPr>
              <w:t>audit</w:t>
            </w:r>
          </w:p>
        </w:tc>
        <w:tc>
          <w:tcPr>
            <w:tcW w:w="0" w:type="auto"/>
            <w:tcBorders>
              <w:top w:val="single" w:sz="1" w:space="0" w:color="000000"/>
              <w:left w:val="single" w:sz="1" w:space="0" w:color="000000"/>
              <w:bottom w:val="single" w:sz="1" w:space="0" w:color="000000"/>
            </w:tcBorders>
          </w:tcPr>
          <w:p w14:paraId="79D0A11A"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53C155E9" w14:textId="77777777" w:rsidR="00F64BB2" w:rsidRDefault="00F64BB2" w:rsidP="00074F6A">
            <w:r>
              <w:t>Retrieve immutable audit log for the case</w:t>
            </w:r>
          </w:p>
        </w:tc>
      </w:tr>
      <w:tr w:rsidR="00F64BB2" w14:paraId="7DA6E8BD" w14:textId="77777777" w:rsidTr="00074F6A">
        <w:trPr>
          <w:cantSplit/>
          <w:tblCellSpacing w:w="0" w:type="dxa"/>
          <w:jc w:val="center"/>
        </w:trPr>
        <w:tc>
          <w:tcPr>
            <w:tcW w:w="0" w:type="auto"/>
            <w:tcBorders>
              <w:top w:val="single" w:sz="1" w:space="0" w:color="000000"/>
              <w:bottom w:val="single" w:sz="1" w:space="0" w:color="000000"/>
            </w:tcBorders>
          </w:tcPr>
          <w:p w14:paraId="7F09B617"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cases/{id}/</w:t>
            </w:r>
            <w:proofErr w:type="spellStart"/>
            <w:proofErr w:type="gramEnd"/>
            <w:r>
              <w:rPr>
                <w:rStyle w:val="VerbatimChar"/>
                <w:rFonts w:ascii="menlo" w:eastAsia="menlo" w:hAnsi="menlo" w:cs="menlo"/>
                <w:shd w:val="clear" w:color="auto" w:fill="F8F8FA"/>
              </w:rPr>
              <w:t>sar</w:t>
            </w:r>
            <w:proofErr w:type="spellEnd"/>
          </w:p>
        </w:tc>
        <w:tc>
          <w:tcPr>
            <w:tcW w:w="0" w:type="auto"/>
            <w:tcBorders>
              <w:top w:val="single" w:sz="1" w:space="0" w:color="000000"/>
              <w:left w:val="single" w:sz="1" w:space="0" w:color="000000"/>
              <w:bottom w:val="single" w:sz="1" w:space="0" w:color="000000"/>
            </w:tcBorders>
          </w:tcPr>
          <w:p w14:paraId="329B92CF" w14:textId="77777777" w:rsidR="00F64BB2" w:rsidRDefault="00F64BB2" w:rsidP="00074F6A">
            <w:r>
              <w:t>POST</w:t>
            </w:r>
          </w:p>
        </w:tc>
        <w:tc>
          <w:tcPr>
            <w:tcW w:w="0" w:type="auto"/>
            <w:tcBorders>
              <w:top w:val="single" w:sz="1" w:space="0" w:color="000000"/>
              <w:left w:val="single" w:sz="1" w:space="0" w:color="000000"/>
              <w:bottom w:val="single" w:sz="1" w:space="0" w:color="000000"/>
            </w:tcBorders>
          </w:tcPr>
          <w:p w14:paraId="155BCBD2" w14:textId="77777777" w:rsidR="00F64BB2" w:rsidRDefault="00F64BB2" w:rsidP="00074F6A">
            <w:r>
              <w:t>Generate or submit SAR/STR document</w:t>
            </w:r>
          </w:p>
        </w:tc>
      </w:tr>
      <w:tr w:rsidR="00F64BB2" w14:paraId="33DE87A4" w14:textId="77777777" w:rsidTr="00074F6A">
        <w:trPr>
          <w:cantSplit/>
          <w:tblCellSpacing w:w="0" w:type="dxa"/>
          <w:jc w:val="center"/>
        </w:trPr>
        <w:tc>
          <w:tcPr>
            <w:tcW w:w="0" w:type="auto"/>
            <w:tcBorders>
              <w:top w:val="single" w:sz="1" w:space="0" w:color="000000"/>
              <w:bottom w:val="single" w:sz="1" w:space="0" w:color="000000"/>
            </w:tcBorders>
          </w:tcPr>
          <w:p w14:paraId="073B965F"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cases/{id}/</w:t>
            </w:r>
            <w:proofErr w:type="gramEnd"/>
            <w:r>
              <w:rPr>
                <w:rStyle w:val="VerbatimChar"/>
                <w:rFonts w:ascii="menlo" w:eastAsia="menlo" w:hAnsi="menlo" w:cs="menlo"/>
                <w:shd w:val="clear" w:color="auto" w:fill="F8F8FA"/>
              </w:rPr>
              <w:t>graph</w:t>
            </w:r>
          </w:p>
        </w:tc>
        <w:tc>
          <w:tcPr>
            <w:tcW w:w="0" w:type="auto"/>
            <w:tcBorders>
              <w:top w:val="single" w:sz="1" w:space="0" w:color="000000"/>
              <w:left w:val="single" w:sz="1" w:space="0" w:color="000000"/>
              <w:bottom w:val="single" w:sz="1" w:space="0" w:color="000000"/>
            </w:tcBorders>
          </w:tcPr>
          <w:p w14:paraId="140469CB"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085B5BD4" w14:textId="77777777" w:rsidR="00F64BB2" w:rsidRDefault="00F64BB2" w:rsidP="00074F6A">
            <w:r>
              <w:t xml:space="preserve">Return </w:t>
            </w:r>
            <w:proofErr w:type="spellStart"/>
            <w:r>
              <w:t>Cytoscape</w:t>
            </w:r>
            <w:proofErr w:type="spellEnd"/>
            <w:r>
              <w:t>-ready subgraph for case entities</w:t>
            </w:r>
          </w:p>
        </w:tc>
      </w:tr>
      <w:tr w:rsidR="00F64BB2" w14:paraId="0D892D2D" w14:textId="77777777" w:rsidTr="00074F6A">
        <w:trPr>
          <w:cantSplit/>
          <w:tblCellSpacing w:w="0" w:type="dxa"/>
          <w:jc w:val="center"/>
        </w:trPr>
        <w:tc>
          <w:tcPr>
            <w:tcW w:w="0" w:type="auto"/>
            <w:tcBorders>
              <w:top w:val="single" w:sz="1" w:space="0" w:color="000000"/>
              <w:bottom w:val="single" w:sz="1" w:space="0" w:color="000000"/>
            </w:tcBorders>
          </w:tcPr>
          <w:p w14:paraId="7B067E2F"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alerts</w:t>
            </w:r>
            <w:proofErr w:type="gramEnd"/>
          </w:p>
        </w:tc>
        <w:tc>
          <w:tcPr>
            <w:tcW w:w="0" w:type="auto"/>
            <w:tcBorders>
              <w:top w:val="single" w:sz="1" w:space="0" w:color="000000"/>
              <w:left w:val="single" w:sz="1" w:space="0" w:color="000000"/>
              <w:bottom w:val="single" w:sz="1" w:space="0" w:color="000000"/>
            </w:tcBorders>
          </w:tcPr>
          <w:p w14:paraId="4323C896"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4ED2F18A" w14:textId="77777777" w:rsidR="00F64BB2" w:rsidRDefault="00F64BB2" w:rsidP="00074F6A">
            <w:r>
              <w:t>List alerts with filtering and pagination</w:t>
            </w:r>
          </w:p>
        </w:tc>
      </w:tr>
      <w:tr w:rsidR="00F64BB2" w14:paraId="253E592C" w14:textId="77777777" w:rsidTr="00074F6A">
        <w:trPr>
          <w:cantSplit/>
          <w:tblCellSpacing w:w="0" w:type="dxa"/>
          <w:jc w:val="center"/>
        </w:trPr>
        <w:tc>
          <w:tcPr>
            <w:tcW w:w="0" w:type="auto"/>
            <w:tcBorders>
              <w:top w:val="single" w:sz="1" w:space="0" w:color="000000"/>
              <w:bottom w:val="single" w:sz="1" w:space="0" w:color="000000"/>
            </w:tcBorders>
          </w:tcPr>
          <w:p w14:paraId="6296DC5B"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alerts/{id}/</w:t>
            </w:r>
            <w:proofErr w:type="gramEnd"/>
            <w:r>
              <w:rPr>
                <w:rStyle w:val="VerbatimChar"/>
                <w:rFonts w:ascii="menlo" w:eastAsia="menlo" w:hAnsi="menlo" w:cs="menlo"/>
                <w:shd w:val="clear" w:color="auto" w:fill="F8F8FA"/>
              </w:rPr>
              <w:t>case</w:t>
            </w:r>
          </w:p>
        </w:tc>
        <w:tc>
          <w:tcPr>
            <w:tcW w:w="0" w:type="auto"/>
            <w:tcBorders>
              <w:top w:val="single" w:sz="1" w:space="0" w:color="000000"/>
              <w:left w:val="single" w:sz="1" w:space="0" w:color="000000"/>
              <w:bottom w:val="single" w:sz="1" w:space="0" w:color="000000"/>
            </w:tcBorders>
          </w:tcPr>
          <w:p w14:paraId="50907410" w14:textId="77777777" w:rsidR="00F64BB2" w:rsidRDefault="00F64BB2" w:rsidP="00074F6A">
            <w:r>
              <w:t>POST</w:t>
            </w:r>
          </w:p>
        </w:tc>
        <w:tc>
          <w:tcPr>
            <w:tcW w:w="0" w:type="auto"/>
            <w:tcBorders>
              <w:top w:val="single" w:sz="1" w:space="0" w:color="000000"/>
              <w:left w:val="single" w:sz="1" w:space="0" w:color="000000"/>
              <w:bottom w:val="single" w:sz="1" w:space="0" w:color="000000"/>
            </w:tcBorders>
          </w:tcPr>
          <w:p w14:paraId="50C15DF5" w14:textId="77777777" w:rsidR="00F64BB2" w:rsidRDefault="00F64BB2" w:rsidP="00074F6A">
            <w:r>
              <w:t>Convert alert to case</w:t>
            </w:r>
          </w:p>
        </w:tc>
      </w:tr>
    </w:tbl>
    <w:p w14:paraId="63EFA64D" w14:textId="77777777" w:rsidR="00F64BB2" w:rsidRDefault="00F64BB2" w:rsidP="00F64BB2"/>
    <w:p w14:paraId="7BCBD673" w14:textId="77777777" w:rsidR="00F64BB2" w:rsidRDefault="00F64BB2" w:rsidP="00F64BB2">
      <w:r>
        <w:rPr>
          <w:noProof/>
        </w:rPr>
        <w:pict w14:anchorId="2EDA233D">
          <v:rect id="_x0000_i1041" alt="" style="width:434.5pt;height:.05pt;mso-width-percent:0;mso-height-percent:0;mso-width-percent:0;mso-height-percent:0" o:hralign="center" o:hrstd="t" o:hr="t"/>
        </w:pict>
      </w:r>
    </w:p>
    <w:p w14:paraId="55EEEAFE" w14:textId="77777777" w:rsidR="00F64BB2" w:rsidRDefault="00F64BB2" w:rsidP="00F64BB2">
      <w:pPr>
        <w:pStyle w:val="Heading2"/>
      </w:pPr>
      <w:bookmarkStart w:id="63" w:name="module_3_interactive_network_visu_60cc08"/>
      <w:r>
        <w:t>Module 3: Interactive Network Visualization (Fund Flow Analysis)</w:t>
      </w:r>
      <w:bookmarkEnd w:id="63"/>
    </w:p>
    <w:p w14:paraId="49B9FDCC" w14:textId="77777777" w:rsidR="00F64BB2" w:rsidRDefault="00F64BB2" w:rsidP="00F64BB2">
      <w:pPr>
        <w:pStyle w:val="Heading3"/>
      </w:pPr>
      <w:bookmarkStart w:id="64" w:name="functional_requirements_3"/>
      <w:r>
        <w:t>Functional Requirements</w:t>
      </w:r>
      <w:bookmarkEnd w:id="64"/>
    </w:p>
    <w:p w14:paraId="7F4A47AF" w14:textId="77777777" w:rsidR="00F64BB2" w:rsidRDefault="00F64BB2" w:rsidP="00F64BB2">
      <w:pPr>
        <w:pStyle w:val="Heading3"/>
      </w:pPr>
      <w:bookmarkStart w:id="65" w:name="fr_g01_entity_and_relationship_model"/>
      <w:r>
        <w:t>FR-G01 — Entity and Relationship Model</w:t>
      </w:r>
      <w:bookmarkEnd w:id="65"/>
    </w:p>
    <w:p w14:paraId="5FACF6D7" w14:textId="77777777" w:rsidR="00F64BB2" w:rsidRDefault="00F64BB2" w:rsidP="00F64BB2">
      <w:pPr>
        <w:spacing w:after="210"/>
      </w:pPr>
      <w:r>
        <w:t>The graph visualization must represent AML-relevant entities and relationships:[17][18][19]</w:t>
      </w:r>
    </w:p>
    <w:p w14:paraId="09867019" w14:textId="77777777" w:rsidR="00F64BB2" w:rsidRDefault="00F64BB2" w:rsidP="00F64BB2">
      <w:pPr>
        <w:spacing w:after="210"/>
      </w:pPr>
      <w:r>
        <w:rPr>
          <w:b/>
        </w:rPr>
        <w:lastRenderedPageBreak/>
        <w:t>Node types</w:t>
      </w:r>
      <w:r>
        <w:t xml:space="preserve">: </w:t>
      </w:r>
      <w:r>
        <w:rPr>
          <w:rStyle w:val="VerbatimChar"/>
          <w:rFonts w:ascii="menlo" w:eastAsia="menlo" w:hAnsi="menlo" w:cs="menlo"/>
          <w:shd w:val="clear" w:color="auto" w:fill="F8F8FA"/>
        </w:rPr>
        <w:t>Account</w:t>
      </w:r>
      <w:r>
        <w:t xml:space="preserve">, </w:t>
      </w:r>
      <w:r>
        <w:rPr>
          <w:rStyle w:val="VerbatimChar"/>
          <w:rFonts w:ascii="menlo" w:eastAsia="menlo" w:hAnsi="menlo" w:cs="menlo"/>
          <w:shd w:val="clear" w:color="auto" w:fill="F8F8FA"/>
        </w:rPr>
        <w:t>Customer</w:t>
      </w:r>
      <w:r>
        <w:t xml:space="preserve">, </w:t>
      </w:r>
      <w:r>
        <w:rPr>
          <w:rStyle w:val="VerbatimChar"/>
          <w:rFonts w:ascii="menlo" w:eastAsia="menlo" w:hAnsi="menlo" w:cs="menlo"/>
          <w:shd w:val="clear" w:color="auto" w:fill="F8F8FA"/>
        </w:rPr>
        <w:t>Merchant</w:t>
      </w:r>
      <w:r>
        <w:t xml:space="preserve">, </w:t>
      </w:r>
      <w:r>
        <w:rPr>
          <w:rStyle w:val="VerbatimChar"/>
          <w:rFonts w:ascii="menlo" w:eastAsia="menlo" w:hAnsi="menlo" w:cs="menlo"/>
          <w:shd w:val="clear" w:color="auto" w:fill="F8F8FA"/>
        </w:rPr>
        <w:t>Device</w:t>
      </w:r>
      <w:r>
        <w:t xml:space="preserve">, </w:t>
      </w:r>
      <w:r>
        <w:rPr>
          <w:rStyle w:val="VerbatimChar"/>
          <w:rFonts w:ascii="menlo" w:eastAsia="menlo" w:hAnsi="menlo" w:cs="menlo"/>
          <w:shd w:val="clear" w:color="auto" w:fill="F8F8FA"/>
        </w:rPr>
        <w:t>Wallet</w:t>
      </w:r>
      <w:r>
        <w:t xml:space="preserve">, </w:t>
      </w:r>
      <w:r>
        <w:rPr>
          <w:rStyle w:val="VerbatimChar"/>
          <w:rFonts w:ascii="menlo" w:eastAsia="menlo" w:hAnsi="menlo" w:cs="menlo"/>
          <w:shd w:val="clear" w:color="auto" w:fill="F8F8FA"/>
        </w:rPr>
        <w:t>Transaction</w:t>
      </w:r>
      <w:r>
        <w:t xml:space="preserve">, </w:t>
      </w:r>
      <w:r>
        <w:rPr>
          <w:rStyle w:val="VerbatimChar"/>
          <w:rFonts w:ascii="menlo" w:eastAsia="menlo" w:hAnsi="menlo" w:cs="menlo"/>
          <w:shd w:val="clear" w:color="auto" w:fill="F8F8FA"/>
        </w:rPr>
        <w:t>Case</w:t>
      </w:r>
    </w:p>
    <w:p w14:paraId="05872855" w14:textId="77777777" w:rsidR="00F64BB2" w:rsidRDefault="00F64BB2" w:rsidP="00F64BB2">
      <w:pPr>
        <w:spacing w:after="210"/>
      </w:pPr>
      <w:r>
        <w:rPr>
          <w:b/>
        </w:rPr>
        <w:t>Edge types</w:t>
      </w:r>
      <w:r>
        <w:t xml:space="preserve">: </w:t>
      </w:r>
      <w:r>
        <w:rPr>
          <w:rStyle w:val="VerbatimChar"/>
          <w:rFonts w:ascii="menlo" w:eastAsia="menlo" w:hAnsi="menlo" w:cs="menlo"/>
          <w:shd w:val="clear" w:color="auto" w:fill="F8F8FA"/>
        </w:rPr>
        <w:t>SENT</w:t>
      </w:r>
      <w:r>
        <w:t xml:space="preserve">, </w:t>
      </w:r>
      <w:r>
        <w:rPr>
          <w:rStyle w:val="VerbatimChar"/>
          <w:rFonts w:ascii="menlo" w:eastAsia="menlo" w:hAnsi="menlo" w:cs="menlo"/>
          <w:shd w:val="clear" w:color="auto" w:fill="F8F8FA"/>
        </w:rPr>
        <w:t>RECEIVED</w:t>
      </w:r>
      <w:r>
        <w:t xml:space="preserve">, </w:t>
      </w:r>
      <w:r>
        <w:rPr>
          <w:rStyle w:val="VerbatimChar"/>
          <w:rFonts w:ascii="menlo" w:eastAsia="menlo" w:hAnsi="menlo" w:cs="menlo"/>
          <w:shd w:val="clear" w:color="auto" w:fill="F8F8FA"/>
        </w:rPr>
        <w:t>OWNS</w:t>
      </w:r>
      <w:r>
        <w:t xml:space="preserve">, </w:t>
      </w:r>
      <w:r>
        <w:rPr>
          <w:rStyle w:val="VerbatimChar"/>
          <w:rFonts w:ascii="menlo" w:eastAsia="menlo" w:hAnsi="menlo" w:cs="menlo"/>
          <w:shd w:val="clear" w:color="auto" w:fill="F8F8FA"/>
        </w:rPr>
        <w:t>CONTROLS</w:t>
      </w:r>
      <w:r>
        <w:t xml:space="preserve">, </w:t>
      </w:r>
      <w:r>
        <w:rPr>
          <w:rStyle w:val="VerbatimChar"/>
          <w:rFonts w:ascii="menlo" w:eastAsia="menlo" w:hAnsi="menlo" w:cs="menlo"/>
          <w:shd w:val="clear" w:color="auto" w:fill="F8F8FA"/>
        </w:rPr>
        <w:t>SHARES_DEVICE</w:t>
      </w:r>
      <w:r>
        <w:t xml:space="preserve">, </w:t>
      </w:r>
      <w:r>
        <w:rPr>
          <w:rStyle w:val="VerbatimChar"/>
          <w:rFonts w:ascii="menlo" w:eastAsia="menlo" w:hAnsi="menlo" w:cs="menlo"/>
          <w:shd w:val="clear" w:color="auto" w:fill="F8F8FA"/>
        </w:rPr>
        <w:t>SHARES_IP</w:t>
      </w:r>
      <w:r>
        <w:t xml:space="preserve">, </w:t>
      </w:r>
      <w:r>
        <w:rPr>
          <w:rStyle w:val="VerbatimChar"/>
          <w:rFonts w:ascii="menlo" w:eastAsia="menlo" w:hAnsi="menlo" w:cs="menlo"/>
          <w:shd w:val="clear" w:color="auto" w:fill="F8F8FA"/>
        </w:rPr>
        <w:t>LINKED_TO_CASE</w:t>
      </w:r>
      <w:r>
        <w:t xml:space="preserve">, </w:t>
      </w:r>
      <w:r>
        <w:rPr>
          <w:rStyle w:val="VerbatimChar"/>
          <w:rFonts w:ascii="menlo" w:eastAsia="menlo" w:hAnsi="menlo" w:cs="menlo"/>
          <w:shd w:val="clear" w:color="auto" w:fill="F8F8FA"/>
        </w:rPr>
        <w:t>INTERMEDIARY_FOR</w:t>
      </w:r>
    </w:p>
    <w:p w14:paraId="2D22EFAA" w14:textId="77777777" w:rsidR="00F64BB2" w:rsidRDefault="00F64BB2" w:rsidP="00F64BB2">
      <w:pPr>
        <w:spacing w:after="210"/>
      </w:pPr>
      <w:r>
        <w:t xml:space="preserve">Each node must </w:t>
      </w:r>
      <w:proofErr w:type="gramStart"/>
      <w:r>
        <w:t>display:</w:t>
      </w:r>
      <w:proofErr w:type="gramEnd"/>
      <w:r>
        <w:t xml:space="preserve"> entity ID, type label, risk score (color-coded), jurisdiction flag, KYC status indicator, and case count badge. Each edge must </w:t>
      </w:r>
      <w:proofErr w:type="gramStart"/>
      <w:r>
        <w:t>display:</w:t>
      </w:r>
      <w:proofErr w:type="gramEnd"/>
      <w:r>
        <w:t xml:space="preserve"> amount (or count for aggregated edges), direction, timestamp range, and suspicious flag.</w:t>
      </w:r>
    </w:p>
    <w:p w14:paraId="30511BBC" w14:textId="77777777" w:rsidR="00F64BB2" w:rsidRDefault="00F64BB2" w:rsidP="00F64BB2">
      <w:pPr>
        <w:pStyle w:val="Heading3"/>
      </w:pPr>
      <w:bookmarkStart w:id="66" w:name="fr_g02_interactive_traversal"/>
      <w:r>
        <w:t>FR-G02 — Interactive Traversal</w:t>
      </w:r>
      <w:bookmarkEnd w:id="66"/>
    </w:p>
    <w:p w14:paraId="32A1C002" w14:textId="77777777" w:rsidR="00F64BB2" w:rsidRDefault="00F64BB2" w:rsidP="00F64BB2">
      <w:pPr>
        <w:spacing w:after="210"/>
      </w:pPr>
      <w:r>
        <w:t>The investigation canvas must support:[20][18][19]</w:t>
      </w:r>
    </w:p>
    <w:p w14:paraId="024FD5DC" w14:textId="77777777" w:rsidR="00F64BB2" w:rsidRDefault="00F64BB2" w:rsidP="00F64BB2">
      <w:pPr>
        <w:numPr>
          <w:ilvl w:val="0"/>
          <w:numId w:val="31"/>
        </w:numPr>
      </w:pPr>
      <w:r>
        <w:t xml:space="preserve">Seed-node selection by entity </w:t>
      </w:r>
      <w:proofErr w:type="gramStart"/>
      <w:r>
        <w:t>search</w:t>
      </w:r>
      <w:proofErr w:type="gramEnd"/>
      <w:r>
        <w:t xml:space="preserve"> or from a case workspace</w:t>
      </w:r>
    </w:p>
    <w:p w14:paraId="4BCC1730" w14:textId="77777777" w:rsidR="00F64BB2" w:rsidRDefault="00F64BB2" w:rsidP="00F64BB2">
      <w:pPr>
        <w:numPr>
          <w:ilvl w:val="0"/>
          <w:numId w:val="31"/>
        </w:numPr>
      </w:pPr>
      <w:r>
        <w:rPr>
          <w:rFonts w:eastAsia="Georgia" w:hAnsi="Georgia" w:cs="Georgia"/>
        </w:rPr>
        <w:t>Configurable hop expansion (1–4 hops, defaulting to 2) with expansion triggered by double-click or context menu</w:t>
      </w:r>
    </w:p>
    <w:p w14:paraId="6FA2641A" w14:textId="77777777" w:rsidR="00F64BB2" w:rsidRDefault="00F64BB2" w:rsidP="00F64BB2">
      <w:pPr>
        <w:numPr>
          <w:ilvl w:val="0"/>
          <w:numId w:val="31"/>
        </w:numPr>
      </w:pPr>
      <w:r>
        <w:t>Shortest path trace between any two nodes</w:t>
      </w:r>
    </w:p>
    <w:p w14:paraId="43E73E38" w14:textId="77777777" w:rsidR="00F64BB2" w:rsidRDefault="00F64BB2" w:rsidP="00F64BB2">
      <w:pPr>
        <w:numPr>
          <w:ilvl w:val="0"/>
          <w:numId w:val="31"/>
        </w:numPr>
      </w:pPr>
      <w:r>
        <w:t>Circular flow detection highlighting (fund paths that return to the origin node)</w:t>
      </w:r>
    </w:p>
    <w:p w14:paraId="194ABF17" w14:textId="77777777" w:rsidR="00F64BB2" w:rsidRDefault="00F64BB2" w:rsidP="00F64BB2">
      <w:pPr>
        <w:numPr>
          <w:ilvl w:val="0"/>
          <w:numId w:val="31"/>
        </w:numPr>
      </w:pPr>
      <w:r>
        <w:t>Fan-in / fan-out view (entities sending to or receiving from many counterparties)</w:t>
      </w:r>
    </w:p>
    <w:p w14:paraId="6391998A" w14:textId="77777777" w:rsidR="00F64BB2" w:rsidRDefault="00F64BB2" w:rsidP="00F64BB2">
      <w:pPr>
        <w:numPr>
          <w:ilvl w:val="0"/>
          <w:numId w:val="31"/>
        </w:numPr>
      </w:pPr>
      <w:r>
        <w:t>Collapse benign branches into a summary node</w:t>
      </w:r>
    </w:p>
    <w:p w14:paraId="63BC2836" w14:textId="77777777" w:rsidR="00F64BB2" w:rsidRDefault="00F64BB2" w:rsidP="00F64BB2">
      <w:pPr>
        <w:numPr>
          <w:ilvl w:val="0"/>
          <w:numId w:val="31"/>
        </w:numPr>
      </w:pPr>
      <w:r>
        <w:t>Filter by time window, amount threshold, currency, jurisdiction, edge type, and risk score</w:t>
      </w:r>
    </w:p>
    <w:p w14:paraId="445F7ABB" w14:textId="77777777" w:rsidR="00F64BB2" w:rsidRDefault="00F64BB2" w:rsidP="00F64BB2">
      <w:pPr>
        <w:pStyle w:val="Heading3"/>
      </w:pPr>
      <w:bookmarkStart w:id="67" w:name="fr_g03_aml_pattern_highlighting"/>
      <w:r>
        <w:t>FR-G03 — AML Pattern Highlighting</w:t>
      </w:r>
      <w:bookmarkEnd w:id="67"/>
    </w:p>
    <w:p w14:paraId="1DF42CFB" w14:textId="77777777" w:rsidR="00F64BB2" w:rsidRDefault="00F64BB2" w:rsidP="00F64BB2">
      <w:pPr>
        <w:spacing w:after="210"/>
      </w:pPr>
      <w:r>
        <w:t>The system must programmatically highlight known typologies on the graph:[18][21][20]</w:t>
      </w:r>
    </w:p>
    <w:p w14:paraId="3B6E52E1" w14:textId="77777777" w:rsidR="00F64BB2" w:rsidRDefault="00F64BB2" w:rsidP="00F64BB2">
      <w:pPr>
        <w:numPr>
          <w:ilvl w:val="0"/>
          <w:numId w:val="32"/>
        </w:numPr>
      </w:pPr>
      <w:r>
        <w:rPr>
          <w:b/>
        </w:rPr>
        <w:t>Structuring/Smurfing</w:t>
      </w:r>
      <w:r>
        <w:t>: one node sending many sub-threshold transactions to multiple destinations (fan-out)</w:t>
      </w:r>
    </w:p>
    <w:p w14:paraId="126E5656" w14:textId="77777777" w:rsidR="00F64BB2" w:rsidRDefault="00F64BB2" w:rsidP="00F64BB2">
      <w:pPr>
        <w:numPr>
          <w:ilvl w:val="0"/>
          <w:numId w:val="32"/>
        </w:numPr>
      </w:pPr>
      <w:r>
        <w:rPr>
          <w:b/>
        </w:rPr>
        <w:t>Layering</w:t>
      </w:r>
      <w:r>
        <w:t>: long chain of intermediate accounts with rapid successive transfers</w:t>
      </w:r>
    </w:p>
    <w:p w14:paraId="2DF2D77E" w14:textId="77777777" w:rsidR="00F64BB2" w:rsidRDefault="00F64BB2" w:rsidP="00F64BB2">
      <w:pPr>
        <w:numPr>
          <w:ilvl w:val="0"/>
          <w:numId w:val="32"/>
        </w:numPr>
      </w:pPr>
      <w:r>
        <w:rPr>
          <w:b/>
        </w:rPr>
        <w:t>Integration</w:t>
      </w:r>
      <w:r>
        <w:t>: funds converging from many sources into a single endpoint (fan-in)</w:t>
      </w:r>
    </w:p>
    <w:p w14:paraId="5841C3BB" w14:textId="77777777" w:rsidR="00F64BB2" w:rsidRDefault="00F64BB2" w:rsidP="00F64BB2">
      <w:pPr>
        <w:numPr>
          <w:ilvl w:val="0"/>
          <w:numId w:val="32"/>
        </w:numPr>
      </w:pPr>
      <w:proofErr w:type="gramStart"/>
      <w:r>
        <w:rPr>
          <w:b/>
        </w:rPr>
        <w:t>Round-tripping</w:t>
      </w:r>
      <w:proofErr w:type="gramEnd"/>
      <w:r>
        <w:t>: circular paths where funds return to the originating account or beneficial owner</w:t>
      </w:r>
    </w:p>
    <w:p w14:paraId="6DFEB74B" w14:textId="77777777" w:rsidR="00F64BB2" w:rsidRDefault="00F64BB2" w:rsidP="00F64BB2">
      <w:pPr>
        <w:numPr>
          <w:ilvl w:val="0"/>
          <w:numId w:val="32"/>
        </w:numPr>
      </w:pPr>
      <w:r>
        <w:rPr>
          <w:b/>
        </w:rPr>
        <w:t>Hub/bridge account</w:t>
      </w:r>
      <w:r>
        <w:t>: a node with unusually high betweenness centrality connecting otherwise disconnected clusters</w:t>
      </w:r>
    </w:p>
    <w:p w14:paraId="5FCABAB2" w14:textId="77777777" w:rsidR="00F64BB2" w:rsidRDefault="00F64BB2" w:rsidP="00F64BB2">
      <w:pPr>
        <w:spacing w:after="210"/>
      </w:pPr>
      <w:r>
        <w:t xml:space="preserve">Detected patterns must be marked with distinct visual indicators and listed in the investigation </w:t>
      </w:r>
      <w:proofErr w:type="gramStart"/>
      <w:r>
        <w:t>sidebar</w:t>
      </w:r>
      <w:proofErr w:type="gramEnd"/>
      <w:r>
        <w:t>.</w:t>
      </w:r>
    </w:p>
    <w:p w14:paraId="7F6921A4" w14:textId="77777777" w:rsidR="00F64BB2" w:rsidRDefault="00F64BB2" w:rsidP="00F64BB2">
      <w:pPr>
        <w:pStyle w:val="Heading3"/>
      </w:pPr>
      <w:bookmarkStart w:id="68" w:name="fr_g04_graph_layout_and_navigation"/>
      <w:r>
        <w:t>FR-G04 — Graph Layout and Navigation</w:t>
      </w:r>
      <w:bookmarkEnd w:id="68"/>
    </w:p>
    <w:p w14:paraId="7F3C8EC1" w14:textId="77777777" w:rsidR="00F64BB2" w:rsidRDefault="00F64BB2" w:rsidP="00F64BB2">
      <w:pPr>
        <w:spacing w:after="210"/>
      </w:pPr>
      <w:r>
        <w:t>The canvas must support at minimum two layout modes:[22][23]</w:t>
      </w:r>
    </w:p>
    <w:p w14:paraId="513D7DD2" w14:textId="77777777" w:rsidR="00F64BB2" w:rsidRDefault="00F64BB2" w:rsidP="00F64BB2">
      <w:pPr>
        <w:numPr>
          <w:ilvl w:val="0"/>
          <w:numId w:val="33"/>
        </w:numPr>
      </w:pPr>
      <w:r>
        <w:rPr>
          <w:b/>
        </w:rPr>
        <w:t>Force-directed</w:t>
      </w:r>
      <w:r>
        <w:t xml:space="preserve"> (</w:t>
      </w:r>
      <w:proofErr w:type="spellStart"/>
      <w:r>
        <w:t>fCoSE</w:t>
      </w:r>
      <w:proofErr w:type="spellEnd"/>
      <w:r>
        <w:t>) for relationship exploration</w:t>
      </w:r>
    </w:p>
    <w:p w14:paraId="3F10B6EF" w14:textId="77777777" w:rsidR="00F64BB2" w:rsidRDefault="00F64BB2" w:rsidP="00F64BB2">
      <w:pPr>
        <w:numPr>
          <w:ilvl w:val="0"/>
          <w:numId w:val="33"/>
        </w:numPr>
      </w:pPr>
      <w:r>
        <w:rPr>
          <w:b/>
        </w:rPr>
        <w:t>Hierarchical / top-down</w:t>
      </w:r>
      <w:r>
        <w:t xml:space="preserve"> for fund-flow chain tracing</w:t>
      </w:r>
    </w:p>
    <w:p w14:paraId="7F46B9E6" w14:textId="77777777" w:rsidR="00F64BB2" w:rsidRDefault="00F64BB2" w:rsidP="00F64BB2">
      <w:pPr>
        <w:spacing w:after="210"/>
      </w:pPr>
      <w:r>
        <w:t>Navigation must support zoom (mouse scroll and pinch), pan (click-drag), fit-to-view, and full-screen mode. Large graphs must use progressive rendering and batched layout to maintain interactive response times (see Non-Functional Requirements).</w:t>
      </w:r>
    </w:p>
    <w:p w14:paraId="5756ACE8" w14:textId="77777777" w:rsidR="00F64BB2" w:rsidRDefault="00F64BB2" w:rsidP="00F64BB2">
      <w:pPr>
        <w:pStyle w:val="Heading3"/>
      </w:pPr>
      <w:bookmarkStart w:id="69" w:name="fr_g05_node_and_edge_inspection"/>
      <w:r>
        <w:t>FR-G05 — Node and Edge Inspection</w:t>
      </w:r>
      <w:bookmarkEnd w:id="69"/>
    </w:p>
    <w:p w14:paraId="33341FF7" w14:textId="77777777" w:rsidR="00F64BB2" w:rsidRDefault="00F64BB2" w:rsidP="00F64BB2">
      <w:pPr>
        <w:spacing w:after="210"/>
      </w:pPr>
      <w:r>
        <w:t>Clicking a node or edge must open a details panel without leaving the canvas, showing:[20]</w:t>
      </w:r>
    </w:p>
    <w:p w14:paraId="71BB1ED8" w14:textId="77777777" w:rsidR="00F64BB2" w:rsidRDefault="00F64BB2" w:rsidP="00F64BB2">
      <w:pPr>
        <w:numPr>
          <w:ilvl w:val="0"/>
          <w:numId w:val="34"/>
        </w:numPr>
      </w:pPr>
      <w:r>
        <w:lastRenderedPageBreak/>
        <w:t>Full entity attributes and risk history</w:t>
      </w:r>
    </w:p>
    <w:p w14:paraId="329B35B0" w14:textId="77777777" w:rsidR="00F64BB2" w:rsidRDefault="00F64BB2" w:rsidP="00F64BB2">
      <w:pPr>
        <w:numPr>
          <w:ilvl w:val="0"/>
          <w:numId w:val="34"/>
        </w:numPr>
      </w:pPr>
      <w:r>
        <w:t>Linked alerts and cases</w:t>
      </w:r>
    </w:p>
    <w:p w14:paraId="0767661A" w14:textId="77777777" w:rsidR="00F64BB2" w:rsidRDefault="00F64BB2" w:rsidP="00F64BB2">
      <w:pPr>
        <w:numPr>
          <w:ilvl w:val="0"/>
          <w:numId w:val="34"/>
        </w:numPr>
      </w:pPr>
      <w:r>
        <w:t>Transaction list for the selected relationship (sorted by amount and date)</w:t>
      </w:r>
    </w:p>
    <w:p w14:paraId="24C499A9" w14:textId="77777777" w:rsidR="00F64BB2" w:rsidRDefault="00F64BB2" w:rsidP="00F64BB2">
      <w:pPr>
        <w:numPr>
          <w:ilvl w:val="0"/>
          <w:numId w:val="34"/>
        </w:numPr>
      </w:pPr>
      <w:r>
        <w:t>Option to "open in case" (create or link to a case from the node)</w:t>
      </w:r>
    </w:p>
    <w:p w14:paraId="2547B44D" w14:textId="77777777" w:rsidR="00F64BB2" w:rsidRDefault="00F64BB2" w:rsidP="00F64BB2">
      <w:pPr>
        <w:pStyle w:val="Heading3"/>
      </w:pPr>
      <w:bookmarkStart w:id="70" w:name="fr_g06_graph_snapshot_and_evidenc_e34424"/>
      <w:r>
        <w:t>FR-G06 — Graph Snapshot and Evidence Export</w:t>
      </w:r>
      <w:bookmarkEnd w:id="70"/>
    </w:p>
    <w:p w14:paraId="4ADCA186" w14:textId="77777777" w:rsidR="00F64BB2" w:rsidRDefault="00F64BB2" w:rsidP="00F64BB2">
      <w:pPr>
        <w:spacing w:after="210"/>
      </w:pPr>
      <w:r>
        <w:t>Analysts must be able to export the current visible graph as a PNG image or JSON elements file for inclusion in case evidence, SAR submissions, or regulatory reports.[11][20]</w:t>
      </w:r>
    </w:p>
    <w:p w14:paraId="0D2D6A53" w14:textId="77777777" w:rsidR="00F64BB2" w:rsidRDefault="00F64BB2" w:rsidP="00F64BB2">
      <w:pPr>
        <w:pStyle w:val="Heading3"/>
      </w:pPr>
      <w:bookmarkStart w:id="71" w:name="frontend_requirements_module_3"/>
      <w:r>
        <w:t>Frontend Requirements (Module 3)</w:t>
      </w:r>
      <w:bookmarkEnd w:id="7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2"/>
        <w:gridCol w:w="7772"/>
      </w:tblGrid>
      <w:tr w:rsidR="00F64BB2" w14:paraId="39EA39F4" w14:textId="77777777" w:rsidTr="00074F6A">
        <w:trPr>
          <w:cantSplit/>
          <w:tblCellSpacing w:w="0" w:type="dxa"/>
          <w:jc w:val="center"/>
        </w:trPr>
        <w:tc>
          <w:tcPr>
            <w:tcW w:w="0" w:type="auto"/>
            <w:tcBorders>
              <w:top w:val="single" w:sz="1" w:space="0" w:color="000000"/>
              <w:bottom w:val="single" w:sz="1" w:space="0" w:color="000000"/>
            </w:tcBorders>
          </w:tcPr>
          <w:p w14:paraId="2254A10F" w14:textId="77777777" w:rsidR="00F64BB2" w:rsidRDefault="00F64BB2" w:rsidP="00074F6A">
            <w:r>
              <w:t>Requirement</w:t>
            </w:r>
          </w:p>
        </w:tc>
        <w:tc>
          <w:tcPr>
            <w:tcW w:w="0" w:type="auto"/>
            <w:tcBorders>
              <w:top w:val="single" w:sz="1" w:space="0" w:color="000000"/>
              <w:left w:val="single" w:sz="1" w:space="0" w:color="000000"/>
              <w:bottom w:val="single" w:sz="1" w:space="0" w:color="000000"/>
            </w:tcBorders>
          </w:tcPr>
          <w:p w14:paraId="23B38B0D" w14:textId="77777777" w:rsidR="00F64BB2" w:rsidRDefault="00F64BB2" w:rsidP="00074F6A">
            <w:r>
              <w:t>Detail</w:t>
            </w:r>
          </w:p>
        </w:tc>
      </w:tr>
      <w:tr w:rsidR="00F64BB2" w14:paraId="036B95C4" w14:textId="77777777" w:rsidTr="00074F6A">
        <w:trPr>
          <w:cantSplit/>
          <w:tblCellSpacing w:w="0" w:type="dxa"/>
          <w:jc w:val="center"/>
        </w:trPr>
        <w:tc>
          <w:tcPr>
            <w:tcW w:w="0" w:type="auto"/>
            <w:tcBorders>
              <w:top w:val="single" w:sz="1" w:space="0" w:color="000000"/>
              <w:bottom w:val="single" w:sz="1" w:space="0" w:color="000000"/>
            </w:tcBorders>
          </w:tcPr>
          <w:p w14:paraId="69BE2360" w14:textId="77777777" w:rsidR="00F64BB2" w:rsidRDefault="00F64BB2" w:rsidP="00074F6A">
            <w:r>
              <w:t>Technology</w:t>
            </w:r>
          </w:p>
        </w:tc>
        <w:tc>
          <w:tcPr>
            <w:tcW w:w="0" w:type="auto"/>
            <w:tcBorders>
              <w:top w:val="single" w:sz="1" w:space="0" w:color="000000"/>
              <w:left w:val="single" w:sz="1" w:space="0" w:color="000000"/>
              <w:bottom w:val="single" w:sz="1" w:space="0" w:color="000000"/>
            </w:tcBorders>
          </w:tcPr>
          <w:p w14:paraId="3E5FFCA2" w14:textId="77777777" w:rsidR="00F64BB2" w:rsidRDefault="00F64BB2" w:rsidP="00074F6A">
            <w:r>
              <w:t>Cytoscape.js for graph rendering; React wrapper for event integration</w:t>
            </w:r>
          </w:p>
        </w:tc>
      </w:tr>
      <w:tr w:rsidR="00F64BB2" w14:paraId="36DD0503" w14:textId="77777777" w:rsidTr="00074F6A">
        <w:trPr>
          <w:cantSplit/>
          <w:tblCellSpacing w:w="0" w:type="dxa"/>
          <w:jc w:val="center"/>
        </w:trPr>
        <w:tc>
          <w:tcPr>
            <w:tcW w:w="0" w:type="auto"/>
            <w:tcBorders>
              <w:top w:val="single" w:sz="1" w:space="0" w:color="000000"/>
              <w:bottom w:val="single" w:sz="1" w:space="0" w:color="000000"/>
            </w:tcBorders>
          </w:tcPr>
          <w:p w14:paraId="515D3B8C" w14:textId="77777777" w:rsidR="00F64BB2" w:rsidRDefault="00F64BB2" w:rsidP="00074F6A">
            <w:r>
              <w:t>Performance</w:t>
            </w:r>
          </w:p>
        </w:tc>
        <w:tc>
          <w:tcPr>
            <w:tcW w:w="0" w:type="auto"/>
            <w:tcBorders>
              <w:top w:val="single" w:sz="1" w:space="0" w:color="000000"/>
              <w:left w:val="single" w:sz="1" w:space="0" w:color="000000"/>
              <w:bottom w:val="single" w:sz="1" w:space="0" w:color="000000"/>
            </w:tcBorders>
          </w:tcPr>
          <w:p w14:paraId="00C23E4F" w14:textId="77777777" w:rsidR="00F64BB2" w:rsidRDefault="00F64BB2" w:rsidP="00074F6A">
            <w:r>
              <w:t xml:space="preserve">Batch element addition via </w:t>
            </w:r>
            <w:proofErr w:type="spellStart"/>
            <w:proofErr w:type="gramStart"/>
            <w:r>
              <w:rPr>
                <w:rStyle w:val="VerbatimChar"/>
                <w:rFonts w:ascii="menlo" w:eastAsia="menlo" w:hAnsi="menlo" w:cs="menlo"/>
                <w:shd w:val="clear" w:color="auto" w:fill="F8F8FA"/>
              </w:rPr>
              <w:t>cy.batch</w:t>
            </w:r>
            <w:proofErr w:type="spellEnd"/>
            <w:proofErr w:type="gramEnd"/>
            <w:r>
              <w:rPr>
                <w:rStyle w:val="VerbatimChar"/>
                <w:rFonts w:ascii="menlo" w:eastAsia="menlo" w:hAnsi="menlo" w:cs="menlo"/>
                <w:shd w:val="clear" w:color="auto" w:fill="F8F8FA"/>
              </w:rPr>
              <w:t>()</w:t>
            </w:r>
            <w:r>
              <w:t xml:space="preserve">; cap default rendered elements at 1,000 (nodes + edges); use progressive expansion beyond that </w:t>
            </w:r>
            <w:proofErr w:type="gramStart"/>
            <w:r>
              <w:t>limit[</w:t>
            </w:r>
            <w:proofErr w:type="gramEnd"/>
            <w:r>
              <w:t>23][24]</w:t>
            </w:r>
          </w:p>
        </w:tc>
      </w:tr>
      <w:tr w:rsidR="00F64BB2" w14:paraId="2485D27B" w14:textId="77777777" w:rsidTr="00074F6A">
        <w:trPr>
          <w:cantSplit/>
          <w:tblCellSpacing w:w="0" w:type="dxa"/>
          <w:jc w:val="center"/>
        </w:trPr>
        <w:tc>
          <w:tcPr>
            <w:tcW w:w="0" w:type="auto"/>
            <w:tcBorders>
              <w:top w:val="single" w:sz="1" w:space="0" w:color="000000"/>
              <w:bottom w:val="single" w:sz="1" w:space="0" w:color="000000"/>
            </w:tcBorders>
          </w:tcPr>
          <w:p w14:paraId="5816134A" w14:textId="77777777" w:rsidR="00F64BB2" w:rsidRDefault="00F64BB2" w:rsidP="00074F6A">
            <w:r>
              <w:t>Layouts</w:t>
            </w:r>
          </w:p>
        </w:tc>
        <w:tc>
          <w:tcPr>
            <w:tcW w:w="0" w:type="auto"/>
            <w:tcBorders>
              <w:top w:val="single" w:sz="1" w:space="0" w:color="000000"/>
              <w:left w:val="single" w:sz="1" w:space="0" w:color="000000"/>
              <w:bottom w:val="single" w:sz="1" w:space="0" w:color="000000"/>
            </w:tcBorders>
          </w:tcPr>
          <w:p w14:paraId="61EEE2F6" w14:textId="77777777" w:rsidR="00F64BB2" w:rsidRDefault="00F64BB2" w:rsidP="00074F6A">
            <w:proofErr w:type="spellStart"/>
            <w:r>
              <w:t>fCoSE</w:t>
            </w:r>
            <w:proofErr w:type="spellEnd"/>
            <w:r>
              <w:t xml:space="preserve"> for force-directed; </w:t>
            </w:r>
            <w:proofErr w:type="spellStart"/>
            <w:r>
              <w:t>dagre</w:t>
            </w:r>
            <w:proofErr w:type="spellEnd"/>
            <w:r>
              <w:t xml:space="preserve"> for hierarchical; layout computed server-side for large subgraphs to shift CPU cost off the </w:t>
            </w:r>
            <w:proofErr w:type="gramStart"/>
            <w:r>
              <w:t>browser[</w:t>
            </w:r>
            <w:proofErr w:type="gramEnd"/>
            <w:r>
              <w:t>23]</w:t>
            </w:r>
          </w:p>
        </w:tc>
      </w:tr>
      <w:tr w:rsidR="00F64BB2" w14:paraId="3AFC0D15" w14:textId="77777777" w:rsidTr="00074F6A">
        <w:trPr>
          <w:cantSplit/>
          <w:tblCellSpacing w:w="0" w:type="dxa"/>
          <w:jc w:val="center"/>
        </w:trPr>
        <w:tc>
          <w:tcPr>
            <w:tcW w:w="0" w:type="auto"/>
            <w:tcBorders>
              <w:top w:val="single" w:sz="1" w:space="0" w:color="000000"/>
              <w:bottom w:val="single" w:sz="1" w:space="0" w:color="000000"/>
            </w:tcBorders>
          </w:tcPr>
          <w:p w14:paraId="3CE88DBA" w14:textId="77777777" w:rsidR="00F64BB2" w:rsidRDefault="00F64BB2" w:rsidP="00074F6A">
            <w:r>
              <w:t>Edge aggregation</w:t>
            </w:r>
          </w:p>
        </w:tc>
        <w:tc>
          <w:tcPr>
            <w:tcW w:w="0" w:type="auto"/>
            <w:tcBorders>
              <w:top w:val="single" w:sz="1" w:space="0" w:color="000000"/>
              <w:left w:val="single" w:sz="1" w:space="0" w:color="000000"/>
              <w:bottom w:val="single" w:sz="1" w:space="0" w:color="000000"/>
            </w:tcBorders>
          </w:tcPr>
          <w:p w14:paraId="4091F8A1" w14:textId="77777777" w:rsidR="00F64BB2" w:rsidRDefault="00F64BB2" w:rsidP="00074F6A">
            <w:r>
              <w:t>Multiple transactions between the same pair should render as one weighted edge with count and total amount, expandable on demand</w:t>
            </w:r>
          </w:p>
        </w:tc>
      </w:tr>
      <w:tr w:rsidR="00F64BB2" w14:paraId="0FC94920" w14:textId="77777777" w:rsidTr="00074F6A">
        <w:trPr>
          <w:cantSplit/>
          <w:tblCellSpacing w:w="0" w:type="dxa"/>
          <w:jc w:val="center"/>
        </w:trPr>
        <w:tc>
          <w:tcPr>
            <w:tcW w:w="0" w:type="auto"/>
            <w:tcBorders>
              <w:top w:val="single" w:sz="1" w:space="0" w:color="000000"/>
              <w:bottom w:val="single" w:sz="1" w:space="0" w:color="000000"/>
            </w:tcBorders>
          </w:tcPr>
          <w:p w14:paraId="728EBB3D" w14:textId="77777777" w:rsidR="00F64BB2" w:rsidRDefault="00F64BB2" w:rsidP="00074F6A">
            <w:r>
              <w:t>Risk color coding</w:t>
            </w:r>
          </w:p>
        </w:tc>
        <w:tc>
          <w:tcPr>
            <w:tcW w:w="0" w:type="auto"/>
            <w:tcBorders>
              <w:top w:val="single" w:sz="1" w:space="0" w:color="000000"/>
              <w:left w:val="single" w:sz="1" w:space="0" w:color="000000"/>
              <w:bottom w:val="single" w:sz="1" w:space="0" w:color="000000"/>
            </w:tcBorders>
          </w:tcPr>
          <w:p w14:paraId="68B2007A" w14:textId="77777777" w:rsidR="00F64BB2" w:rsidRDefault="00F64BB2" w:rsidP="00074F6A">
            <w:r>
              <w:t>Node color encodes risk score: green (low), amber (medium), red (high), black (sanctioned/PEP)</w:t>
            </w:r>
          </w:p>
        </w:tc>
      </w:tr>
      <w:tr w:rsidR="00F64BB2" w14:paraId="0E98D7D8" w14:textId="77777777" w:rsidTr="00074F6A">
        <w:trPr>
          <w:cantSplit/>
          <w:tblCellSpacing w:w="0" w:type="dxa"/>
          <w:jc w:val="center"/>
        </w:trPr>
        <w:tc>
          <w:tcPr>
            <w:tcW w:w="0" w:type="auto"/>
            <w:tcBorders>
              <w:top w:val="single" w:sz="1" w:space="0" w:color="000000"/>
              <w:bottom w:val="single" w:sz="1" w:space="0" w:color="000000"/>
            </w:tcBorders>
          </w:tcPr>
          <w:p w14:paraId="38070D51" w14:textId="77777777" w:rsidR="00F64BB2" w:rsidRDefault="00F64BB2" w:rsidP="00074F6A">
            <w:r>
              <w:t>Undo/redo</w:t>
            </w:r>
          </w:p>
        </w:tc>
        <w:tc>
          <w:tcPr>
            <w:tcW w:w="0" w:type="auto"/>
            <w:tcBorders>
              <w:top w:val="single" w:sz="1" w:space="0" w:color="000000"/>
              <w:left w:val="single" w:sz="1" w:space="0" w:color="000000"/>
              <w:bottom w:val="single" w:sz="1" w:space="0" w:color="000000"/>
            </w:tcBorders>
          </w:tcPr>
          <w:p w14:paraId="0196BB37" w14:textId="77777777" w:rsidR="00F64BB2" w:rsidRDefault="00F64BB2" w:rsidP="00074F6A">
            <w:r>
              <w:t>Canvas state changes (expand, collapse, filter) support undo/redo via an in-memory state stack</w:t>
            </w:r>
          </w:p>
        </w:tc>
      </w:tr>
    </w:tbl>
    <w:p w14:paraId="189D290D" w14:textId="77777777" w:rsidR="00F64BB2" w:rsidRDefault="00F64BB2" w:rsidP="00F64BB2"/>
    <w:p w14:paraId="603CA3D0" w14:textId="77777777" w:rsidR="00F64BB2" w:rsidRDefault="00F64BB2" w:rsidP="00F64BB2">
      <w:pPr>
        <w:pStyle w:val="Heading3"/>
      </w:pPr>
      <w:bookmarkStart w:id="72" w:name="backend_requirements_module_3"/>
      <w:r>
        <w:t>Backend Requirements (Module 3)</w:t>
      </w:r>
      <w:bookmarkEnd w:id="7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512"/>
        <w:gridCol w:w="1047"/>
        <w:gridCol w:w="4945"/>
      </w:tblGrid>
      <w:tr w:rsidR="00F64BB2" w14:paraId="0E2B0A13" w14:textId="77777777" w:rsidTr="00074F6A">
        <w:trPr>
          <w:cantSplit/>
          <w:tblCellSpacing w:w="0" w:type="dxa"/>
          <w:jc w:val="center"/>
        </w:trPr>
        <w:tc>
          <w:tcPr>
            <w:tcW w:w="0" w:type="auto"/>
            <w:tcBorders>
              <w:top w:val="single" w:sz="1" w:space="0" w:color="000000"/>
              <w:bottom w:val="single" w:sz="1" w:space="0" w:color="000000"/>
            </w:tcBorders>
          </w:tcPr>
          <w:p w14:paraId="11653AB8" w14:textId="77777777" w:rsidR="00F64BB2" w:rsidRDefault="00F64BB2" w:rsidP="00074F6A">
            <w:r>
              <w:t>Endpoint</w:t>
            </w:r>
          </w:p>
        </w:tc>
        <w:tc>
          <w:tcPr>
            <w:tcW w:w="0" w:type="auto"/>
            <w:tcBorders>
              <w:top w:val="single" w:sz="1" w:space="0" w:color="000000"/>
              <w:left w:val="single" w:sz="1" w:space="0" w:color="000000"/>
              <w:bottom w:val="single" w:sz="1" w:space="0" w:color="000000"/>
            </w:tcBorders>
          </w:tcPr>
          <w:p w14:paraId="738A6009" w14:textId="77777777" w:rsidR="00F64BB2" w:rsidRDefault="00F64BB2" w:rsidP="00074F6A">
            <w:r>
              <w:t>Method</w:t>
            </w:r>
          </w:p>
        </w:tc>
        <w:tc>
          <w:tcPr>
            <w:tcW w:w="0" w:type="auto"/>
            <w:tcBorders>
              <w:top w:val="single" w:sz="1" w:space="0" w:color="000000"/>
              <w:left w:val="single" w:sz="1" w:space="0" w:color="000000"/>
              <w:bottom w:val="single" w:sz="1" w:space="0" w:color="000000"/>
            </w:tcBorders>
          </w:tcPr>
          <w:p w14:paraId="1E932625" w14:textId="77777777" w:rsidR="00F64BB2" w:rsidRDefault="00F64BB2" w:rsidP="00074F6A">
            <w:r>
              <w:t>Description</w:t>
            </w:r>
          </w:p>
        </w:tc>
      </w:tr>
      <w:tr w:rsidR="00F64BB2" w14:paraId="22AC6F89" w14:textId="77777777" w:rsidTr="00074F6A">
        <w:trPr>
          <w:cantSplit/>
          <w:tblCellSpacing w:w="0" w:type="dxa"/>
          <w:jc w:val="center"/>
        </w:trPr>
        <w:tc>
          <w:tcPr>
            <w:tcW w:w="0" w:type="auto"/>
            <w:tcBorders>
              <w:top w:val="single" w:sz="1" w:space="0" w:color="000000"/>
              <w:bottom w:val="single" w:sz="1" w:space="0" w:color="000000"/>
            </w:tcBorders>
          </w:tcPr>
          <w:p w14:paraId="242E29F6"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graph</w:t>
            </w:r>
            <w:proofErr w:type="gramEnd"/>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neighborhood/{</w:t>
            </w:r>
            <w:proofErr w:type="spellStart"/>
            <w:proofErr w:type="gramEnd"/>
            <w:r>
              <w:rPr>
                <w:rStyle w:val="VerbatimChar"/>
                <w:rFonts w:ascii="menlo" w:eastAsia="menlo" w:hAnsi="menlo" w:cs="menlo"/>
                <w:shd w:val="clear" w:color="auto" w:fill="F8F8FA"/>
              </w:rPr>
              <w:t>entity_id</w:t>
            </w:r>
            <w:proofErr w:type="spellEnd"/>
            <w:r>
              <w:rPr>
                <w:rStyle w:val="VerbatimChar"/>
                <w:rFonts w:ascii="menlo" w:eastAsia="menlo" w:hAnsi="menlo" w:cs="menlo"/>
                <w:shd w:val="clear" w:color="auto" w:fill="F8F8FA"/>
              </w:rPr>
              <w:t>}</w:t>
            </w:r>
          </w:p>
        </w:tc>
        <w:tc>
          <w:tcPr>
            <w:tcW w:w="0" w:type="auto"/>
            <w:tcBorders>
              <w:top w:val="single" w:sz="1" w:space="0" w:color="000000"/>
              <w:left w:val="single" w:sz="1" w:space="0" w:color="000000"/>
              <w:bottom w:val="single" w:sz="1" w:space="0" w:color="000000"/>
            </w:tcBorders>
          </w:tcPr>
          <w:p w14:paraId="1A0C788B"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6B792C7C" w14:textId="77777777" w:rsidR="00F64BB2" w:rsidRDefault="00F64BB2" w:rsidP="00074F6A">
            <w:r>
              <w:rPr>
                <w:rFonts w:eastAsia="Georgia" w:hAnsi="Georgia" w:cs="Georgia"/>
              </w:rPr>
              <w:t>Returns 1–N hop subgraph centered on entity</w:t>
            </w:r>
            <w:proofErr w:type="gramStart"/>
            <w:r>
              <w:rPr>
                <w:rFonts w:eastAsia="Georgia" w:hAnsi="Georgia" w:cs="Georgia"/>
              </w:rPr>
              <w:t xml:space="preserve">; </w:t>
            </w:r>
            <w:r>
              <w:rPr>
                <w:rStyle w:val="VerbatimChar"/>
                <w:rFonts w:ascii="menlo" w:eastAsia="menlo" w:hAnsi="menlo" w:cs="menlo"/>
                <w:shd w:val="clear" w:color="auto" w:fill="F8F8FA"/>
              </w:rPr>
              <w:t>?depth</w:t>
            </w:r>
            <w:proofErr w:type="gramEnd"/>
            <w:r>
              <w:rPr>
                <w:rStyle w:val="VerbatimChar"/>
                <w:rFonts w:ascii="menlo" w:eastAsia="menlo" w:hAnsi="menlo" w:cs="menlo"/>
                <w:shd w:val="clear" w:color="auto" w:fill="F8F8FA"/>
              </w:rPr>
              <w:t>=2</w:t>
            </w:r>
            <w:r>
              <w:t xml:space="preserve"> (max 3)</w:t>
            </w:r>
          </w:p>
        </w:tc>
      </w:tr>
      <w:tr w:rsidR="00F64BB2" w14:paraId="0239601B" w14:textId="77777777" w:rsidTr="00074F6A">
        <w:trPr>
          <w:cantSplit/>
          <w:tblCellSpacing w:w="0" w:type="dxa"/>
          <w:jc w:val="center"/>
        </w:trPr>
        <w:tc>
          <w:tcPr>
            <w:tcW w:w="0" w:type="auto"/>
            <w:tcBorders>
              <w:top w:val="single" w:sz="1" w:space="0" w:color="000000"/>
              <w:bottom w:val="single" w:sz="1" w:space="0" w:color="000000"/>
            </w:tcBorders>
          </w:tcPr>
          <w:p w14:paraId="4C3F9031" w14:textId="77777777" w:rsidR="00F64BB2" w:rsidRDefault="00F64BB2" w:rsidP="00074F6A">
            <w:r>
              <w:rPr>
                <w:rStyle w:val="VerbatimChar"/>
                <w:rFonts w:ascii="menlo" w:eastAsia="menlo" w:hAnsi="menlo" w:cs="menlo"/>
                <w:shd w:val="clear" w:color="auto" w:fill="F8F8FA"/>
              </w:rPr>
              <w:t>/graph/path</w:t>
            </w:r>
          </w:p>
        </w:tc>
        <w:tc>
          <w:tcPr>
            <w:tcW w:w="0" w:type="auto"/>
            <w:tcBorders>
              <w:top w:val="single" w:sz="1" w:space="0" w:color="000000"/>
              <w:left w:val="single" w:sz="1" w:space="0" w:color="000000"/>
              <w:bottom w:val="single" w:sz="1" w:space="0" w:color="000000"/>
            </w:tcBorders>
          </w:tcPr>
          <w:p w14:paraId="3D8B9532"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2EE7807F" w14:textId="77777777" w:rsidR="00F64BB2" w:rsidRDefault="00F64BB2" w:rsidP="00074F6A">
            <w:r>
              <w:t xml:space="preserve">Shortest path between </w:t>
            </w:r>
            <w:r>
              <w:rPr>
                <w:rStyle w:val="VerbatimChar"/>
                <w:rFonts w:ascii="menlo" w:eastAsia="menlo" w:hAnsi="menlo" w:cs="menlo"/>
                <w:shd w:val="clear" w:color="auto" w:fill="F8F8FA"/>
              </w:rPr>
              <w:t>from</w:t>
            </w:r>
            <w:r>
              <w:t xml:space="preserve"> and </w:t>
            </w:r>
            <w:r>
              <w:rPr>
                <w:rStyle w:val="VerbatimChar"/>
                <w:rFonts w:ascii="menlo" w:eastAsia="menlo" w:hAnsi="menlo" w:cs="menlo"/>
                <w:shd w:val="clear" w:color="auto" w:fill="F8F8FA"/>
              </w:rPr>
              <w:t>to</w:t>
            </w:r>
            <w:r>
              <w:t xml:space="preserve"> entity IDs within </w:t>
            </w:r>
            <w:proofErr w:type="spellStart"/>
            <w:r>
              <w:rPr>
                <w:rStyle w:val="VerbatimChar"/>
                <w:rFonts w:ascii="menlo" w:eastAsia="menlo" w:hAnsi="menlo" w:cs="menlo"/>
                <w:shd w:val="clear" w:color="auto" w:fill="F8F8FA"/>
              </w:rPr>
              <w:t>maxHops</w:t>
            </w:r>
            <w:proofErr w:type="spellEnd"/>
          </w:p>
        </w:tc>
      </w:tr>
      <w:tr w:rsidR="00F64BB2" w14:paraId="119931BF" w14:textId="77777777" w:rsidTr="00074F6A">
        <w:trPr>
          <w:cantSplit/>
          <w:tblCellSpacing w:w="0" w:type="dxa"/>
          <w:jc w:val="center"/>
        </w:trPr>
        <w:tc>
          <w:tcPr>
            <w:tcW w:w="0" w:type="auto"/>
            <w:tcBorders>
              <w:top w:val="single" w:sz="1" w:space="0" w:color="000000"/>
              <w:bottom w:val="single" w:sz="1" w:space="0" w:color="000000"/>
            </w:tcBorders>
          </w:tcPr>
          <w:p w14:paraId="6E28A8B9"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graph</w:t>
            </w:r>
            <w:proofErr w:type="gramEnd"/>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case/{</w:t>
            </w:r>
            <w:proofErr w:type="spellStart"/>
            <w:proofErr w:type="gramEnd"/>
            <w:r>
              <w:rPr>
                <w:rStyle w:val="VerbatimChar"/>
                <w:rFonts w:ascii="menlo" w:eastAsia="menlo" w:hAnsi="menlo" w:cs="menlo"/>
                <w:shd w:val="clear" w:color="auto" w:fill="F8F8FA"/>
              </w:rPr>
              <w:t>case_id</w:t>
            </w:r>
            <w:proofErr w:type="spellEnd"/>
            <w:r>
              <w:rPr>
                <w:rStyle w:val="VerbatimChar"/>
                <w:rFonts w:ascii="menlo" w:eastAsia="menlo" w:hAnsi="menlo" w:cs="menlo"/>
                <w:shd w:val="clear" w:color="auto" w:fill="F8F8FA"/>
              </w:rPr>
              <w:t>}</w:t>
            </w:r>
          </w:p>
        </w:tc>
        <w:tc>
          <w:tcPr>
            <w:tcW w:w="0" w:type="auto"/>
            <w:tcBorders>
              <w:top w:val="single" w:sz="1" w:space="0" w:color="000000"/>
              <w:left w:val="single" w:sz="1" w:space="0" w:color="000000"/>
              <w:bottom w:val="single" w:sz="1" w:space="0" w:color="000000"/>
            </w:tcBorders>
          </w:tcPr>
          <w:p w14:paraId="28DDB4E7"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5C71B77E" w14:textId="77777777" w:rsidR="00F64BB2" w:rsidRDefault="00F64BB2" w:rsidP="00074F6A">
            <w:r>
              <w:t>Full subgraph for all entities linked to a case</w:t>
            </w:r>
          </w:p>
        </w:tc>
      </w:tr>
      <w:tr w:rsidR="00F64BB2" w14:paraId="4EAC60E3" w14:textId="77777777" w:rsidTr="00074F6A">
        <w:trPr>
          <w:cantSplit/>
          <w:tblCellSpacing w:w="0" w:type="dxa"/>
          <w:jc w:val="center"/>
        </w:trPr>
        <w:tc>
          <w:tcPr>
            <w:tcW w:w="0" w:type="auto"/>
            <w:tcBorders>
              <w:top w:val="single" w:sz="1" w:space="0" w:color="000000"/>
              <w:bottom w:val="single" w:sz="1" w:space="0" w:color="000000"/>
            </w:tcBorders>
          </w:tcPr>
          <w:p w14:paraId="3D161F1D" w14:textId="77777777" w:rsidR="00F64BB2" w:rsidRDefault="00F64BB2" w:rsidP="00074F6A">
            <w:r>
              <w:rPr>
                <w:rStyle w:val="VerbatimChar"/>
                <w:rFonts w:ascii="menlo" w:eastAsia="menlo" w:hAnsi="menlo" w:cs="menlo"/>
                <w:shd w:val="clear" w:color="auto" w:fill="F8F8FA"/>
              </w:rPr>
              <w:t>/graph/expand</w:t>
            </w:r>
          </w:p>
        </w:tc>
        <w:tc>
          <w:tcPr>
            <w:tcW w:w="0" w:type="auto"/>
            <w:tcBorders>
              <w:top w:val="single" w:sz="1" w:space="0" w:color="000000"/>
              <w:left w:val="single" w:sz="1" w:space="0" w:color="000000"/>
              <w:bottom w:val="single" w:sz="1" w:space="0" w:color="000000"/>
            </w:tcBorders>
          </w:tcPr>
          <w:p w14:paraId="14B47441" w14:textId="77777777" w:rsidR="00F64BB2" w:rsidRDefault="00F64BB2" w:rsidP="00074F6A">
            <w:r>
              <w:t>POST</w:t>
            </w:r>
          </w:p>
        </w:tc>
        <w:tc>
          <w:tcPr>
            <w:tcW w:w="0" w:type="auto"/>
            <w:tcBorders>
              <w:top w:val="single" w:sz="1" w:space="0" w:color="000000"/>
              <w:left w:val="single" w:sz="1" w:space="0" w:color="000000"/>
              <w:bottom w:val="single" w:sz="1" w:space="0" w:color="000000"/>
            </w:tcBorders>
          </w:tcPr>
          <w:p w14:paraId="69DC977C" w14:textId="77777777" w:rsidR="00F64BB2" w:rsidRDefault="00F64BB2" w:rsidP="00074F6A">
            <w:r>
              <w:t>Expand from a set of seed nodes with time/amount/type filters</w:t>
            </w:r>
          </w:p>
        </w:tc>
      </w:tr>
      <w:tr w:rsidR="00F64BB2" w14:paraId="15793C4F" w14:textId="77777777" w:rsidTr="00074F6A">
        <w:trPr>
          <w:cantSplit/>
          <w:tblCellSpacing w:w="0" w:type="dxa"/>
          <w:jc w:val="center"/>
        </w:trPr>
        <w:tc>
          <w:tcPr>
            <w:tcW w:w="0" w:type="auto"/>
            <w:tcBorders>
              <w:top w:val="single" w:sz="1" w:space="0" w:color="000000"/>
              <w:bottom w:val="single" w:sz="1" w:space="0" w:color="000000"/>
            </w:tcBorders>
          </w:tcPr>
          <w:p w14:paraId="460DD36F" w14:textId="77777777" w:rsidR="00F64BB2" w:rsidRDefault="00F64BB2" w:rsidP="00074F6A">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graph</w:t>
            </w:r>
            <w:proofErr w:type="gramEnd"/>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patterns/{</w:t>
            </w:r>
            <w:proofErr w:type="spellStart"/>
            <w:proofErr w:type="gramEnd"/>
            <w:r>
              <w:rPr>
                <w:rStyle w:val="VerbatimChar"/>
                <w:rFonts w:ascii="menlo" w:eastAsia="menlo" w:hAnsi="menlo" w:cs="menlo"/>
                <w:shd w:val="clear" w:color="auto" w:fill="F8F8FA"/>
              </w:rPr>
              <w:t>entity_id</w:t>
            </w:r>
            <w:proofErr w:type="spellEnd"/>
            <w:r>
              <w:rPr>
                <w:rStyle w:val="VerbatimChar"/>
                <w:rFonts w:ascii="menlo" w:eastAsia="menlo" w:hAnsi="menlo" w:cs="menlo"/>
                <w:shd w:val="clear" w:color="auto" w:fill="F8F8FA"/>
              </w:rPr>
              <w:t>}</w:t>
            </w:r>
          </w:p>
        </w:tc>
        <w:tc>
          <w:tcPr>
            <w:tcW w:w="0" w:type="auto"/>
            <w:tcBorders>
              <w:top w:val="single" w:sz="1" w:space="0" w:color="000000"/>
              <w:left w:val="single" w:sz="1" w:space="0" w:color="000000"/>
              <w:bottom w:val="single" w:sz="1" w:space="0" w:color="000000"/>
            </w:tcBorders>
          </w:tcPr>
          <w:p w14:paraId="1B75238A"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77E13348" w14:textId="77777777" w:rsidR="00F64BB2" w:rsidRDefault="00F64BB2" w:rsidP="00074F6A">
            <w:r>
              <w:t>Returns detected AML patterns (structuring, layering, circular) for entity neighborhood</w:t>
            </w:r>
          </w:p>
        </w:tc>
      </w:tr>
    </w:tbl>
    <w:p w14:paraId="670B4C95" w14:textId="77777777" w:rsidR="00F64BB2" w:rsidRDefault="00F64BB2" w:rsidP="00F64BB2"/>
    <w:p w14:paraId="3785DE93" w14:textId="77777777" w:rsidR="00F64BB2" w:rsidRDefault="00F64BB2" w:rsidP="00F64BB2">
      <w:pPr>
        <w:spacing w:after="210"/>
      </w:pPr>
      <w:r>
        <w:t xml:space="preserve">All graph endpoints return </w:t>
      </w:r>
      <w:proofErr w:type="spellStart"/>
      <w:r>
        <w:t>Cytoscape</w:t>
      </w:r>
      <w:proofErr w:type="spellEnd"/>
      <w:r>
        <w:t xml:space="preserve">-compatible </w:t>
      </w:r>
      <w:r>
        <w:rPr>
          <w:rStyle w:val="VerbatimChar"/>
          <w:rFonts w:ascii="menlo" w:eastAsia="menlo" w:hAnsi="menlo" w:cs="menlo"/>
          <w:shd w:val="clear" w:color="auto" w:fill="F8F8FA"/>
        </w:rPr>
        <w:t>elements</w:t>
      </w:r>
      <w:r>
        <w:t xml:space="preserve"> JSON with </w:t>
      </w:r>
      <w:r>
        <w:rPr>
          <w:rStyle w:val="VerbatimChar"/>
          <w:rFonts w:ascii="menlo" w:eastAsia="menlo" w:hAnsi="menlo" w:cs="menlo"/>
          <w:shd w:val="clear" w:color="auto" w:fill="F8F8FA"/>
        </w:rPr>
        <w:t>nodes</w:t>
      </w:r>
      <w:r>
        <w:t xml:space="preserve"> and </w:t>
      </w:r>
      <w:r>
        <w:rPr>
          <w:rStyle w:val="VerbatimChar"/>
          <w:rFonts w:ascii="menlo" w:eastAsia="menlo" w:hAnsi="menlo" w:cs="menlo"/>
          <w:shd w:val="clear" w:color="auto" w:fill="F8F8FA"/>
        </w:rPr>
        <w:t>edges</w:t>
      </w:r>
      <w:r>
        <w:t xml:space="preserve"> arrays, plus a </w:t>
      </w:r>
      <w:r>
        <w:rPr>
          <w:rStyle w:val="VerbatimChar"/>
          <w:rFonts w:ascii="menlo" w:eastAsia="menlo" w:hAnsi="menlo" w:cs="menlo"/>
          <w:shd w:val="clear" w:color="auto" w:fill="F8F8FA"/>
        </w:rPr>
        <w:t>meta</w:t>
      </w:r>
      <w:r>
        <w:t xml:space="preserve"> object with depth, truncation flag, pattern detections, and aggregate totals.</w:t>
      </w:r>
    </w:p>
    <w:p w14:paraId="25B87D34" w14:textId="77777777" w:rsidR="00F64BB2" w:rsidRDefault="00F64BB2" w:rsidP="00F64BB2">
      <w:pPr>
        <w:spacing w:after="210"/>
      </w:pPr>
      <w:r>
        <w:t>Apache AGE Cypher queries power path, neighborhood, and pattern endpoints. Regular PostgreSQL SQL handles aggregation, scoring, and filter pre-processing before graph traversal.[25][18][26]</w:t>
      </w:r>
    </w:p>
    <w:p w14:paraId="31A7F887" w14:textId="77777777" w:rsidR="00F64BB2" w:rsidRDefault="00F64BB2" w:rsidP="00F64BB2">
      <w:r>
        <w:rPr>
          <w:noProof/>
        </w:rPr>
        <w:pict w14:anchorId="0186AE8F">
          <v:rect id="_x0000_i1042" alt="" style="width:434.5pt;height:.05pt;mso-width-percent:0;mso-height-percent:0;mso-width-percent:0;mso-height-percent:0" o:hralign="center" o:hrstd="t" o:hr="t"/>
        </w:pict>
      </w:r>
    </w:p>
    <w:p w14:paraId="13F61535" w14:textId="77777777" w:rsidR="00F64BB2" w:rsidRDefault="00F64BB2" w:rsidP="00F64BB2">
      <w:pPr>
        <w:pStyle w:val="Heading2"/>
      </w:pPr>
      <w:bookmarkStart w:id="73" w:name="module_4_etl_pipeline_postgresql_aa2eac"/>
      <w:r>
        <w:lastRenderedPageBreak/>
        <w:t>Module 4: ETL Pipeline (PostgreSQL Transaction DB + Apache AGE Graph Layer)</w:t>
      </w:r>
      <w:bookmarkEnd w:id="73"/>
    </w:p>
    <w:p w14:paraId="629854A3" w14:textId="77777777" w:rsidR="00F64BB2" w:rsidRDefault="00F64BB2" w:rsidP="00F64BB2">
      <w:pPr>
        <w:pStyle w:val="Heading3"/>
      </w:pPr>
      <w:bookmarkStart w:id="74" w:name="functional_requirements_4"/>
      <w:r>
        <w:t>Functional Requirements</w:t>
      </w:r>
      <w:bookmarkEnd w:id="74"/>
    </w:p>
    <w:p w14:paraId="08F3EEE0" w14:textId="77777777" w:rsidR="00F64BB2" w:rsidRDefault="00F64BB2" w:rsidP="00F64BB2">
      <w:pPr>
        <w:pStyle w:val="Heading3"/>
      </w:pPr>
      <w:bookmarkStart w:id="75" w:name="fr_e01_data_source_ingestion"/>
      <w:r>
        <w:t>FR-E01 — Data Source Ingestion</w:t>
      </w:r>
      <w:bookmarkEnd w:id="75"/>
    </w:p>
    <w:p w14:paraId="111FABF1" w14:textId="77777777" w:rsidR="00F64BB2" w:rsidRDefault="00F64BB2" w:rsidP="00F64BB2">
      <w:pPr>
        <w:spacing w:after="210"/>
      </w:pPr>
      <w:r>
        <w:t>The ETL pipeline must extract data from the following source types:[27][28][29]</w:t>
      </w:r>
    </w:p>
    <w:p w14:paraId="0714089B" w14:textId="77777777" w:rsidR="00F64BB2" w:rsidRDefault="00F64BB2" w:rsidP="00F64BB2">
      <w:pPr>
        <w:numPr>
          <w:ilvl w:val="0"/>
          <w:numId w:val="35"/>
        </w:numPr>
      </w:pPr>
      <w:r>
        <w:rPr>
          <w:b/>
        </w:rPr>
        <w:t>Real-time streaming</w:t>
      </w:r>
      <w:r>
        <w:t>: Apache Kafka topics (core banking transaction events, payment authorizations, alert triggers)</w:t>
      </w:r>
    </w:p>
    <w:p w14:paraId="269AE3CC" w14:textId="77777777" w:rsidR="00F64BB2" w:rsidRDefault="00F64BB2" w:rsidP="00F64BB2">
      <w:pPr>
        <w:numPr>
          <w:ilvl w:val="0"/>
          <w:numId w:val="35"/>
        </w:numPr>
      </w:pPr>
      <w:r>
        <w:rPr>
          <w:b/>
        </w:rPr>
        <w:t>SWIFT and ISO 20022</w:t>
      </w:r>
      <w:r>
        <w:t>: message parsing for MT/MX payment messages</w:t>
      </w:r>
    </w:p>
    <w:p w14:paraId="1F21D982" w14:textId="77777777" w:rsidR="00F64BB2" w:rsidRDefault="00F64BB2" w:rsidP="00F64BB2">
      <w:pPr>
        <w:numPr>
          <w:ilvl w:val="0"/>
          <w:numId w:val="35"/>
        </w:numPr>
      </w:pPr>
      <w:r>
        <w:rPr>
          <w:b/>
        </w:rPr>
        <w:t>REST API polling</w:t>
      </w:r>
      <w:r>
        <w:t>: KYC provider enrichment, sanctions/PEP list updates, adverse media feeds</w:t>
      </w:r>
    </w:p>
    <w:p w14:paraId="70A2263E" w14:textId="77777777" w:rsidR="00F64BB2" w:rsidRDefault="00F64BB2" w:rsidP="00F64BB2">
      <w:pPr>
        <w:numPr>
          <w:ilvl w:val="0"/>
          <w:numId w:val="35"/>
        </w:numPr>
      </w:pPr>
      <w:r>
        <w:rPr>
          <w:b/>
        </w:rPr>
        <w:t>Batch file</w:t>
      </w:r>
      <w:r>
        <w:t>: CSV, JSON, and XML files from core banking, ledger export, and historical migration</w:t>
      </w:r>
    </w:p>
    <w:p w14:paraId="17A20672" w14:textId="77777777" w:rsidR="00F64BB2" w:rsidRDefault="00F64BB2" w:rsidP="00F64BB2">
      <w:pPr>
        <w:numPr>
          <w:ilvl w:val="0"/>
          <w:numId w:val="35"/>
        </w:numPr>
      </w:pPr>
      <w:r>
        <w:rPr>
          <w:b/>
        </w:rPr>
        <w:t>CDC (Change Data Capture)</w:t>
      </w:r>
      <w:r>
        <w:t xml:space="preserve">: incremental updates from source relational databases via </w:t>
      </w:r>
      <w:proofErr w:type="spellStart"/>
      <w:r>
        <w:t>Debezium</w:t>
      </w:r>
      <w:proofErr w:type="spellEnd"/>
      <w:r>
        <w:t xml:space="preserve"> or equivalent</w:t>
      </w:r>
    </w:p>
    <w:p w14:paraId="3DDE08E0" w14:textId="77777777" w:rsidR="00F64BB2" w:rsidRDefault="00F64BB2" w:rsidP="00F64BB2">
      <w:pPr>
        <w:pStyle w:val="Heading3"/>
      </w:pPr>
      <w:bookmarkStart w:id="76" w:name="fr_e02_transformation_and_enrichment"/>
      <w:r>
        <w:t>FR-E02 — Transformation and Enrichment</w:t>
      </w:r>
      <w:bookmarkEnd w:id="76"/>
    </w:p>
    <w:p w14:paraId="0A073B77" w14:textId="77777777" w:rsidR="00F64BB2" w:rsidRDefault="00F64BB2" w:rsidP="00F64BB2">
      <w:pPr>
        <w:spacing w:after="210"/>
      </w:pPr>
      <w:r>
        <w:t>The transformation stage must</w:t>
      </w:r>
      <w:proofErr w:type="gramStart"/>
      <w:r>
        <w:t>:[</w:t>
      </w:r>
      <w:proofErr w:type="gramEnd"/>
      <w:r>
        <w:t>28][30][27]</w:t>
      </w:r>
    </w:p>
    <w:p w14:paraId="5280FFA6" w14:textId="77777777" w:rsidR="00F64BB2" w:rsidRDefault="00F64BB2" w:rsidP="00F64BB2">
      <w:pPr>
        <w:numPr>
          <w:ilvl w:val="0"/>
          <w:numId w:val="36"/>
        </w:numPr>
      </w:pPr>
      <w:r>
        <w:t>Normalize entity identifiers across sources (account number, IBAN, wallet address, national ID) into stable canonical entity IDs</w:t>
      </w:r>
    </w:p>
    <w:p w14:paraId="39DC5EB8" w14:textId="77777777" w:rsidR="00F64BB2" w:rsidRDefault="00F64BB2" w:rsidP="00F64BB2">
      <w:pPr>
        <w:numPr>
          <w:ilvl w:val="0"/>
          <w:numId w:val="36"/>
        </w:numPr>
      </w:pPr>
      <w:r>
        <w:t>Resolve duplicate and aliased entities using configurable match rules (exact, fuzzy, deterministic)</w:t>
      </w:r>
    </w:p>
    <w:p w14:paraId="562A8365" w14:textId="77777777" w:rsidR="00F64BB2" w:rsidRDefault="00F64BB2" w:rsidP="00F64BB2">
      <w:pPr>
        <w:numPr>
          <w:ilvl w:val="0"/>
          <w:numId w:val="36"/>
        </w:numPr>
      </w:pPr>
      <w:r>
        <w:t>Enrich transactions with KYC/CDD risk scores, PEP status, sanctions flags, and jurisdiction codes</w:t>
      </w:r>
    </w:p>
    <w:p w14:paraId="37FFAFA1" w14:textId="77777777" w:rsidR="00F64BB2" w:rsidRDefault="00F64BB2" w:rsidP="00F64BB2">
      <w:pPr>
        <w:numPr>
          <w:ilvl w:val="0"/>
          <w:numId w:val="36"/>
        </w:numPr>
      </w:pPr>
      <w:proofErr w:type="gramStart"/>
      <w:r>
        <w:t>Parse</w:t>
      </w:r>
      <w:proofErr w:type="gramEnd"/>
      <w:r>
        <w:t xml:space="preserve"> and standardize date/time fields to UTC ISO 8601</w:t>
      </w:r>
    </w:p>
    <w:p w14:paraId="67018994" w14:textId="77777777" w:rsidR="00F64BB2" w:rsidRDefault="00F64BB2" w:rsidP="00F64BB2">
      <w:pPr>
        <w:numPr>
          <w:ilvl w:val="0"/>
          <w:numId w:val="36"/>
        </w:numPr>
      </w:pPr>
      <w:r>
        <w:t xml:space="preserve">Validate required fields against the AML data model schema (Party, </w:t>
      </w:r>
      <w:proofErr w:type="spellStart"/>
      <w:r>
        <w:t>AccountPartyLink</w:t>
      </w:r>
      <w:proofErr w:type="spellEnd"/>
      <w:r>
        <w:t xml:space="preserve">, Transaction, Risk </w:t>
      </w:r>
      <w:proofErr w:type="gramStart"/>
      <w:r>
        <w:t>tables)[</w:t>
      </w:r>
      <w:proofErr w:type="gramEnd"/>
      <w:r>
        <w:t>31][32]</w:t>
      </w:r>
    </w:p>
    <w:p w14:paraId="4107E7A7" w14:textId="77777777" w:rsidR="00F64BB2" w:rsidRDefault="00F64BB2" w:rsidP="00F64BB2">
      <w:pPr>
        <w:numPr>
          <w:ilvl w:val="0"/>
          <w:numId w:val="36"/>
        </w:numPr>
      </w:pPr>
      <w:r>
        <w:t>Apply data quality checks with rejection and quarantine for records failing validation</w:t>
      </w:r>
    </w:p>
    <w:p w14:paraId="674ED94B" w14:textId="77777777" w:rsidR="00F64BB2" w:rsidRDefault="00F64BB2" w:rsidP="00F64BB2">
      <w:pPr>
        <w:numPr>
          <w:ilvl w:val="0"/>
          <w:numId w:val="36"/>
        </w:numPr>
      </w:pPr>
      <w:proofErr w:type="gramStart"/>
      <w:r>
        <w:t>Compute</w:t>
      </w:r>
      <w:proofErr w:type="gramEnd"/>
      <w:r>
        <w:t xml:space="preserve"> derived fields: transaction velocity indicators, peer-group deviation scores, running-balance snapshots</w:t>
      </w:r>
    </w:p>
    <w:p w14:paraId="56F2F41A" w14:textId="77777777" w:rsidR="00F64BB2" w:rsidRDefault="00F64BB2" w:rsidP="00F64BB2">
      <w:pPr>
        <w:pStyle w:val="Heading3"/>
      </w:pPr>
      <w:bookmarkStart w:id="77" w:name="fr_e03_load_to_postgresql_transac_e4b69c"/>
      <w:r>
        <w:t>FR-E03 — Load to PostgreSQL (Transaction Layer)</w:t>
      </w:r>
      <w:bookmarkEnd w:id="77"/>
    </w:p>
    <w:p w14:paraId="418B6BD4" w14:textId="77777777" w:rsidR="00F64BB2" w:rsidRDefault="00F64BB2" w:rsidP="00F64BB2">
      <w:pPr>
        <w:spacing w:after="210"/>
      </w:pPr>
      <w:r>
        <w:t xml:space="preserve">The load stage must </w:t>
      </w:r>
      <w:proofErr w:type="gramStart"/>
      <w:r>
        <w:t>write</w:t>
      </w:r>
      <w:proofErr w:type="gramEnd"/>
      <w:r>
        <w:t xml:space="preserve"> to PostgreSQL with the following guarantees:[1][33][34]</w:t>
      </w:r>
    </w:p>
    <w:p w14:paraId="1CB46A73" w14:textId="77777777" w:rsidR="00F64BB2" w:rsidRDefault="00F64BB2" w:rsidP="00F64BB2">
      <w:pPr>
        <w:numPr>
          <w:ilvl w:val="0"/>
          <w:numId w:val="37"/>
        </w:numPr>
      </w:pPr>
      <w:r>
        <w:t xml:space="preserve">Idempotent </w:t>
      </w:r>
      <w:proofErr w:type="spellStart"/>
      <w:r>
        <w:t>upserts</w:t>
      </w:r>
      <w:proofErr w:type="spellEnd"/>
      <w:r>
        <w:t xml:space="preserve"> (no duplicate records on retry or redelivery)</w:t>
      </w:r>
    </w:p>
    <w:p w14:paraId="50648DBA" w14:textId="77777777" w:rsidR="00F64BB2" w:rsidRDefault="00F64BB2" w:rsidP="00F64BB2">
      <w:pPr>
        <w:numPr>
          <w:ilvl w:val="0"/>
          <w:numId w:val="37"/>
        </w:numPr>
      </w:pPr>
      <w:r>
        <w:t>Transactional writes per micro-batch with rollback on partial failure</w:t>
      </w:r>
    </w:p>
    <w:p w14:paraId="3C9DEB24" w14:textId="77777777" w:rsidR="00F64BB2" w:rsidRDefault="00F64BB2" w:rsidP="00F64BB2">
      <w:pPr>
        <w:numPr>
          <w:ilvl w:val="0"/>
          <w:numId w:val="37"/>
        </w:numPr>
      </w:pPr>
      <w:r>
        <w:t>Table partitioning by date on the Transaction table for query performance</w:t>
      </w:r>
    </w:p>
    <w:p w14:paraId="1152A45D" w14:textId="77777777" w:rsidR="00F64BB2" w:rsidRDefault="00F64BB2" w:rsidP="00F64BB2">
      <w:pPr>
        <w:numPr>
          <w:ilvl w:val="0"/>
          <w:numId w:val="37"/>
        </w:numPr>
      </w:pPr>
      <w:r>
        <w:t xml:space="preserve">Separate schemas for: </w:t>
      </w:r>
      <w:proofErr w:type="spellStart"/>
      <w:r>
        <w:rPr>
          <w:rStyle w:val="VerbatimChar"/>
          <w:rFonts w:ascii="menlo" w:eastAsia="menlo" w:hAnsi="menlo" w:cs="menlo"/>
          <w:shd w:val="clear" w:color="auto" w:fill="F8F8FA"/>
        </w:rPr>
        <w:t>core_banking</w:t>
      </w:r>
      <w:proofErr w:type="spellEnd"/>
      <w:r>
        <w:t xml:space="preserve">, </w:t>
      </w:r>
      <w:proofErr w:type="spellStart"/>
      <w:r>
        <w:rPr>
          <w:rStyle w:val="VerbatimChar"/>
          <w:rFonts w:ascii="menlo" w:eastAsia="menlo" w:hAnsi="menlo" w:cs="menlo"/>
          <w:shd w:val="clear" w:color="auto" w:fill="F8F8FA"/>
        </w:rPr>
        <w:t>aml_staging</w:t>
      </w:r>
      <w:proofErr w:type="spellEnd"/>
      <w:r>
        <w:t xml:space="preserve">, </w:t>
      </w:r>
      <w:proofErr w:type="spellStart"/>
      <w:r>
        <w:rPr>
          <w:rStyle w:val="VerbatimChar"/>
          <w:rFonts w:ascii="menlo" w:eastAsia="menlo" w:hAnsi="menlo" w:cs="menlo"/>
          <w:shd w:val="clear" w:color="auto" w:fill="F8F8FA"/>
        </w:rPr>
        <w:t>aml_clean</w:t>
      </w:r>
      <w:proofErr w:type="spellEnd"/>
      <w:r>
        <w:t xml:space="preserve">, </w:t>
      </w:r>
      <w:r>
        <w:rPr>
          <w:rStyle w:val="VerbatimChar"/>
          <w:rFonts w:ascii="menlo" w:eastAsia="menlo" w:hAnsi="menlo" w:cs="menlo"/>
          <w:shd w:val="clear" w:color="auto" w:fill="F8F8FA"/>
        </w:rPr>
        <w:t>risk</w:t>
      </w:r>
      <w:r>
        <w:t xml:space="preserve">, </w:t>
      </w:r>
      <w:proofErr w:type="spellStart"/>
      <w:r>
        <w:rPr>
          <w:rStyle w:val="VerbatimChar"/>
          <w:rFonts w:ascii="menlo" w:eastAsia="menlo" w:hAnsi="menlo" w:cs="menlo"/>
          <w:shd w:val="clear" w:color="auto" w:fill="F8F8FA"/>
        </w:rPr>
        <w:t>case_management</w:t>
      </w:r>
      <w:proofErr w:type="spellEnd"/>
      <w:r>
        <w:t xml:space="preserve">, </w:t>
      </w:r>
      <w:r>
        <w:rPr>
          <w:rStyle w:val="VerbatimChar"/>
          <w:rFonts w:ascii="menlo" w:eastAsia="menlo" w:hAnsi="menlo" w:cs="menlo"/>
          <w:shd w:val="clear" w:color="auto" w:fill="F8F8FA"/>
        </w:rPr>
        <w:t>audit</w:t>
      </w:r>
    </w:p>
    <w:p w14:paraId="2A7846EC" w14:textId="77777777" w:rsidR="00F64BB2" w:rsidRDefault="00F64BB2" w:rsidP="00F64BB2">
      <w:pPr>
        <w:numPr>
          <w:ilvl w:val="0"/>
          <w:numId w:val="37"/>
        </w:numPr>
      </w:pPr>
      <w:r>
        <w:t>Retention policy hooks for regulatory data holds and GDPR erasure requests</w:t>
      </w:r>
    </w:p>
    <w:p w14:paraId="63459BFB" w14:textId="77777777" w:rsidR="00F64BB2" w:rsidRDefault="00F64BB2" w:rsidP="00F64BB2">
      <w:pPr>
        <w:pStyle w:val="Heading3"/>
      </w:pPr>
      <w:bookmarkStart w:id="78" w:name="fr_e04_load_to_apache_age_graph_e_63dfe1"/>
      <w:r>
        <w:t>FR-E04 — Load to Apache AGE (Graph Exploration Layer)</w:t>
      </w:r>
      <w:bookmarkEnd w:id="78"/>
    </w:p>
    <w:p w14:paraId="007DDAA2" w14:textId="77777777" w:rsidR="00F64BB2" w:rsidRDefault="00F64BB2" w:rsidP="00F64BB2">
      <w:pPr>
        <w:spacing w:after="210"/>
      </w:pPr>
      <w:r>
        <w:t xml:space="preserve">After relational load, a graph projection job must mirror investigation-relevant entities and relationships into the </w:t>
      </w:r>
      <w:proofErr w:type="spellStart"/>
      <w:r>
        <w:rPr>
          <w:rStyle w:val="VerbatimChar"/>
          <w:rFonts w:ascii="menlo" w:eastAsia="menlo" w:hAnsi="menlo" w:cs="menlo"/>
          <w:shd w:val="clear" w:color="auto" w:fill="F8F8FA"/>
        </w:rPr>
        <w:t>aml_graph</w:t>
      </w:r>
      <w:proofErr w:type="spellEnd"/>
      <w:r>
        <w:t xml:space="preserve"> Apache AGE graph:[35][25][36]</w:t>
      </w:r>
    </w:p>
    <w:p w14:paraId="77392249" w14:textId="77777777" w:rsidR="00F64BB2" w:rsidRDefault="00F64BB2" w:rsidP="00F64BB2">
      <w:pPr>
        <w:numPr>
          <w:ilvl w:val="0"/>
          <w:numId w:val="38"/>
        </w:numPr>
      </w:pPr>
      <w:proofErr w:type="spellStart"/>
      <w:r>
        <w:rPr>
          <w:b/>
        </w:rPr>
        <w:t>Upsert</w:t>
      </w:r>
      <w:proofErr w:type="spellEnd"/>
      <w:r>
        <w:rPr>
          <w:b/>
        </w:rPr>
        <w:t xml:space="preserve"> vertices</w:t>
      </w:r>
      <w:r>
        <w:t xml:space="preserve"> for: Account, Customer, Merchant, Device, Wallet, Case</w:t>
      </w:r>
    </w:p>
    <w:p w14:paraId="65E53584" w14:textId="77777777" w:rsidR="00F64BB2" w:rsidRDefault="00F64BB2" w:rsidP="00F64BB2">
      <w:pPr>
        <w:numPr>
          <w:ilvl w:val="0"/>
          <w:numId w:val="38"/>
        </w:numPr>
      </w:pPr>
      <w:proofErr w:type="spellStart"/>
      <w:r>
        <w:rPr>
          <w:b/>
        </w:rPr>
        <w:lastRenderedPageBreak/>
        <w:t>Upsert</w:t>
      </w:r>
      <w:proofErr w:type="spellEnd"/>
      <w:r>
        <w:rPr>
          <w:b/>
        </w:rPr>
        <w:t xml:space="preserve"> edges</w:t>
      </w:r>
      <w:r>
        <w:rPr>
          <w:rFonts w:eastAsia="Georgia" w:hAnsi="Georgia" w:cs="Georgia"/>
        </w:rPr>
        <w:t xml:space="preserve"> for: SENT, RECEIVED, OWNS, CONTROLS, SHARES_DEVICE, LINKED_TO_CASE — with properties including amount, count, </w:t>
      </w:r>
      <w:proofErr w:type="spellStart"/>
      <w:r>
        <w:rPr>
          <w:rFonts w:eastAsia="Georgia" w:hAnsi="Georgia" w:cs="Georgia"/>
        </w:rPr>
        <w:t>first_seen</w:t>
      </w:r>
      <w:proofErr w:type="spellEnd"/>
      <w:r>
        <w:rPr>
          <w:rFonts w:eastAsia="Georgia" w:hAnsi="Georgia" w:cs="Georgia"/>
        </w:rPr>
        <w:t xml:space="preserve">, </w:t>
      </w:r>
      <w:proofErr w:type="spellStart"/>
      <w:r>
        <w:rPr>
          <w:rFonts w:eastAsia="Georgia" w:hAnsi="Georgia" w:cs="Georgia"/>
        </w:rPr>
        <w:t>last_seen</w:t>
      </w:r>
      <w:proofErr w:type="spellEnd"/>
      <w:r>
        <w:rPr>
          <w:rFonts w:eastAsia="Georgia" w:hAnsi="Georgia" w:cs="Georgia"/>
        </w:rPr>
        <w:t xml:space="preserve">, currency, </w:t>
      </w:r>
      <w:proofErr w:type="spellStart"/>
      <w:r>
        <w:rPr>
          <w:rFonts w:eastAsia="Georgia" w:hAnsi="Georgia" w:cs="Georgia"/>
        </w:rPr>
        <w:t>risk_flag</w:t>
      </w:r>
      <w:proofErr w:type="spellEnd"/>
      <w:r>
        <w:rPr>
          <w:rFonts w:eastAsia="Georgia" w:hAnsi="Georgia" w:cs="Georgia"/>
        </w:rPr>
        <w:t xml:space="preserve">, </w:t>
      </w:r>
      <w:proofErr w:type="spellStart"/>
      <w:r>
        <w:rPr>
          <w:rFonts w:eastAsia="Georgia" w:hAnsi="Georgia" w:cs="Georgia"/>
        </w:rPr>
        <w:t>transaction_ids</w:t>
      </w:r>
      <w:proofErr w:type="spellEnd"/>
    </w:p>
    <w:p w14:paraId="2542FD05" w14:textId="77777777" w:rsidR="00F64BB2" w:rsidRDefault="00F64BB2" w:rsidP="00F64BB2">
      <w:pPr>
        <w:numPr>
          <w:ilvl w:val="0"/>
          <w:numId w:val="38"/>
        </w:numPr>
      </w:pPr>
      <w:r>
        <w:t xml:space="preserve">Incremental projection: only changed or new entities and relationships are projected per pipeline run, not full graph </w:t>
      </w:r>
      <w:proofErr w:type="gramStart"/>
      <w:r>
        <w:t>rebuild</w:t>
      </w:r>
      <w:proofErr w:type="gramEnd"/>
    </w:p>
    <w:p w14:paraId="15F16A28" w14:textId="77777777" w:rsidR="00F64BB2" w:rsidRDefault="00F64BB2" w:rsidP="00F64BB2">
      <w:pPr>
        <w:numPr>
          <w:ilvl w:val="0"/>
          <w:numId w:val="38"/>
        </w:numPr>
      </w:pPr>
      <w:r>
        <w:t xml:space="preserve">Graph projection must run within the same PostgreSQL transaction as the relational load where atomicity is required, leveraging AGE's PostgreSQL-native transactional </w:t>
      </w:r>
      <w:proofErr w:type="gramStart"/>
      <w:r>
        <w:t>model[</w:t>
      </w:r>
      <w:proofErr w:type="gramEnd"/>
      <w:r>
        <w:t>26]</w:t>
      </w:r>
    </w:p>
    <w:p w14:paraId="698242FE" w14:textId="77777777" w:rsidR="00F64BB2" w:rsidRDefault="00F64BB2" w:rsidP="00F64BB2">
      <w:pPr>
        <w:pStyle w:val="Heading3"/>
      </w:pPr>
      <w:bookmarkStart w:id="79" w:name="fr_e05_pipeline_orchestration"/>
      <w:r>
        <w:t>FR-E05 — Pipeline Orchestration</w:t>
      </w:r>
      <w:bookmarkEnd w:id="79"/>
    </w:p>
    <w:p w14:paraId="4550E889" w14:textId="77777777" w:rsidR="00F64BB2" w:rsidRDefault="00F64BB2" w:rsidP="00F64BB2">
      <w:pPr>
        <w:spacing w:after="210"/>
      </w:pPr>
      <w:r>
        <w:t>Pipeline orchestration must use Apache Airflow for DAG-based scheduling and dependency management, given its maturity for enterprise batch ETL and extensive community operator ecosystem. DAGs must be defined for:[37][38][39]</w:t>
      </w:r>
    </w:p>
    <w:p w14:paraId="4BF59694" w14:textId="77777777" w:rsidR="00F64BB2" w:rsidRDefault="00F64BB2" w:rsidP="00F64BB2">
      <w:pPr>
        <w:numPr>
          <w:ilvl w:val="0"/>
          <w:numId w:val="39"/>
        </w:numPr>
      </w:pPr>
      <w:r>
        <w:t>Real-time/micro-batch transaction ingestion (trigger: Kafka consumer)</w:t>
      </w:r>
    </w:p>
    <w:p w14:paraId="279E7832" w14:textId="77777777" w:rsidR="00F64BB2" w:rsidRDefault="00F64BB2" w:rsidP="00F64BB2">
      <w:pPr>
        <w:numPr>
          <w:ilvl w:val="0"/>
          <w:numId w:val="39"/>
        </w:numPr>
      </w:pPr>
      <w:r>
        <w:t xml:space="preserve">Batch file processing (trigger: </w:t>
      </w:r>
      <w:proofErr w:type="spellStart"/>
      <w:r>
        <w:t>cron</w:t>
      </w:r>
      <w:proofErr w:type="spellEnd"/>
      <w:r>
        <w:t xml:space="preserve"> schedule or file arrival)</w:t>
      </w:r>
    </w:p>
    <w:p w14:paraId="0575D422" w14:textId="77777777" w:rsidR="00F64BB2" w:rsidRDefault="00F64BB2" w:rsidP="00F64BB2">
      <w:pPr>
        <w:numPr>
          <w:ilvl w:val="0"/>
          <w:numId w:val="39"/>
        </w:numPr>
      </w:pPr>
      <w:r>
        <w:t xml:space="preserve">Sanctions/PEP list refresh (trigger: daily </w:t>
      </w:r>
      <w:proofErr w:type="spellStart"/>
      <w:r>
        <w:t>cron</w:t>
      </w:r>
      <w:proofErr w:type="spellEnd"/>
      <w:r>
        <w:t>)</w:t>
      </w:r>
    </w:p>
    <w:p w14:paraId="1457D826" w14:textId="77777777" w:rsidR="00F64BB2" w:rsidRDefault="00F64BB2" w:rsidP="00F64BB2">
      <w:pPr>
        <w:numPr>
          <w:ilvl w:val="0"/>
          <w:numId w:val="39"/>
        </w:numPr>
      </w:pPr>
      <w:r>
        <w:t>Graph projection job (trigger: completion of relational load DAG)</w:t>
      </w:r>
    </w:p>
    <w:p w14:paraId="090BDB56" w14:textId="77777777" w:rsidR="00F64BB2" w:rsidRDefault="00F64BB2" w:rsidP="00F64BB2">
      <w:pPr>
        <w:numPr>
          <w:ilvl w:val="0"/>
          <w:numId w:val="39"/>
        </w:numPr>
      </w:pPr>
      <w:r>
        <w:t>Data quality report generation (trigger: post-load)</w:t>
      </w:r>
    </w:p>
    <w:p w14:paraId="26EA2831" w14:textId="77777777" w:rsidR="00F64BB2" w:rsidRDefault="00F64BB2" w:rsidP="00F64BB2">
      <w:pPr>
        <w:numPr>
          <w:ilvl w:val="0"/>
          <w:numId w:val="39"/>
        </w:numPr>
      </w:pPr>
      <w:r>
        <w:t>Historical back-fill and reprocessing (trigger: manual or rule-change event)</w:t>
      </w:r>
    </w:p>
    <w:p w14:paraId="0014B141" w14:textId="77777777" w:rsidR="00F64BB2" w:rsidRDefault="00F64BB2" w:rsidP="00F64BB2">
      <w:pPr>
        <w:pStyle w:val="Heading3"/>
      </w:pPr>
      <w:bookmarkStart w:id="80" w:name="fr_e06_data_quality_and_observability"/>
      <w:r>
        <w:t>FR-E06 — Data Quality and Observability</w:t>
      </w:r>
      <w:bookmarkEnd w:id="80"/>
    </w:p>
    <w:p w14:paraId="34E0A8BC" w14:textId="77777777" w:rsidR="00F64BB2" w:rsidRDefault="00F64BB2" w:rsidP="00F64BB2">
      <w:pPr>
        <w:spacing w:after="210"/>
      </w:pPr>
      <w:r>
        <w:t>The pipeline must:[30][28]</w:t>
      </w:r>
    </w:p>
    <w:p w14:paraId="29B60EE3" w14:textId="77777777" w:rsidR="00F64BB2" w:rsidRDefault="00F64BB2" w:rsidP="00F64BB2">
      <w:pPr>
        <w:numPr>
          <w:ilvl w:val="0"/>
          <w:numId w:val="40"/>
        </w:numPr>
      </w:pPr>
      <w:r>
        <w:t xml:space="preserve">Report data quality metrics per pipeline </w:t>
      </w:r>
      <w:proofErr w:type="gramStart"/>
      <w:r>
        <w:t>run:</w:t>
      </w:r>
      <w:proofErr w:type="gramEnd"/>
      <w:r>
        <w:t xml:space="preserve"> record count, reject count, duplicate count, enrichment hit rate</w:t>
      </w:r>
    </w:p>
    <w:p w14:paraId="4865F2BB" w14:textId="77777777" w:rsidR="00F64BB2" w:rsidRDefault="00F64BB2" w:rsidP="00F64BB2">
      <w:pPr>
        <w:numPr>
          <w:ilvl w:val="0"/>
          <w:numId w:val="40"/>
        </w:numPr>
      </w:pPr>
      <w:r>
        <w:rPr>
          <w:rFonts w:eastAsia="Georgia" w:hAnsi="Georgia" w:cs="Georgia"/>
        </w:rPr>
        <w:t xml:space="preserve">Target ≥99% data quality accuracy per run, consistent with scalable ETL pipeline benchmarks in the </w:t>
      </w:r>
      <w:proofErr w:type="gramStart"/>
      <w:r>
        <w:rPr>
          <w:rFonts w:eastAsia="Georgia" w:hAnsi="Georgia" w:cs="Georgia"/>
        </w:rPr>
        <w:t>literature[</w:t>
      </w:r>
      <w:proofErr w:type="gramEnd"/>
      <w:r>
        <w:rPr>
          <w:rFonts w:eastAsia="Georgia" w:hAnsi="Georgia" w:cs="Georgia"/>
        </w:rPr>
        <w:t>28]</w:t>
      </w:r>
    </w:p>
    <w:p w14:paraId="0A1DC8BA" w14:textId="77777777" w:rsidR="00F64BB2" w:rsidRDefault="00F64BB2" w:rsidP="00F64BB2">
      <w:pPr>
        <w:numPr>
          <w:ilvl w:val="0"/>
          <w:numId w:val="40"/>
        </w:numPr>
      </w:pPr>
      <w:r>
        <w:t xml:space="preserve">Alert the data engineering team when quality falls below the 99% threshold or when a </w:t>
      </w:r>
      <w:proofErr w:type="gramStart"/>
      <w:r>
        <w:t>pipeline stage</w:t>
      </w:r>
      <w:proofErr w:type="gramEnd"/>
      <w:r>
        <w:t xml:space="preserve"> fails</w:t>
      </w:r>
    </w:p>
    <w:p w14:paraId="33AA446A" w14:textId="77777777" w:rsidR="00F64BB2" w:rsidRDefault="00F64BB2" w:rsidP="00F64BB2">
      <w:pPr>
        <w:numPr>
          <w:ilvl w:val="0"/>
          <w:numId w:val="40"/>
        </w:numPr>
      </w:pPr>
      <w:r>
        <w:t>Maintain pipeline lineage records mapping each output record to its source file, topic, and transformation version</w:t>
      </w:r>
    </w:p>
    <w:p w14:paraId="260F5CDE" w14:textId="77777777" w:rsidR="00F64BB2" w:rsidRDefault="00F64BB2" w:rsidP="00F64BB2">
      <w:pPr>
        <w:numPr>
          <w:ilvl w:val="0"/>
          <w:numId w:val="40"/>
        </w:numPr>
      </w:pPr>
      <w:r>
        <w:t xml:space="preserve">Support on-demand reprocessing of specific time windows or message types via a Rerun </w:t>
      </w:r>
      <w:proofErr w:type="gramStart"/>
      <w:r>
        <w:t>Engine[</w:t>
      </w:r>
      <w:proofErr w:type="gramEnd"/>
      <w:r>
        <w:t>27]</w:t>
      </w:r>
    </w:p>
    <w:p w14:paraId="366A79A1" w14:textId="77777777" w:rsidR="00F64BB2" w:rsidRDefault="00F64BB2" w:rsidP="00F64BB2">
      <w:pPr>
        <w:pStyle w:val="Heading3"/>
      </w:pPr>
      <w:bookmarkStart w:id="81" w:name="fr_e07_schema_and_graph_model"/>
      <w:r>
        <w:t>FR-E07 — Schema and Graph Model</w:t>
      </w:r>
      <w:bookmarkEnd w:id="81"/>
    </w:p>
    <w:p w14:paraId="2DC8EC2F" w14:textId="77777777" w:rsidR="00F64BB2" w:rsidRDefault="00F64BB2" w:rsidP="00F64BB2">
      <w:pPr>
        <w:spacing w:after="210"/>
      </w:pPr>
      <w:r>
        <w:rPr>
          <w:b/>
        </w:rPr>
        <w:t>Core Relational Tables (PostgreSQL)</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91"/>
        <w:gridCol w:w="5161"/>
        <w:gridCol w:w="2252"/>
      </w:tblGrid>
      <w:tr w:rsidR="00F64BB2" w14:paraId="37C728C7" w14:textId="77777777" w:rsidTr="00074F6A">
        <w:trPr>
          <w:cantSplit/>
          <w:tblCellSpacing w:w="0" w:type="dxa"/>
          <w:jc w:val="center"/>
        </w:trPr>
        <w:tc>
          <w:tcPr>
            <w:tcW w:w="0" w:type="auto"/>
            <w:tcBorders>
              <w:top w:val="single" w:sz="1" w:space="0" w:color="000000"/>
              <w:bottom w:val="single" w:sz="1" w:space="0" w:color="000000"/>
            </w:tcBorders>
          </w:tcPr>
          <w:p w14:paraId="1019809F" w14:textId="77777777" w:rsidR="00F64BB2" w:rsidRDefault="00F64BB2" w:rsidP="00074F6A">
            <w:r>
              <w:t>Table</w:t>
            </w:r>
          </w:p>
        </w:tc>
        <w:tc>
          <w:tcPr>
            <w:tcW w:w="0" w:type="auto"/>
            <w:tcBorders>
              <w:top w:val="single" w:sz="1" w:space="0" w:color="000000"/>
              <w:left w:val="single" w:sz="1" w:space="0" w:color="000000"/>
              <w:bottom w:val="single" w:sz="1" w:space="0" w:color="000000"/>
            </w:tcBorders>
          </w:tcPr>
          <w:p w14:paraId="3D681A6B" w14:textId="77777777" w:rsidR="00F64BB2" w:rsidRDefault="00F64BB2" w:rsidP="00074F6A">
            <w:r>
              <w:t>Key Columns</w:t>
            </w:r>
          </w:p>
        </w:tc>
        <w:tc>
          <w:tcPr>
            <w:tcW w:w="0" w:type="auto"/>
            <w:tcBorders>
              <w:top w:val="single" w:sz="1" w:space="0" w:color="000000"/>
              <w:left w:val="single" w:sz="1" w:space="0" w:color="000000"/>
              <w:bottom w:val="single" w:sz="1" w:space="0" w:color="000000"/>
            </w:tcBorders>
          </w:tcPr>
          <w:p w14:paraId="5DCA5FB9" w14:textId="77777777" w:rsidR="00F64BB2" w:rsidRDefault="00F64BB2" w:rsidP="00074F6A">
            <w:r>
              <w:t>Partitioning</w:t>
            </w:r>
          </w:p>
        </w:tc>
      </w:tr>
      <w:tr w:rsidR="00F64BB2" w14:paraId="245154B1" w14:textId="77777777" w:rsidTr="00074F6A">
        <w:trPr>
          <w:cantSplit/>
          <w:tblCellSpacing w:w="0" w:type="dxa"/>
          <w:jc w:val="center"/>
        </w:trPr>
        <w:tc>
          <w:tcPr>
            <w:tcW w:w="0" w:type="auto"/>
            <w:tcBorders>
              <w:top w:val="single" w:sz="1" w:space="0" w:color="000000"/>
              <w:bottom w:val="single" w:sz="1" w:space="0" w:color="000000"/>
            </w:tcBorders>
          </w:tcPr>
          <w:p w14:paraId="6E743BB2" w14:textId="77777777" w:rsidR="00F64BB2" w:rsidRDefault="00F64BB2" w:rsidP="00074F6A">
            <w:r>
              <w:rPr>
                <w:rStyle w:val="VerbatimChar"/>
                <w:rFonts w:ascii="menlo" w:eastAsia="menlo" w:hAnsi="menlo" w:cs="menlo"/>
                <w:shd w:val="clear" w:color="auto" w:fill="F8F8FA"/>
              </w:rPr>
              <w:t>party</w:t>
            </w:r>
          </w:p>
        </w:tc>
        <w:tc>
          <w:tcPr>
            <w:tcW w:w="0" w:type="auto"/>
            <w:tcBorders>
              <w:top w:val="single" w:sz="1" w:space="0" w:color="000000"/>
              <w:left w:val="single" w:sz="1" w:space="0" w:color="000000"/>
              <w:bottom w:val="single" w:sz="1" w:space="0" w:color="000000"/>
            </w:tcBorders>
          </w:tcPr>
          <w:p w14:paraId="7C2320F5" w14:textId="77777777" w:rsidR="00F64BB2" w:rsidRDefault="00F64BB2" w:rsidP="00074F6A">
            <w:proofErr w:type="spellStart"/>
            <w:r>
              <w:rPr>
                <w:rFonts w:eastAsia="Georgia" w:hAnsi="Georgia" w:cs="Georgia"/>
              </w:rPr>
              <w:t>party_id</w:t>
            </w:r>
            <w:proofErr w:type="spellEnd"/>
            <w:r>
              <w:rPr>
                <w:rFonts w:eastAsia="Georgia" w:hAnsi="Georgia" w:cs="Georgia"/>
              </w:rPr>
              <w:t xml:space="preserve">, name, type, </w:t>
            </w:r>
            <w:proofErr w:type="spellStart"/>
            <w:r>
              <w:rPr>
                <w:rFonts w:eastAsia="Georgia" w:hAnsi="Georgia" w:cs="Georgia"/>
              </w:rPr>
              <w:t>risk_tier</w:t>
            </w:r>
            <w:proofErr w:type="spellEnd"/>
            <w:r>
              <w:rPr>
                <w:rFonts w:eastAsia="Georgia" w:hAnsi="Georgia" w:cs="Georgia"/>
              </w:rPr>
              <w:t xml:space="preserve">, </w:t>
            </w:r>
            <w:proofErr w:type="spellStart"/>
            <w:r>
              <w:rPr>
                <w:rFonts w:eastAsia="Georgia" w:hAnsi="Georgia" w:cs="Georgia"/>
              </w:rPr>
              <w:t>kyc_status</w:t>
            </w:r>
            <w:proofErr w:type="spellEnd"/>
            <w:r>
              <w:rPr>
                <w:rFonts w:eastAsia="Georgia" w:hAnsi="Georgia" w:cs="Georgia"/>
              </w:rPr>
              <w:t>, jurisdiction</w:t>
            </w:r>
          </w:p>
        </w:tc>
        <w:tc>
          <w:tcPr>
            <w:tcW w:w="0" w:type="auto"/>
            <w:tcBorders>
              <w:top w:val="single" w:sz="1" w:space="0" w:color="000000"/>
              <w:left w:val="single" w:sz="1" w:space="0" w:color="000000"/>
              <w:bottom w:val="single" w:sz="1" w:space="0" w:color="000000"/>
            </w:tcBorders>
          </w:tcPr>
          <w:p w14:paraId="6AB45C99" w14:textId="77777777" w:rsidR="00F64BB2" w:rsidRDefault="00F64BB2" w:rsidP="00074F6A">
            <w:r>
              <w:t>None</w:t>
            </w:r>
          </w:p>
        </w:tc>
      </w:tr>
      <w:tr w:rsidR="00F64BB2" w14:paraId="34C545B4" w14:textId="77777777" w:rsidTr="00074F6A">
        <w:trPr>
          <w:cantSplit/>
          <w:tblCellSpacing w:w="0" w:type="dxa"/>
          <w:jc w:val="center"/>
        </w:trPr>
        <w:tc>
          <w:tcPr>
            <w:tcW w:w="0" w:type="auto"/>
            <w:tcBorders>
              <w:top w:val="single" w:sz="1" w:space="0" w:color="000000"/>
              <w:bottom w:val="single" w:sz="1" w:space="0" w:color="000000"/>
            </w:tcBorders>
          </w:tcPr>
          <w:p w14:paraId="5F2ACE7C" w14:textId="77777777" w:rsidR="00F64BB2" w:rsidRDefault="00F64BB2" w:rsidP="00074F6A">
            <w:r>
              <w:rPr>
                <w:rStyle w:val="VerbatimChar"/>
                <w:rFonts w:ascii="menlo" w:eastAsia="menlo" w:hAnsi="menlo" w:cs="menlo"/>
                <w:shd w:val="clear" w:color="auto" w:fill="F8F8FA"/>
              </w:rPr>
              <w:t>account</w:t>
            </w:r>
          </w:p>
        </w:tc>
        <w:tc>
          <w:tcPr>
            <w:tcW w:w="0" w:type="auto"/>
            <w:tcBorders>
              <w:top w:val="single" w:sz="1" w:space="0" w:color="000000"/>
              <w:left w:val="single" w:sz="1" w:space="0" w:color="000000"/>
              <w:bottom w:val="single" w:sz="1" w:space="0" w:color="000000"/>
            </w:tcBorders>
          </w:tcPr>
          <w:p w14:paraId="08405021" w14:textId="77777777" w:rsidR="00F64BB2" w:rsidRDefault="00F64BB2" w:rsidP="00074F6A">
            <w:proofErr w:type="spellStart"/>
            <w:r>
              <w:rPr>
                <w:rFonts w:eastAsia="Georgia" w:hAnsi="Georgia" w:cs="Georgia"/>
              </w:rPr>
              <w:t>account_id</w:t>
            </w:r>
            <w:proofErr w:type="spellEnd"/>
            <w:r>
              <w:rPr>
                <w:rFonts w:eastAsia="Georgia" w:hAnsi="Georgia" w:cs="Georgia"/>
              </w:rPr>
              <w:t xml:space="preserve">, </w:t>
            </w:r>
            <w:proofErr w:type="spellStart"/>
            <w:r>
              <w:rPr>
                <w:rFonts w:eastAsia="Georgia" w:hAnsi="Georgia" w:cs="Georgia"/>
              </w:rPr>
              <w:t>party_id</w:t>
            </w:r>
            <w:proofErr w:type="spellEnd"/>
            <w:r>
              <w:rPr>
                <w:rFonts w:eastAsia="Georgia" w:hAnsi="Georgia" w:cs="Georgia"/>
              </w:rPr>
              <w:t xml:space="preserve">, </w:t>
            </w:r>
            <w:proofErr w:type="spellStart"/>
            <w:r>
              <w:rPr>
                <w:rFonts w:eastAsia="Georgia" w:hAnsi="Georgia" w:cs="Georgia"/>
              </w:rPr>
              <w:t>account_type</w:t>
            </w:r>
            <w:proofErr w:type="spellEnd"/>
            <w:r>
              <w:rPr>
                <w:rFonts w:eastAsia="Georgia" w:hAnsi="Georgia" w:cs="Georgia"/>
              </w:rPr>
              <w:t xml:space="preserve">, </w:t>
            </w:r>
            <w:proofErr w:type="spellStart"/>
            <w:r>
              <w:rPr>
                <w:rFonts w:eastAsia="Georgia" w:hAnsi="Georgia" w:cs="Georgia"/>
              </w:rPr>
              <w:t>opened_date</w:t>
            </w:r>
            <w:proofErr w:type="spellEnd"/>
            <w:r>
              <w:rPr>
                <w:rFonts w:eastAsia="Georgia" w:hAnsi="Georgia" w:cs="Georgia"/>
              </w:rPr>
              <w:t>, status</w:t>
            </w:r>
          </w:p>
        </w:tc>
        <w:tc>
          <w:tcPr>
            <w:tcW w:w="0" w:type="auto"/>
            <w:tcBorders>
              <w:top w:val="single" w:sz="1" w:space="0" w:color="000000"/>
              <w:left w:val="single" w:sz="1" w:space="0" w:color="000000"/>
              <w:bottom w:val="single" w:sz="1" w:space="0" w:color="000000"/>
            </w:tcBorders>
          </w:tcPr>
          <w:p w14:paraId="264EB6BD" w14:textId="77777777" w:rsidR="00F64BB2" w:rsidRDefault="00F64BB2" w:rsidP="00074F6A">
            <w:r>
              <w:t>None</w:t>
            </w:r>
          </w:p>
        </w:tc>
      </w:tr>
      <w:tr w:rsidR="00F64BB2" w14:paraId="7E29C994" w14:textId="77777777" w:rsidTr="00074F6A">
        <w:trPr>
          <w:cantSplit/>
          <w:tblCellSpacing w:w="0" w:type="dxa"/>
          <w:jc w:val="center"/>
        </w:trPr>
        <w:tc>
          <w:tcPr>
            <w:tcW w:w="0" w:type="auto"/>
            <w:tcBorders>
              <w:top w:val="single" w:sz="1" w:space="0" w:color="000000"/>
              <w:bottom w:val="single" w:sz="1" w:space="0" w:color="000000"/>
            </w:tcBorders>
          </w:tcPr>
          <w:p w14:paraId="0F0FEA74" w14:textId="77777777" w:rsidR="00F64BB2" w:rsidRDefault="00F64BB2" w:rsidP="00074F6A">
            <w:proofErr w:type="spellStart"/>
            <w:r>
              <w:rPr>
                <w:rStyle w:val="VerbatimChar"/>
                <w:rFonts w:ascii="menlo" w:eastAsia="menlo" w:hAnsi="menlo" w:cs="menlo"/>
                <w:shd w:val="clear" w:color="auto" w:fill="F8F8FA"/>
              </w:rPr>
              <w:t>account_party_link</w:t>
            </w:r>
            <w:proofErr w:type="spellEnd"/>
          </w:p>
        </w:tc>
        <w:tc>
          <w:tcPr>
            <w:tcW w:w="0" w:type="auto"/>
            <w:tcBorders>
              <w:top w:val="single" w:sz="1" w:space="0" w:color="000000"/>
              <w:left w:val="single" w:sz="1" w:space="0" w:color="000000"/>
              <w:bottom w:val="single" w:sz="1" w:space="0" w:color="000000"/>
            </w:tcBorders>
          </w:tcPr>
          <w:p w14:paraId="70A2125E" w14:textId="77777777" w:rsidR="00F64BB2" w:rsidRDefault="00F64BB2" w:rsidP="00074F6A">
            <w:proofErr w:type="spellStart"/>
            <w:r>
              <w:rPr>
                <w:rFonts w:eastAsia="Georgia" w:hAnsi="Georgia" w:cs="Georgia"/>
              </w:rPr>
              <w:t>account_id</w:t>
            </w:r>
            <w:proofErr w:type="spellEnd"/>
            <w:r>
              <w:rPr>
                <w:rFonts w:eastAsia="Georgia" w:hAnsi="Georgia" w:cs="Georgia"/>
              </w:rPr>
              <w:t xml:space="preserve">, </w:t>
            </w:r>
            <w:proofErr w:type="spellStart"/>
            <w:r>
              <w:rPr>
                <w:rFonts w:eastAsia="Georgia" w:hAnsi="Georgia" w:cs="Georgia"/>
              </w:rPr>
              <w:t>party_id</w:t>
            </w:r>
            <w:proofErr w:type="spellEnd"/>
            <w:r>
              <w:rPr>
                <w:rFonts w:eastAsia="Georgia" w:hAnsi="Georgia" w:cs="Georgia"/>
              </w:rPr>
              <w:t xml:space="preserve">, role, </w:t>
            </w:r>
            <w:proofErr w:type="spellStart"/>
            <w:r>
              <w:rPr>
                <w:rFonts w:eastAsia="Georgia" w:hAnsi="Georgia" w:cs="Georgia"/>
              </w:rPr>
              <w:t>start_date</w:t>
            </w:r>
            <w:proofErr w:type="spellEnd"/>
            <w:r>
              <w:rPr>
                <w:rFonts w:eastAsia="Georgia" w:hAnsi="Georgia" w:cs="Georgia"/>
              </w:rPr>
              <w:t xml:space="preserve">, </w:t>
            </w:r>
            <w:proofErr w:type="spellStart"/>
            <w:r>
              <w:rPr>
                <w:rFonts w:eastAsia="Georgia" w:hAnsi="Georgia" w:cs="Georgia"/>
              </w:rPr>
              <w:t>end_date</w:t>
            </w:r>
            <w:proofErr w:type="spellEnd"/>
          </w:p>
        </w:tc>
        <w:tc>
          <w:tcPr>
            <w:tcW w:w="0" w:type="auto"/>
            <w:tcBorders>
              <w:top w:val="single" w:sz="1" w:space="0" w:color="000000"/>
              <w:left w:val="single" w:sz="1" w:space="0" w:color="000000"/>
              <w:bottom w:val="single" w:sz="1" w:space="0" w:color="000000"/>
            </w:tcBorders>
          </w:tcPr>
          <w:p w14:paraId="14A7A320" w14:textId="77777777" w:rsidR="00F64BB2" w:rsidRDefault="00F64BB2" w:rsidP="00074F6A">
            <w:r>
              <w:t>None</w:t>
            </w:r>
          </w:p>
        </w:tc>
      </w:tr>
      <w:tr w:rsidR="00F64BB2" w14:paraId="40CDFFA5" w14:textId="77777777" w:rsidTr="00074F6A">
        <w:trPr>
          <w:cantSplit/>
          <w:tblCellSpacing w:w="0" w:type="dxa"/>
          <w:jc w:val="center"/>
        </w:trPr>
        <w:tc>
          <w:tcPr>
            <w:tcW w:w="0" w:type="auto"/>
            <w:tcBorders>
              <w:top w:val="single" w:sz="1" w:space="0" w:color="000000"/>
              <w:bottom w:val="single" w:sz="1" w:space="0" w:color="000000"/>
            </w:tcBorders>
          </w:tcPr>
          <w:p w14:paraId="2427337F" w14:textId="77777777" w:rsidR="00F64BB2" w:rsidRDefault="00F64BB2" w:rsidP="00074F6A">
            <w:r>
              <w:rPr>
                <w:rStyle w:val="VerbatimChar"/>
                <w:rFonts w:ascii="menlo" w:eastAsia="menlo" w:hAnsi="menlo" w:cs="menlo"/>
                <w:shd w:val="clear" w:color="auto" w:fill="F8F8FA"/>
              </w:rPr>
              <w:t>transaction</w:t>
            </w:r>
          </w:p>
        </w:tc>
        <w:tc>
          <w:tcPr>
            <w:tcW w:w="0" w:type="auto"/>
            <w:tcBorders>
              <w:top w:val="single" w:sz="1" w:space="0" w:color="000000"/>
              <w:left w:val="single" w:sz="1" w:space="0" w:color="000000"/>
              <w:bottom w:val="single" w:sz="1" w:space="0" w:color="000000"/>
            </w:tcBorders>
          </w:tcPr>
          <w:p w14:paraId="0EEF4503" w14:textId="77777777" w:rsidR="00F64BB2" w:rsidRDefault="00F64BB2" w:rsidP="00074F6A">
            <w:proofErr w:type="spellStart"/>
            <w:r>
              <w:rPr>
                <w:rFonts w:eastAsia="Georgia" w:hAnsi="Georgia" w:cs="Georgia"/>
              </w:rPr>
              <w:t>tx_id</w:t>
            </w:r>
            <w:proofErr w:type="spellEnd"/>
            <w:r>
              <w:rPr>
                <w:rFonts w:eastAsia="Georgia" w:hAnsi="Georgia" w:cs="Georgia"/>
              </w:rPr>
              <w:t xml:space="preserve">, </w:t>
            </w:r>
            <w:proofErr w:type="spellStart"/>
            <w:r>
              <w:rPr>
                <w:rFonts w:eastAsia="Georgia" w:hAnsi="Georgia" w:cs="Georgia"/>
              </w:rPr>
              <w:t>debit_account_id</w:t>
            </w:r>
            <w:proofErr w:type="spellEnd"/>
            <w:r>
              <w:rPr>
                <w:rFonts w:eastAsia="Georgia" w:hAnsi="Georgia" w:cs="Georgia"/>
              </w:rPr>
              <w:t xml:space="preserve">, </w:t>
            </w:r>
            <w:proofErr w:type="spellStart"/>
            <w:r>
              <w:rPr>
                <w:rFonts w:eastAsia="Georgia" w:hAnsi="Georgia" w:cs="Georgia"/>
              </w:rPr>
              <w:t>credit_account_id</w:t>
            </w:r>
            <w:proofErr w:type="spellEnd"/>
            <w:r>
              <w:rPr>
                <w:rFonts w:eastAsia="Georgia" w:hAnsi="Georgia" w:cs="Georgia"/>
              </w:rPr>
              <w:t>, amount, currency, timestamp, channel, status</w:t>
            </w:r>
          </w:p>
        </w:tc>
        <w:tc>
          <w:tcPr>
            <w:tcW w:w="0" w:type="auto"/>
            <w:tcBorders>
              <w:top w:val="single" w:sz="1" w:space="0" w:color="000000"/>
              <w:left w:val="single" w:sz="1" w:space="0" w:color="000000"/>
              <w:bottom w:val="single" w:sz="1" w:space="0" w:color="000000"/>
            </w:tcBorders>
          </w:tcPr>
          <w:p w14:paraId="0C374E92" w14:textId="77777777" w:rsidR="00F64BB2" w:rsidRDefault="00F64BB2" w:rsidP="00074F6A">
            <w:r>
              <w:t xml:space="preserve">Range by month on </w:t>
            </w:r>
            <w:r>
              <w:rPr>
                <w:rStyle w:val="VerbatimChar"/>
                <w:rFonts w:ascii="menlo" w:eastAsia="menlo" w:hAnsi="menlo" w:cs="menlo"/>
                <w:shd w:val="clear" w:color="auto" w:fill="F8F8FA"/>
              </w:rPr>
              <w:t>timestamp</w:t>
            </w:r>
          </w:p>
        </w:tc>
      </w:tr>
      <w:tr w:rsidR="00F64BB2" w14:paraId="21791E86" w14:textId="77777777" w:rsidTr="00074F6A">
        <w:trPr>
          <w:cantSplit/>
          <w:tblCellSpacing w:w="0" w:type="dxa"/>
          <w:jc w:val="center"/>
        </w:trPr>
        <w:tc>
          <w:tcPr>
            <w:tcW w:w="0" w:type="auto"/>
            <w:tcBorders>
              <w:top w:val="single" w:sz="1" w:space="0" w:color="000000"/>
              <w:bottom w:val="single" w:sz="1" w:space="0" w:color="000000"/>
            </w:tcBorders>
          </w:tcPr>
          <w:p w14:paraId="39D53728" w14:textId="77777777" w:rsidR="00F64BB2" w:rsidRDefault="00F64BB2" w:rsidP="00074F6A">
            <w:r>
              <w:rPr>
                <w:rStyle w:val="VerbatimChar"/>
                <w:rFonts w:ascii="menlo" w:eastAsia="menlo" w:hAnsi="menlo" w:cs="menlo"/>
                <w:shd w:val="clear" w:color="auto" w:fill="F8F8FA"/>
              </w:rPr>
              <w:lastRenderedPageBreak/>
              <w:t>alert</w:t>
            </w:r>
          </w:p>
        </w:tc>
        <w:tc>
          <w:tcPr>
            <w:tcW w:w="0" w:type="auto"/>
            <w:tcBorders>
              <w:top w:val="single" w:sz="1" w:space="0" w:color="000000"/>
              <w:left w:val="single" w:sz="1" w:space="0" w:color="000000"/>
              <w:bottom w:val="single" w:sz="1" w:space="0" w:color="000000"/>
            </w:tcBorders>
          </w:tcPr>
          <w:p w14:paraId="43B1C7AE" w14:textId="77777777" w:rsidR="00F64BB2" w:rsidRDefault="00F64BB2" w:rsidP="00074F6A">
            <w:proofErr w:type="spellStart"/>
            <w:r>
              <w:rPr>
                <w:rFonts w:eastAsia="Georgia" w:hAnsi="Georgia" w:cs="Georgia"/>
              </w:rPr>
              <w:t>alert_id</w:t>
            </w:r>
            <w:proofErr w:type="spellEnd"/>
            <w:r>
              <w:rPr>
                <w:rFonts w:eastAsia="Georgia" w:hAnsi="Georgia" w:cs="Georgia"/>
              </w:rPr>
              <w:t xml:space="preserve">, </w:t>
            </w:r>
            <w:proofErr w:type="spellStart"/>
            <w:r>
              <w:rPr>
                <w:rFonts w:eastAsia="Georgia" w:hAnsi="Georgia" w:cs="Georgia"/>
              </w:rPr>
              <w:t>tx_id</w:t>
            </w:r>
            <w:proofErr w:type="spellEnd"/>
            <w:r>
              <w:rPr>
                <w:rFonts w:eastAsia="Georgia" w:hAnsi="Georgia" w:cs="Georgia"/>
              </w:rPr>
              <w:t xml:space="preserve">, </w:t>
            </w:r>
            <w:proofErr w:type="spellStart"/>
            <w:r>
              <w:rPr>
                <w:rFonts w:eastAsia="Georgia" w:hAnsi="Georgia" w:cs="Georgia"/>
              </w:rPr>
              <w:t>rule_id</w:t>
            </w:r>
            <w:proofErr w:type="spellEnd"/>
            <w:r>
              <w:rPr>
                <w:rFonts w:eastAsia="Georgia" w:hAnsi="Georgia" w:cs="Georgia"/>
              </w:rPr>
              <w:t xml:space="preserve">, severity, score, status, </w:t>
            </w:r>
            <w:proofErr w:type="spellStart"/>
            <w:r>
              <w:rPr>
                <w:rFonts w:eastAsia="Georgia" w:hAnsi="Georgia" w:cs="Georgia"/>
              </w:rPr>
              <w:t>created_at</w:t>
            </w:r>
            <w:proofErr w:type="spellEnd"/>
          </w:p>
        </w:tc>
        <w:tc>
          <w:tcPr>
            <w:tcW w:w="0" w:type="auto"/>
            <w:tcBorders>
              <w:top w:val="single" w:sz="1" w:space="0" w:color="000000"/>
              <w:left w:val="single" w:sz="1" w:space="0" w:color="000000"/>
              <w:bottom w:val="single" w:sz="1" w:space="0" w:color="000000"/>
            </w:tcBorders>
          </w:tcPr>
          <w:p w14:paraId="1646495C" w14:textId="77777777" w:rsidR="00F64BB2" w:rsidRDefault="00F64BB2" w:rsidP="00074F6A">
            <w:r>
              <w:t>None</w:t>
            </w:r>
          </w:p>
        </w:tc>
      </w:tr>
      <w:tr w:rsidR="00F64BB2" w14:paraId="47A3C46D" w14:textId="77777777" w:rsidTr="00074F6A">
        <w:trPr>
          <w:cantSplit/>
          <w:tblCellSpacing w:w="0" w:type="dxa"/>
          <w:jc w:val="center"/>
        </w:trPr>
        <w:tc>
          <w:tcPr>
            <w:tcW w:w="0" w:type="auto"/>
            <w:tcBorders>
              <w:top w:val="single" w:sz="1" w:space="0" w:color="000000"/>
              <w:bottom w:val="single" w:sz="1" w:space="0" w:color="000000"/>
            </w:tcBorders>
          </w:tcPr>
          <w:p w14:paraId="3E94B4D3" w14:textId="77777777" w:rsidR="00F64BB2" w:rsidRDefault="00F64BB2" w:rsidP="00074F6A">
            <w:proofErr w:type="spellStart"/>
            <w:r>
              <w:rPr>
                <w:rStyle w:val="VerbatimChar"/>
                <w:rFonts w:ascii="menlo" w:eastAsia="menlo" w:hAnsi="menlo" w:cs="menlo"/>
                <w:shd w:val="clear" w:color="auto" w:fill="F8F8FA"/>
              </w:rPr>
              <w:t>case_entity</w:t>
            </w:r>
            <w:proofErr w:type="spellEnd"/>
          </w:p>
        </w:tc>
        <w:tc>
          <w:tcPr>
            <w:tcW w:w="0" w:type="auto"/>
            <w:tcBorders>
              <w:top w:val="single" w:sz="1" w:space="0" w:color="000000"/>
              <w:left w:val="single" w:sz="1" w:space="0" w:color="000000"/>
              <w:bottom w:val="single" w:sz="1" w:space="0" w:color="000000"/>
            </w:tcBorders>
          </w:tcPr>
          <w:p w14:paraId="69E9DAB1" w14:textId="77777777" w:rsidR="00F64BB2" w:rsidRDefault="00F64BB2" w:rsidP="00074F6A">
            <w:proofErr w:type="spellStart"/>
            <w:r>
              <w:rPr>
                <w:rFonts w:eastAsia="Georgia" w:hAnsi="Georgia" w:cs="Georgia"/>
              </w:rPr>
              <w:t>case_id</w:t>
            </w:r>
            <w:proofErr w:type="spellEnd"/>
            <w:r>
              <w:rPr>
                <w:rFonts w:eastAsia="Georgia" w:hAnsi="Georgia" w:cs="Georgia"/>
              </w:rPr>
              <w:t xml:space="preserve">, </w:t>
            </w:r>
            <w:proofErr w:type="spellStart"/>
            <w:r>
              <w:rPr>
                <w:rFonts w:eastAsia="Georgia" w:hAnsi="Georgia" w:cs="Georgia"/>
              </w:rPr>
              <w:t>entity_id</w:t>
            </w:r>
            <w:proofErr w:type="spellEnd"/>
            <w:r>
              <w:rPr>
                <w:rFonts w:eastAsia="Georgia" w:hAnsi="Georgia" w:cs="Georgia"/>
              </w:rPr>
              <w:t xml:space="preserve">, </w:t>
            </w:r>
            <w:proofErr w:type="spellStart"/>
            <w:r>
              <w:rPr>
                <w:rFonts w:eastAsia="Georgia" w:hAnsi="Georgia" w:cs="Georgia"/>
              </w:rPr>
              <w:t>entity_type</w:t>
            </w:r>
            <w:proofErr w:type="spellEnd"/>
            <w:r>
              <w:rPr>
                <w:rFonts w:eastAsia="Georgia" w:hAnsi="Georgia" w:cs="Georgia"/>
              </w:rPr>
              <w:t xml:space="preserve">, </w:t>
            </w:r>
            <w:proofErr w:type="spellStart"/>
            <w:r>
              <w:rPr>
                <w:rFonts w:eastAsia="Georgia" w:hAnsi="Georgia" w:cs="Georgia"/>
              </w:rPr>
              <w:t>link_reason</w:t>
            </w:r>
            <w:proofErr w:type="spellEnd"/>
          </w:p>
        </w:tc>
        <w:tc>
          <w:tcPr>
            <w:tcW w:w="0" w:type="auto"/>
            <w:tcBorders>
              <w:top w:val="single" w:sz="1" w:space="0" w:color="000000"/>
              <w:left w:val="single" w:sz="1" w:space="0" w:color="000000"/>
              <w:bottom w:val="single" w:sz="1" w:space="0" w:color="000000"/>
            </w:tcBorders>
          </w:tcPr>
          <w:p w14:paraId="4B77A28C" w14:textId="77777777" w:rsidR="00F64BB2" w:rsidRDefault="00F64BB2" w:rsidP="00074F6A">
            <w:r>
              <w:t>None</w:t>
            </w:r>
          </w:p>
        </w:tc>
      </w:tr>
      <w:tr w:rsidR="00F64BB2" w14:paraId="7256CCB6" w14:textId="77777777" w:rsidTr="00074F6A">
        <w:trPr>
          <w:cantSplit/>
          <w:tblCellSpacing w:w="0" w:type="dxa"/>
          <w:jc w:val="center"/>
        </w:trPr>
        <w:tc>
          <w:tcPr>
            <w:tcW w:w="0" w:type="auto"/>
            <w:tcBorders>
              <w:top w:val="single" w:sz="1" w:space="0" w:color="000000"/>
              <w:bottom w:val="single" w:sz="1" w:space="0" w:color="000000"/>
            </w:tcBorders>
          </w:tcPr>
          <w:p w14:paraId="70B37531" w14:textId="77777777" w:rsidR="00F64BB2" w:rsidRDefault="00F64BB2" w:rsidP="00074F6A">
            <w:proofErr w:type="spellStart"/>
            <w:r>
              <w:rPr>
                <w:rStyle w:val="VerbatimChar"/>
                <w:rFonts w:ascii="menlo" w:eastAsia="menlo" w:hAnsi="menlo" w:cs="menlo"/>
                <w:shd w:val="clear" w:color="auto" w:fill="F8F8FA"/>
              </w:rPr>
              <w:t>audit_log</w:t>
            </w:r>
            <w:proofErr w:type="spellEnd"/>
          </w:p>
        </w:tc>
        <w:tc>
          <w:tcPr>
            <w:tcW w:w="0" w:type="auto"/>
            <w:tcBorders>
              <w:top w:val="single" w:sz="1" w:space="0" w:color="000000"/>
              <w:left w:val="single" w:sz="1" w:space="0" w:color="000000"/>
              <w:bottom w:val="single" w:sz="1" w:space="0" w:color="000000"/>
            </w:tcBorders>
          </w:tcPr>
          <w:p w14:paraId="2FA3D2B6" w14:textId="77777777" w:rsidR="00F64BB2" w:rsidRDefault="00F64BB2" w:rsidP="00074F6A">
            <w:proofErr w:type="spellStart"/>
            <w:r>
              <w:rPr>
                <w:rFonts w:eastAsia="Georgia" w:hAnsi="Georgia" w:cs="Georgia"/>
              </w:rPr>
              <w:t>event_id</w:t>
            </w:r>
            <w:proofErr w:type="spellEnd"/>
            <w:r>
              <w:rPr>
                <w:rFonts w:eastAsia="Georgia" w:hAnsi="Georgia" w:cs="Georgia"/>
              </w:rPr>
              <w:t xml:space="preserve">, </w:t>
            </w:r>
            <w:proofErr w:type="spellStart"/>
            <w:r>
              <w:rPr>
                <w:rFonts w:eastAsia="Georgia" w:hAnsi="Georgia" w:cs="Georgia"/>
              </w:rPr>
              <w:t>actor_id</w:t>
            </w:r>
            <w:proofErr w:type="spellEnd"/>
            <w:r>
              <w:rPr>
                <w:rFonts w:eastAsia="Georgia" w:hAnsi="Georgia" w:cs="Georgia"/>
              </w:rPr>
              <w:t xml:space="preserve">, action, </w:t>
            </w:r>
            <w:proofErr w:type="spellStart"/>
            <w:r>
              <w:rPr>
                <w:rFonts w:eastAsia="Georgia" w:hAnsi="Georgia" w:cs="Georgia"/>
              </w:rPr>
              <w:t>entity_type</w:t>
            </w:r>
            <w:proofErr w:type="spellEnd"/>
            <w:r>
              <w:rPr>
                <w:rFonts w:eastAsia="Georgia" w:hAnsi="Georgia" w:cs="Georgia"/>
              </w:rPr>
              <w:t xml:space="preserve">, </w:t>
            </w:r>
            <w:proofErr w:type="spellStart"/>
            <w:r>
              <w:rPr>
                <w:rFonts w:eastAsia="Georgia" w:hAnsi="Georgia" w:cs="Georgia"/>
              </w:rPr>
              <w:t>entity_id</w:t>
            </w:r>
            <w:proofErr w:type="spellEnd"/>
            <w:r>
              <w:rPr>
                <w:rFonts w:eastAsia="Georgia" w:hAnsi="Georgia" w:cs="Georgia"/>
              </w:rPr>
              <w:t>, before, after, timestamp</w:t>
            </w:r>
          </w:p>
        </w:tc>
        <w:tc>
          <w:tcPr>
            <w:tcW w:w="0" w:type="auto"/>
            <w:tcBorders>
              <w:top w:val="single" w:sz="1" w:space="0" w:color="000000"/>
              <w:left w:val="single" w:sz="1" w:space="0" w:color="000000"/>
              <w:bottom w:val="single" w:sz="1" w:space="0" w:color="000000"/>
            </w:tcBorders>
          </w:tcPr>
          <w:p w14:paraId="3AD757F9" w14:textId="77777777" w:rsidR="00F64BB2" w:rsidRDefault="00F64BB2" w:rsidP="00074F6A">
            <w:r>
              <w:t xml:space="preserve">Range by month on </w:t>
            </w:r>
            <w:r>
              <w:rPr>
                <w:rStyle w:val="VerbatimChar"/>
                <w:rFonts w:ascii="menlo" w:eastAsia="menlo" w:hAnsi="menlo" w:cs="menlo"/>
                <w:shd w:val="clear" w:color="auto" w:fill="F8F8FA"/>
              </w:rPr>
              <w:t>timestamp</w:t>
            </w:r>
          </w:p>
        </w:tc>
      </w:tr>
    </w:tbl>
    <w:p w14:paraId="06F8597B" w14:textId="77777777" w:rsidR="00F64BB2" w:rsidRDefault="00F64BB2" w:rsidP="00F64BB2"/>
    <w:p w14:paraId="008D84CD" w14:textId="77777777" w:rsidR="00F64BB2" w:rsidRDefault="00F64BB2" w:rsidP="00F64BB2">
      <w:pPr>
        <w:pStyle w:val="Heading4"/>
      </w:pPr>
      <w:r>
        <w:t xml:space="preserve">Graph Schema (Apache AGE </w:t>
      </w:r>
      <w:proofErr w:type="spellStart"/>
      <w:r>
        <w:rPr>
          <w:rStyle w:val="VerbatimChar"/>
          <w:b/>
          <w:shd w:val="clear" w:color="auto" w:fill="F8F8FA"/>
        </w:rPr>
        <w:t>aml_graph</w:t>
      </w:r>
      <w:proofErr w:type="spellEnd"/>
      <w:r>
        <w:rPr>
          <w:rStyle w:val="VerbatimChar"/>
          <w:b/>
          <w:shd w:val="clear" w:color="auto" w:fill="F8F8FA"/>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9"/>
        <w:gridCol w:w="6541"/>
      </w:tblGrid>
      <w:tr w:rsidR="00F64BB2" w14:paraId="5914A7C4" w14:textId="77777777" w:rsidTr="00074F6A">
        <w:trPr>
          <w:cantSplit/>
          <w:tblCellSpacing w:w="0" w:type="dxa"/>
          <w:jc w:val="center"/>
        </w:trPr>
        <w:tc>
          <w:tcPr>
            <w:tcW w:w="0" w:type="auto"/>
            <w:tcBorders>
              <w:top w:val="single" w:sz="1" w:space="0" w:color="000000"/>
              <w:bottom w:val="single" w:sz="1" w:space="0" w:color="000000"/>
            </w:tcBorders>
          </w:tcPr>
          <w:p w14:paraId="502C5A07" w14:textId="77777777" w:rsidR="00F64BB2" w:rsidRDefault="00F64BB2" w:rsidP="00074F6A">
            <w:r>
              <w:t>Vertex Label</w:t>
            </w:r>
          </w:p>
        </w:tc>
        <w:tc>
          <w:tcPr>
            <w:tcW w:w="0" w:type="auto"/>
            <w:tcBorders>
              <w:top w:val="single" w:sz="1" w:space="0" w:color="000000"/>
              <w:left w:val="single" w:sz="1" w:space="0" w:color="000000"/>
              <w:bottom w:val="single" w:sz="1" w:space="0" w:color="000000"/>
            </w:tcBorders>
          </w:tcPr>
          <w:p w14:paraId="5086A92B" w14:textId="77777777" w:rsidR="00F64BB2" w:rsidRDefault="00F64BB2" w:rsidP="00074F6A">
            <w:r>
              <w:t>Key Properties</w:t>
            </w:r>
          </w:p>
        </w:tc>
      </w:tr>
      <w:tr w:rsidR="00F64BB2" w14:paraId="381E8662" w14:textId="77777777" w:rsidTr="00074F6A">
        <w:trPr>
          <w:cantSplit/>
          <w:tblCellSpacing w:w="0" w:type="dxa"/>
          <w:jc w:val="center"/>
        </w:trPr>
        <w:tc>
          <w:tcPr>
            <w:tcW w:w="0" w:type="auto"/>
            <w:tcBorders>
              <w:top w:val="single" w:sz="1" w:space="0" w:color="000000"/>
              <w:bottom w:val="single" w:sz="1" w:space="0" w:color="000000"/>
            </w:tcBorders>
          </w:tcPr>
          <w:p w14:paraId="0874FF8B" w14:textId="77777777" w:rsidR="00F64BB2" w:rsidRDefault="00F64BB2" w:rsidP="00074F6A">
            <w:r>
              <w:rPr>
                <w:rStyle w:val="VerbatimChar"/>
                <w:rFonts w:ascii="menlo" w:eastAsia="menlo" w:hAnsi="menlo" w:cs="menlo"/>
                <w:shd w:val="clear" w:color="auto" w:fill="F8F8FA"/>
              </w:rPr>
              <w:t>Account</w:t>
            </w:r>
          </w:p>
        </w:tc>
        <w:tc>
          <w:tcPr>
            <w:tcW w:w="0" w:type="auto"/>
            <w:tcBorders>
              <w:top w:val="single" w:sz="1" w:space="0" w:color="000000"/>
              <w:left w:val="single" w:sz="1" w:space="0" w:color="000000"/>
              <w:bottom w:val="single" w:sz="1" w:space="0" w:color="000000"/>
            </w:tcBorders>
          </w:tcPr>
          <w:p w14:paraId="0B7C3C35" w14:textId="77777777" w:rsidR="00F64BB2" w:rsidRDefault="00F64BB2" w:rsidP="00074F6A">
            <w:proofErr w:type="spellStart"/>
            <w:r>
              <w:rPr>
                <w:rFonts w:eastAsia="Georgia" w:hAnsi="Georgia" w:cs="Georgia"/>
              </w:rPr>
              <w:t>account_id</w:t>
            </w:r>
            <w:proofErr w:type="spellEnd"/>
            <w:r>
              <w:rPr>
                <w:rFonts w:eastAsia="Georgia" w:hAnsi="Georgia" w:cs="Georgia"/>
              </w:rPr>
              <w:t xml:space="preserve">, type, </w:t>
            </w:r>
            <w:proofErr w:type="spellStart"/>
            <w:r>
              <w:rPr>
                <w:rFonts w:eastAsia="Georgia" w:hAnsi="Georgia" w:cs="Georgia"/>
              </w:rPr>
              <w:t>risk_score</w:t>
            </w:r>
            <w:proofErr w:type="spellEnd"/>
            <w:r>
              <w:rPr>
                <w:rFonts w:eastAsia="Georgia" w:hAnsi="Georgia" w:cs="Georgia"/>
              </w:rPr>
              <w:t>, jurisdiction, status</w:t>
            </w:r>
          </w:p>
        </w:tc>
      </w:tr>
      <w:tr w:rsidR="00F64BB2" w14:paraId="1E1F11DB" w14:textId="77777777" w:rsidTr="00074F6A">
        <w:trPr>
          <w:cantSplit/>
          <w:tblCellSpacing w:w="0" w:type="dxa"/>
          <w:jc w:val="center"/>
        </w:trPr>
        <w:tc>
          <w:tcPr>
            <w:tcW w:w="0" w:type="auto"/>
            <w:tcBorders>
              <w:top w:val="single" w:sz="1" w:space="0" w:color="000000"/>
              <w:bottom w:val="single" w:sz="1" w:space="0" w:color="000000"/>
            </w:tcBorders>
          </w:tcPr>
          <w:p w14:paraId="0616423C" w14:textId="77777777" w:rsidR="00F64BB2" w:rsidRDefault="00F64BB2" w:rsidP="00074F6A">
            <w:r>
              <w:rPr>
                <w:rStyle w:val="VerbatimChar"/>
                <w:rFonts w:ascii="menlo" w:eastAsia="menlo" w:hAnsi="menlo" w:cs="menlo"/>
                <w:shd w:val="clear" w:color="auto" w:fill="F8F8FA"/>
              </w:rPr>
              <w:t>Customer</w:t>
            </w:r>
          </w:p>
        </w:tc>
        <w:tc>
          <w:tcPr>
            <w:tcW w:w="0" w:type="auto"/>
            <w:tcBorders>
              <w:top w:val="single" w:sz="1" w:space="0" w:color="000000"/>
              <w:left w:val="single" w:sz="1" w:space="0" w:color="000000"/>
              <w:bottom w:val="single" w:sz="1" w:space="0" w:color="000000"/>
            </w:tcBorders>
          </w:tcPr>
          <w:p w14:paraId="1EF7A91A" w14:textId="77777777" w:rsidR="00F64BB2" w:rsidRDefault="00F64BB2" w:rsidP="00074F6A">
            <w:proofErr w:type="spellStart"/>
            <w:r>
              <w:rPr>
                <w:rFonts w:eastAsia="Georgia" w:hAnsi="Georgia" w:cs="Georgia"/>
              </w:rPr>
              <w:t>customer_id</w:t>
            </w:r>
            <w:proofErr w:type="spellEnd"/>
            <w:r>
              <w:rPr>
                <w:rFonts w:eastAsia="Georgia" w:hAnsi="Georgia" w:cs="Georgia"/>
              </w:rPr>
              <w:t xml:space="preserve">, name, </w:t>
            </w:r>
            <w:proofErr w:type="spellStart"/>
            <w:r>
              <w:rPr>
                <w:rFonts w:eastAsia="Georgia" w:hAnsi="Georgia" w:cs="Georgia"/>
              </w:rPr>
              <w:t>risk_tier</w:t>
            </w:r>
            <w:proofErr w:type="spellEnd"/>
            <w:r>
              <w:rPr>
                <w:rFonts w:eastAsia="Georgia" w:hAnsi="Georgia" w:cs="Georgia"/>
              </w:rPr>
              <w:t xml:space="preserve">, </w:t>
            </w:r>
            <w:proofErr w:type="spellStart"/>
            <w:r>
              <w:rPr>
                <w:rFonts w:eastAsia="Georgia" w:hAnsi="Georgia" w:cs="Georgia"/>
              </w:rPr>
              <w:t>kyc_status</w:t>
            </w:r>
            <w:proofErr w:type="spellEnd"/>
            <w:r>
              <w:rPr>
                <w:rFonts w:eastAsia="Georgia" w:hAnsi="Georgia" w:cs="Georgia"/>
              </w:rPr>
              <w:t xml:space="preserve">, </w:t>
            </w:r>
            <w:proofErr w:type="spellStart"/>
            <w:r>
              <w:rPr>
                <w:rFonts w:eastAsia="Georgia" w:hAnsi="Georgia" w:cs="Georgia"/>
              </w:rPr>
              <w:t>pep_flag</w:t>
            </w:r>
            <w:proofErr w:type="spellEnd"/>
            <w:r>
              <w:rPr>
                <w:rFonts w:eastAsia="Georgia" w:hAnsi="Georgia" w:cs="Georgia"/>
              </w:rPr>
              <w:t xml:space="preserve">, </w:t>
            </w:r>
            <w:proofErr w:type="spellStart"/>
            <w:r>
              <w:rPr>
                <w:rFonts w:eastAsia="Georgia" w:hAnsi="Georgia" w:cs="Georgia"/>
              </w:rPr>
              <w:t>sanctions_flag</w:t>
            </w:r>
            <w:proofErr w:type="spellEnd"/>
          </w:p>
        </w:tc>
      </w:tr>
      <w:tr w:rsidR="00F64BB2" w14:paraId="69F7E725" w14:textId="77777777" w:rsidTr="00074F6A">
        <w:trPr>
          <w:cantSplit/>
          <w:tblCellSpacing w:w="0" w:type="dxa"/>
          <w:jc w:val="center"/>
        </w:trPr>
        <w:tc>
          <w:tcPr>
            <w:tcW w:w="0" w:type="auto"/>
            <w:tcBorders>
              <w:top w:val="single" w:sz="1" w:space="0" w:color="000000"/>
              <w:bottom w:val="single" w:sz="1" w:space="0" w:color="000000"/>
            </w:tcBorders>
          </w:tcPr>
          <w:p w14:paraId="28FCB602" w14:textId="77777777" w:rsidR="00F64BB2" w:rsidRDefault="00F64BB2" w:rsidP="00074F6A">
            <w:r>
              <w:rPr>
                <w:rStyle w:val="VerbatimChar"/>
                <w:rFonts w:ascii="menlo" w:eastAsia="menlo" w:hAnsi="menlo" w:cs="menlo"/>
                <w:shd w:val="clear" w:color="auto" w:fill="F8F8FA"/>
              </w:rPr>
              <w:t>Merchant</w:t>
            </w:r>
          </w:p>
        </w:tc>
        <w:tc>
          <w:tcPr>
            <w:tcW w:w="0" w:type="auto"/>
            <w:tcBorders>
              <w:top w:val="single" w:sz="1" w:space="0" w:color="000000"/>
              <w:left w:val="single" w:sz="1" w:space="0" w:color="000000"/>
              <w:bottom w:val="single" w:sz="1" w:space="0" w:color="000000"/>
            </w:tcBorders>
          </w:tcPr>
          <w:p w14:paraId="01DF2E17" w14:textId="77777777" w:rsidR="00F64BB2" w:rsidRDefault="00F64BB2" w:rsidP="00074F6A">
            <w:proofErr w:type="spellStart"/>
            <w:r>
              <w:rPr>
                <w:rFonts w:eastAsia="Georgia" w:hAnsi="Georgia" w:cs="Georgia"/>
              </w:rPr>
              <w:t>merchant_id</w:t>
            </w:r>
            <w:proofErr w:type="spellEnd"/>
            <w:r>
              <w:rPr>
                <w:rFonts w:eastAsia="Georgia" w:hAnsi="Georgia" w:cs="Georgia"/>
              </w:rPr>
              <w:t>, name, category, jurisdiction</w:t>
            </w:r>
          </w:p>
        </w:tc>
      </w:tr>
      <w:tr w:rsidR="00F64BB2" w14:paraId="2DC7B5AD" w14:textId="77777777" w:rsidTr="00074F6A">
        <w:trPr>
          <w:cantSplit/>
          <w:tblCellSpacing w:w="0" w:type="dxa"/>
          <w:jc w:val="center"/>
        </w:trPr>
        <w:tc>
          <w:tcPr>
            <w:tcW w:w="0" w:type="auto"/>
            <w:tcBorders>
              <w:top w:val="single" w:sz="1" w:space="0" w:color="000000"/>
              <w:bottom w:val="single" w:sz="1" w:space="0" w:color="000000"/>
            </w:tcBorders>
          </w:tcPr>
          <w:p w14:paraId="666B5886" w14:textId="77777777" w:rsidR="00F64BB2" w:rsidRDefault="00F64BB2" w:rsidP="00074F6A">
            <w:r>
              <w:rPr>
                <w:rStyle w:val="VerbatimChar"/>
                <w:rFonts w:ascii="menlo" w:eastAsia="menlo" w:hAnsi="menlo" w:cs="menlo"/>
                <w:shd w:val="clear" w:color="auto" w:fill="F8F8FA"/>
              </w:rPr>
              <w:t>Device</w:t>
            </w:r>
          </w:p>
        </w:tc>
        <w:tc>
          <w:tcPr>
            <w:tcW w:w="0" w:type="auto"/>
            <w:tcBorders>
              <w:top w:val="single" w:sz="1" w:space="0" w:color="000000"/>
              <w:left w:val="single" w:sz="1" w:space="0" w:color="000000"/>
              <w:bottom w:val="single" w:sz="1" w:space="0" w:color="000000"/>
            </w:tcBorders>
          </w:tcPr>
          <w:p w14:paraId="3F2FF49B" w14:textId="77777777" w:rsidR="00F64BB2" w:rsidRDefault="00F64BB2" w:rsidP="00074F6A">
            <w:proofErr w:type="spellStart"/>
            <w:r>
              <w:rPr>
                <w:rFonts w:eastAsia="Georgia" w:hAnsi="Georgia" w:cs="Georgia"/>
              </w:rPr>
              <w:t>device_id</w:t>
            </w:r>
            <w:proofErr w:type="spellEnd"/>
            <w:r>
              <w:rPr>
                <w:rFonts w:eastAsia="Georgia" w:hAnsi="Georgia" w:cs="Georgia"/>
              </w:rPr>
              <w:t>, type, fingerprint</w:t>
            </w:r>
          </w:p>
        </w:tc>
      </w:tr>
      <w:tr w:rsidR="00F64BB2" w14:paraId="656D2DA6" w14:textId="77777777" w:rsidTr="00074F6A">
        <w:trPr>
          <w:cantSplit/>
          <w:tblCellSpacing w:w="0" w:type="dxa"/>
          <w:jc w:val="center"/>
        </w:trPr>
        <w:tc>
          <w:tcPr>
            <w:tcW w:w="0" w:type="auto"/>
            <w:tcBorders>
              <w:top w:val="single" w:sz="1" w:space="0" w:color="000000"/>
              <w:bottom w:val="single" w:sz="1" w:space="0" w:color="000000"/>
            </w:tcBorders>
          </w:tcPr>
          <w:p w14:paraId="61917FBE" w14:textId="77777777" w:rsidR="00F64BB2" w:rsidRDefault="00F64BB2" w:rsidP="00074F6A">
            <w:r>
              <w:rPr>
                <w:rStyle w:val="VerbatimChar"/>
                <w:rFonts w:ascii="menlo" w:eastAsia="menlo" w:hAnsi="menlo" w:cs="menlo"/>
                <w:shd w:val="clear" w:color="auto" w:fill="F8F8FA"/>
              </w:rPr>
              <w:t>Wallet</w:t>
            </w:r>
          </w:p>
        </w:tc>
        <w:tc>
          <w:tcPr>
            <w:tcW w:w="0" w:type="auto"/>
            <w:tcBorders>
              <w:top w:val="single" w:sz="1" w:space="0" w:color="000000"/>
              <w:left w:val="single" w:sz="1" w:space="0" w:color="000000"/>
              <w:bottom w:val="single" w:sz="1" w:space="0" w:color="000000"/>
            </w:tcBorders>
          </w:tcPr>
          <w:p w14:paraId="25DE8A52" w14:textId="77777777" w:rsidR="00F64BB2" w:rsidRDefault="00F64BB2" w:rsidP="00074F6A">
            <w:proofErr w:type="spellStart"/>
            <w:r>
              <w:rPr>
                <w:rFonts w:eastAsia="Georgia" w:hAnsi="Georgia" w:cs="Georgia"/>
              </w:rPr>
              <w:t>wallet_id</w:t>
            </w:r>
            <w:proofErr w:type="spellEnd"/>
            <w:r>
              <w:rPr>
                <w:rFonts w:eastAsia="Georgia" w:hAnsi="Georgia" w:cs="Georgia"/>
              </w:rPr>
              <w:t xml:space="preserve">, address, protocol, </w:t>
            </w:r>
            <w:proofErr w:type="spellStart"/>
            <w:r>
              <w:rPr>
                <w:rFonts w:eastAsia="Georgia" w:hAnsi="Georgia" w:cs="Georgia"/>
              </w:rPr>
              <w:t>custody_type</w:t>
            </w:r>
            <w:proofErr w:type="spellEnd"/>
          </w:p>
        </w:tc>
      </w:tr>
      <w:tr w:rsidR="00F64BB2" w14:paraId="00041EDD" w14:textId="77777777" w:rsidTr="00074F6A">
        <w:trPr>
          <w:cantSplit/>
          <w:tblCellSpacing w:w="0" w:type="dxa"/>
          <w:jc w:val="center"/>
        </w:trPr>
        <w:tc>
          <w:tcPr>
            <w:tcW w:w="0" w:type="auto"/>
            <w:tcBorders>
              <w:top w:val="single" w:sz="1" w:space="0" w:color="000000"/>
              <w:bottom w:val="single" w:sz="1" w:space="0" w:color="000000"/>
            </w:tcBorders>
          </w:tcPr>
          <w:p w14:paraId="287D2C8C" w14:textId="77777777" w:rsidR="00F64BB2" w:rsidRDefault="00F64BB2" w:rsidP="00074F6A">
            <w:r>
              <w:t>Edge Label</w:t>
            </w:r>
          </w:p>
        </w:tc>
        <w:tc>
          <w:tcPr>
            <w:tcW w:w="0" w:type="auto"/>
            <w:tcBorders>
              <w:top w:val="single" w:sz="1" w:space="0" w:color="000000"/>
              <w:left w:val="single" w:sz="1" w:space="0" w:color="000000"/>
              <w:bottom w:val="single" w:sz="1" w:space="0" w:color="000000"/>
            </w:tcBorders>
          </w:tcPr>
          <w:p w14:paraId="6522B845" w14:textId="77777777" w:rsidR="00F64BB2" w:rsidRDefault="00F64BB2" w:rsidP="00074F6A">
            <w:r>
              <w:t>Key Properties</w:t>
            </w:r>
          </w:p>
        </w:tc>
      </w:tr>
      <w:tr w:rsidR="00F64BB2" w14:paraId="7AC68167" w14:textId="77777777" w:rsidTr="00074F6A">
        <w:trPr>
          <w:cantSplit/>
          <w:tblCellSpacing w:w="0" w:type="dxa"/>
          <w:jc w:val="center"/>
        </w:trPr>
        <w:tc>
          <w:tcPr>
            <w:tcW w:w="0" w:type="auto"/>
            <w:tcBorders>
              <w:top w:val="single" w:sz="1" w:space="0" w:color="000000"/>
              <w:bottom w:val="single" w:sz="1" w:space="0" w:color="000000"/>
            </w:tcBorders>
          </w:tcPr>
          <w:p w14:paraId="3920B810" w14:textId="77777777" w:rsidR="00F64BB2" w:rsidRDefault="00F64BB2" w:rsidP="00074F6A">
            <w:r>
              <w:t>---</w:t>
            </w:r>
          </w:p>
        </w:tc>
        <w:tc>
          <w:tcPr>
            <w:tcW w:w="0" w:type="auto"/>
            <w:tcBorders>
              <w:top w:val="single" w:sz="1" w:space="0" w:color="000000"/>
              <w:left w:val="single" w:sz="1" w:space="0" w:color="000000"/>
              <w:bottom w:val="single" w:sz="1" w:space="0" w:color="000000"/>
            </w:tcBorders>
          </w:tcPr>
          <w:p w14:paraId="374204FF" w14:textId="77777777" w:rsidR="00F64BB2" w:rsidRDefault="00F64BB2" w:rsidP="00074F6A">
            <w:r>
              <w:t>---</w:t>
            </w:r>
          </w:p>
        </w:tc>
      </w:tr>
      <w:tr w:rsidR="00F64BB2" w14:paraId="34E5298B" w14:textId="77777777" w:rsidTr="00074F6A">
        <w:trPr>
          <w:cantSplit/>
          <w:tblCellSpacing w:w="0" w:type="dxa"/>
          <w:jc w:val="center"/>
        </w:trPr>
        <w:tc>
          <w:tcPr>
            <w:tcW w:w="0" w:type="auto"/>
            <w:tcBorders>
              <w:top w:val="single" w:sz="1" w:space="0" w:color="000000"/>
              <w:bottom w:val="single" w:sz="1" w:space="0" w:color="000000"/>
            </w:tcBorders>
          </w:tcPr>
          <w:p w14:paraId="2C5F334C" w14:textId="77777777" w:rsidR="00F64BB2" w:rsidRDefault="00F64BB2" w:rsidP="00074F6A">
            <w:r>
              <w:rPr>
                <w:rStyle w:val="VerbatimChar"/>
                <w:rFonts w:ascii="menlo" w:eastAsia="menlo" w:hAnsi="menlo" w:cs="menlo"/>
                <w:shd w:val="clear" w:color="auto" w:fill="F8F8FA"/>
              </w:rPr>
              <w:t>SENT</w:t>
            </w:r>
          </w:p>
        </w:tc>
        <w:tc>
          <w:tcPr>
            <w:tcW w:w="0" w:type="auto"/>
            <w:tcBorders>
              <w:top w:val="single" w:sz="1" w:space="0" w:color="000000"/>
              <w:left w:val="single" w:sz="1" w:space="0" w:color="000000"/>
              <w:bottom w:val="single" w:sz="1" w:space="0" w:color="000000"/>
            </w:tcBorders>
          </w:tcPr>
          <w:p w14:paraId="5B3FAD38" w14:textId="77777777" w:rsidR="00F64BB2" w:rsidRDefault="00F64BB2" w:rsidP="00074F6A">
            <w:r>
              <w:rPr>
                <w:rFonts w:eastAsia="Georgia" w:hAnsi="Georgia" w:cs="Georgia"/>
              </w:rPr>
              <w:t xml:space="preserve">amount, currency, count, </w:t>
            </w:r>
            <w:proofErr w:type="spellStart"/>
            <w:r>
              <w:rPr>
                <w:rFonts w:eastAsia="Georgia" w:hAnsi="Georgia" w:cs="Georgia"/>
              </w:rPr>
              <w:t>first_seen</w:t>
            </w:r>
            <w:proofErr w:type="spellEnd"/>
            <w:r>
              <w:rPr>
                <w:rFonts w:eastAsia="Georgia" w:hAnsi="Georgia" w:cs="Georgia"/>
              </w:rPr>
              <w:t xml:space="preserve">, </w:t>
            </w:r>
            <w:proofErr w:type="spellStart"/>
            <w:r>
              <w:rPr>
                <w:rFonts w:eastAsia="Georgia" w:hAnsi="Georgia" w:cs="Georgia"/>
              </w:rPr>
              <w:t>last_seen</w:t>
            </w:r>
            <w:proofErr w:type="spellEnd"/>
            <w:r>
              <w:rPr>
                <w:rFonts w:eastAsia="Georgia" w:hAnsi="Georgia" w:cs="Georgia"/>
              </w:rPr>
              <w:t>, suspicious</w:t>
            </w:r>
          </w:p>
        </w:tc>
      </w:tr>
      <w:tr w:rsidR="00F64BB2" w14:paraId="50892932" w14:textId="77777777" w:rsidTr="00074F6A">
        <w:trPr>
          <w:cantSplit/>
          <w:tblCellSpacing w:w="0" w:type="dxa"/>
          <w:jc w:val="center"/>
        </w:trPr>
        <w:tc>
          <w:tcPr>
            <w:tcW w:w="0" w:type="auto"/>
            <w:tcBorders>
              <w:top w:val="single" w:sz="1" w:space="0" w:color="000000"/>
              <w:bottom w:val="single" w:sz="1" w:space="0" w:color="000000"/>
            </w:tcBorders>
          </w:tcPr>
          <w:p w14:paraId="5677780F" w14:textId="77777777" w:rsidR="00F64BB2" w:rsidRDefault="00F64BB2" w:rsidP="00074F6A">
            <w:r>
              <w:rPr>
                <w:rStyle w:val="VerbatimChar"/>
                <w:rFonts w:ascii="menlo" w:eastAsia="menlo" w:hAnsi="menlo" w:cs="menlo"/>
                <w:shd w:val="clear" w:color="auto" w:fill="F8F8FA"/>
              </w:rPr>
              <w:t>RECEIVED</w:t>
            </w:r>
          </w:p>
        </w:tc>
        <w:tc>
          <w:tcPr>
            <w:tcW w:w="0" w:type="auto"/>
            <w:tcBorders>
              <w:top w:val="single" w:sz="1" w:space="0" w:color="000000"/>
              <w:left w:val="single" w:sz="1" w:space="0" w:color="000000"/>
              <w:bottom w:val="single" w:sz="1" w:space="0" w:color="000000"/>
            </w:tcBorders>
          </w:tcPr>
          <w:p w14:paraId="4045CAFD" w14:textId="77777777" w:rsidR="00F64BB2" w:rsidRDefault="00F64BB2" w:rsidP="00074F6A">
            <w:r>
              <w:rPr>
                <w:rFonts w:eastAsia="Georgia" w:hAnsi="Georgia" w:cs="Georgia"/>
              </w:rPr>
              <w:t xml:space="preserve">amount, currency, count, </w:t>
            </w:r>
            <w:proofErr w:type="spellStart"/>
            <w:r>
              <w:rPr>
                <w:rFonts w:eastAsia="Georgia" w:hAnsi="Georgia" w:cs="Georgia"/>
              </w:rPr>
              <w:t>first_seen</w:t>
            </w:r>
            <w:proofErr w:type="spellEnd"/>
            <w:r>
              <w:rPr>
                <w:rFonts w:eastAsia="Georgia" w:hAnsi="Georgia" w:cs="Georgia"/>
              </w:rPr>
              <w:t xml:space="preserve">, </w:t>
            </w:r>
            <w:proofErr w:type="spellStart"/>
            <w:r>
              <w:rPr>
                <w:rFonts w:eastAsia="Georgia" w:hAnsi="Georgia" w:cs="Georgia"/>
              </w:rPr>
              <w:t>last_seen</w:t>
            </w:r>
            <w:proofErr w:type="spellEnd"/>
          </w:p>
        </w:tc>
      </w:tr>
      <w:tr w:rsidR="00F64BB2" w14:paraId="434F61AD" w14:textId="77777777" w:rsidTr="00074F6A">
        <w:trPr>
          <w:cantSplit/>
          <w:tblCellSpacing w:w="0" w:type="dxa"/>
          <w:jc w:val="center"/>
        </w:trPr>
        <w:tc>
          <w:tcPr>
            <w:tcW w:w="0" w:type="auto"/>
            <w:tcBorders>
              <w:top w:val="single" w:sz="1" w:space="0" w:color="000000"/>
              <w:bottom w:val="single" w:sz="1" w:space="0" w:color="000000"/>
            </w:tcBorders>
          </w:tcPr>
          <w:p w14:paraId="38FE4279" w14:textId="77777777" w:rsidR="00F64BB2" w:rsidRDefault="00F64BB2" w:rsidP="00074F6A">
            <w:r>
              <w:rPr>
                <w:rStyle w:val="VerbatimChar"/>
                <w:rFonts w:ascii="menlo" w:eastAsia="menlo" w:hAnsi="menlo" w:cs="menlo"/>
                <w:shd w:val="clear" w:color="auto" w:fill="F8F8FA"/>
              </w:rPr>
              <w:t>OWNS</w:t>
            </w:r>
          </w:p>
        </w:tc>
        <w:tc>
          <w:tcPr>
            <w:tcW w:w="0" w:type="auto"/>
            <w:tcBorders>
              <w:top w:val="single" w:sz="1" w:space="0" w:color="000000"/>
              <w:left w:val="single" w:sz="1" w:space="0" w:color="000000"/>
              <w:bottom w:val="single" w:sz="1" w:space="0" w:color="000000"/>
            </w:tcBorders>
          </w:tcPr>
          <w:p w14:paraId="0D48F799" w14:textId="77777777" w:rsidR="00F64BB2" w:rsidRDefault="00F64BB2" w:rsidP="00074F6A">
            <w:r>
              <w:rPr>
                <w:rFonts w:eastAsia="Georgia" w:hAnsi="Georgia" w:cs="Georgia"/>
              </w:rPr>
              <w:t xml:space="preserve">since, </w:t>
            </w:r>
            <w:proofErr w:type="spellStart"/>
            <w:r>
              <w:rPr>
                <w:rFonts w:eastAsia="Georgia" w:hAnsi="Georgia" w:cs="Georgia"/>
              </w:rPr>
              <w:t>ownership_type</w:t>
            </w:r>
            <w:proofErr w:type="spellEnd"/>
          </w:p>
        </w:tc>
      </w:tr>
      <w:tr w:rsidR="00F64BB2" w14:paraId="325E3F1A" w14:textId="77777777" w:rsidTr="00074F6A">
        <w:trPr>
          <w:cantSplit/>
          <w:tblCellSpacing w:w="0" w:type="dxa"/>
          <w:jc w:val="center"/>
        </w:trPr>
        <w:tc>
          <w:tcPr>
            <w:tcW w:w="0" w:type="auto"/>
            <w:tcBorders>
              <w:top w:val="single" w:sz="1" w:space="0" w:color="000000"/>
              <w:bottom w:val="single" w:sz="1" w:space="0" w:color="000000"/>
            </w:tcBorders>
          </w:tcPr>
          <w:p w14:paraId="5763136C" w14:textId="77777777" w:rsidR="00F64BB2" w:rsidRDefault="00F64BB2" w:rsidP="00074F6A">
            <w:r>
              <w:rPr>
                <w:rStyle w:val="VerbatimChar"/>
                <w:rFonts w:ascii="menlo" w:eastAsia="menlo" w:hAnsi="menlo" w:cs="menlo"/>
                <w:shd w:val="clear" w:color="auto" w:fill="F8F8FA"/>
              </w:rPr>
              <w:t>CONTROLS</w:t>
            </w:r>
          </w:p>
        </w:tc>
        <w:tc>
          <w:tcPr>
            <w:tcW w:w="0" w:type="auto"/>
            <w:tcBorders>
              <w:top w:val="single" w:sz="1" w:space="0" w:color="000000"/>
              <w:left w:val="single" w:sz="1" w:space="0" w:color="000000"/>
              <w:bottom w:val="single" w:sz="1" w:space="0" w:color="000000"/>
            </w:tcBorders>
          </w:tcPr>
          <w:p w14:paraId="0EECED74" w14:textId="77777777" w:rsidR="00F64BB2" w:rsidRDefault="00F64BB2" w:rsidP="00074F6A">
            <w:r>
              <w:rPr>
                <w:rFonts w:eastAsia="Georgia" w:hAnsi="Georgia" w:cs="Georgia"/>
              </w:rPr>
              <w:t xml:space="preserve">since, </w:t>
            </w:r>
            <w:proofErr w:type="spellStart"/>
            <w:r>
              <w:rPr>
                <w:rFonts w:eastAsia="Georgia" w:hAnsi="Georgia" w:cs="Georgia"/>
              </w:rPr>
              <w:t>control_type</w:t>
            </w:r>
            <w:proofErr w:type="spellEnd"/>
          </w:p>
        </w:tc>
      </w:tr>
      <w:tr w:rsidR="00F64BB2" w14:paraId="103E814C" w14:textId="77777777" w:rsidTr="00074F6A">
        <w:trPr>
          <w:cantSplit/>
          <w:tblCellSpacing w:w="0" w:type="dxa"/>
          <w:jc w:val="center"/>
        </w:trPr>
        <w:tc>
          <w:tcPr>
            <w:tcW w:w="0" w:type="auto"/>
            <w:tcBorders>
              <w:top w:val="single" w:sz="1" w:space="0" w:color="000000"/>
              <w:bottom w:val="single" w:sz="1" w:space="0" w:color="000000"/>
            </w:tcBorders>
          </w:tcPr>
          <w:p w14:paraId="64A7989E" w14:textId="77777777" w:rsidR="00F64BB2" w:rsidRDefault="00F64BB2" w:rsidP="00074F6A">
            <w:r>
              <w:rPr>
                <w:rStyle w:val="VerbatimChar"/>
                <w:rFonts w:ascii="menlo" w:eastAsia="menlo" w:hAnsi="menlo" w:cs="menlo"/>
                <w:shd w:val="clear" w:color="auto" w:fill="F8F8FA"/>
              </w:rPr>
              <w:t>SHARES_DEVICE</w:t>
            </w:r>
          </w:p>
        </w:tc>
        <w:tc>
          <w:tcPr>
            <w:tcW w:w="0" w:type="auto"/>
            <w:tcBorders>
              <w:top w:val="single" w:sz="1" w:space="0" w:color="000000"/>
              <w:left w:val="single" w:sz="1" w:space="0" w:color="000000"/>
              <w:bottom w:val="single" w:sz="1" w:space="0" w:color="000000"/>
            </w:tcBorders>
          </w:tcPr>
          <w:p w14:paraId="0C96CCE1" w14:textId="77777777" w:rsidR="00F64BB2" w:rsidRDefault="00F64BB2" w:rsidP="00074F6A">
            <w:proofErr w:type="spellStart"/>
            <w:r>
              <w:rPr>
                <w:rFonts w:eastAsia="Georgia" w:hAnsi="Georgia" w:cs="Georgia"/>
              </w:rPr>
              <w:t>first_seen</w:t>
            </w:r>
            <w:proofErr w:type="spellEnd"/>
            <w:r>
              <w:rPr>
                <w:rFonts w:eastAsia="Georgia" w:hAnsi="Georgia" w:cs="Georgia"/>
              </w:rPr>
              <w:t xml:space="preserve">, </w:t>
            </w:r>
            <w:proofErr w:type="spellStart"/>
            <w:r>
              <w:rPr>
                <w:rFonts w:eastAsia="Georgia" w:hAnsi="Georgia" w:cs="Georgia"/>
              </w:rPr>
              <w:t>last_seen</w:t>
            </w:r>
            <w:proofErr w:type="spellEnd"/>
            <w:r>
              <w:rPr>
                <w:rFonts w:eastAsia="Georgia" w:hAnsi="Georgia" w:cs="Georgia"/>
              </w:rPr>
              <w:t xml:space="preserve">, </w:t>
            </w:r>
            <w:proofErr w:type="spellStart"/>
            <w:r>
              <w:rPr>
                <w:rFonts w:eastAsia="Georgia" w:hAnsi="Georgia" w:cs="Georgia"/>
              </w:rPr>
              <w:t>shared_count</w:t>
            </w:r>
            <w:proofErr w:type="spellEnd"/>
          </w:p>
        </w:tc>
      </w:tr>
      <w:tr w:rsidR="00F64BB2" w14:paraId="02D117A9" w14:textId="77777777" w:rsidTr="00074F6A">
        <w:trPr>
          <w:cantSplit/>
          <w:tblCellSpacing w:w="0" w:type="dxa"/>
          <w:jc w:val="center"/>
        </w:trPr>
        <w:tc>
          <w:tcPr>
            <w:tcW w:w="0" w:type="auto"/>
            <w:tcBorders>
              <w:top w:val="single" w:sz="1" w:space="0" w:color="000000"/>
              <w:bottom w:val="single" w:sz="1" w:space="0" w:color="000000"/>
            </w:tcBorders>
          </w:tcPr>
          <w:p w14:paraId="48F304DE" w14:textId="77777777" w:rsidR="00F64BB2" w:rsidRDefault="00F64BB2" w:rsidP="00074F6A">
            <w:r>
              <w:rPr>
                <w:rStyle w:val="VerbatimChar"/>
                <w:rFonts w:ascii="menlo" w:eastAsia="menlo" w:hAnsi="menlo" w:cs="menlo"/>
                <w:shd w:val="clear" w:color="auto" w:fill="F8F8FA"/>
              </w:rPr>
              <w:t>LINKED_TO_CASE</w:t>
            </w:r>
          </w:p>
        </w:tc>
        <w:tc>
          <w:tcPr>
            <w:tcW w:w="0" w:type="auto"/>
            <w:tcBorders>
              <w:top w:val="single" w:sz="1" w:space="0" w:color="000000"/>
              <w:left w:val="single" w:sz="1" w:space="0" w:color="000000"/>
              <w:bottom w:val="single" w:sz="1" w:space="0" w:color="000000"/>
            </w:tcBorders>
          </w:tcPr>
          <w:p w14:paraId="2E0EA4B2" w14:textId="77777777" w:rsidR="00F64BB2" w:rsidRDefault="00F64BB2" w:rsidP="00074F6A">
            <w:proofErr w:type="spellStart"/>
            <w:r>
              <w:rPr>
                <w:rFonts w:eastAsia="Georgia" w:hAnsi="Georgia" w:cs="Georgia"/>
              </w:rPr>
              <w:t>case_id</w:t>
            </w:r>
            <w:proofErr w:type="spellEnd"/>
            <w:r>
              <w:rPr>
                <w:rFonts w:eastAsia="Georgia" w:hAnsi="Georgia" w:cs="Georgia"/>
              </w:rPr>
              <w:t xml:space="preserve">, </w:t>
            </w:r>
            <w:proofErr w:type="spellStart"/>
            <w:r>
              <w:rPr>
                <w:rFonts w:eastAsia="Georgia" w:hAnsi="Georgia" w:cs="Georgia"/>
              </w:rPr>
              <w:t>link_reason</w:t>
            </w:r>
            <w:proofErr w:type="spellEnd"/>
            <w:r>
              <w:rPr>
                <w:rFonts w:eastAsia="Georgia" w:hAnsi="Georgia" w:cs="Georgia"/>
              </w:rPr>
              <w:t xml:space="preserve">, </w:t>
            </w:r>
            <w:proofErr w:type="spellStart"/>
            <w:r>
              <w:rPr>
                <w:rFonts w:eastAsia="Georgia" w:hAnsi="Georgia" w:cs="Georgia"/>
              </w:rPr>
              <w:t>linked_at</w:t>
            </w:r>
            <w:proofErr w:type="spellEnd"/>
          </w:p>
        </w:tc>
      </w:tr>
    </w:tbl>
    <w:p w14:paraId="2A855D73" w14:textId="77777777" w:rsidR="00F64BB2" w:rsidRDefault="00F64BB2" w:rsidP="00F64BB2"/>
    <w:p w14:paraId="595EE151" w14:textId="77777777" w:rsidR="00F64BB2" w:rsidRDefault="00F64BB2" w:rsidP="00F64BB2">
      <w:pPr>
        <w:pStyle w:val="Heading3"/>
      </w:pPr>
      <w:bookmarkStart w:id="82" w:name="frontend_requirements_module_4"/>
      <w:r>
        <w:t>Frontend Requirements (Module 4)</w:t>
      </w:r>
      <w:bookmarkEnd w:id="82"/>
    </w:p>
    <w:p w14:paraId="27F6B76B" w14:textId="77777777" w:rsidR="00F64BB2" w:rsidRDefault="00F64BB2" w:rsidP="00F64BB2">
      <w:pPr>
        <w:spacing w:after="210"/>
      </w:pPr>
      <w:r>
        <w:t>The ETL module has a lightweight admin view inside the portal for operations staff:[1][27]</w:t>
      </w:r>
    </w:p>
    <w:p w14:paraId="3EE7594A" w14:textId="77777777" w:rsidR="00F64BB2" w:rsidRDefault="00F64BB2" w:rsidP="00F64BB2">
      <w:pPr>
        <w:numPr>
          <w:ilvl w:val="0"/>
          <w:numId w:val="41"/>
        </w:numPr>
      </w:pPr>
      <w:r>
        <w:t>Pipeline run history table: status, run start/end, record counts, quality score, errors</w:t>
      </w:r>
    </w:p>
    <w:p w14:paraId="4C59486B" w14:textId="77777777" w:rsidR="00F64BB2" w:rsidRDefault="00F64BB2" w:rsidP="00F64BB2">
      <w:pPr>
        <w:numPr>
          <w:ilvl w:val="0"/>
          <w:numId w:val="41"/>
        </w:numPr>
      </w:pPr>
      <w:r>
        <w:t xml:space="preserve">Pipeline DAG viewer (read-only </w:t>
      </w:r>
      <w:proofErr w:type="spellStart"/>
      <w:r>
        <w:t>iframe</w:t>
      </w:r>
      <w:proofErr w:type="spellEnd"/>
      <w:r>
        <w:t xml:space="preserve"> or embedded Airflow UI link)</w:t>
      </w:r>
    </w:p>
    <w:p w14:paraId="183C173A" w14:textId="77777777" w:rsidR="00F64BB2" w:rsidRDefault="00F64BB2" w:rsidP="00F64BB2">
      <w:pPr>
        <w:numPr>
          <w:ilvl w:val="0"/>
          <w:numId w:val="41"/>
        </w:numPr>
      </w:pPr>
      <w:r>
        <w:t>On-demand reprocessing trigger form</w:t>
      </w:r>
    </w:p>
    <w:p w14:paraId="5453C431" w14:textId="77777777" w:rsidR="00F64BB2" w:rsidRDefault="00F64BB2" w:rsidP="00F64BB2">
      <w:pPr>
        <w:numPr>
          <w:ilvl w:val="0"/>
          <w:numId w:val="41"/>
        </w:numPr>
      </w:pPr>
      <w:r>
        <w:t>Data quality metric charts (quality score trend, reject count by source)</w:t>
      </w:r>
    </w:p>
    <w:p w14:paraId="2C9A6784" w14:textId="77777777" w:rsidR="00F64BB2" w:rsidRDefault="00F64BB2" w:rsidP="00F64BB2">
      <w:pPr>
        <w:numPr>
          <w:ilvl w:val="0"/>
          <w:numId w:val="41"/>
        </w:numPr>
      </w:pPr>
      <w:r>
        <w:t>Alert configuration for quality threshold breaches</w:t>
      </w:r>
    </w:p>
    <w:p w14:paraId="3A81F304" w14:textId="77777777" w:rsidR="00F64BB2" w:rsidRDefault="00F64BB2" w:rsidP="00F64BB2">
      <w:pPr>
        <w:pStyle w:val="Heading3"/>
      </w:pPr>
      <w:bookmarkStart w:id="83" w:name="backend_requirements_module_4"/>
      <w:r>
        <w:t>Backend Requirements (Module 4)</w:t>
      </w:r>
      <w:bookmarkEnd w:id="8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8"/>
        <w:gridCol w:w="1047"/>
        <w:gridCol w:w="5486"/>
      </w:tblGrid>
      <w:tr w:rsidR="00F64BB2" w14:paraId="5665067E" w14:textId="77777777" w:rsidTr="00074F6A">
        <w:trPr>
          <w:cantSplit/>
          <w:tblCellSpacing w:w="0" w:type="dxa"/>
          <w:jc w:val="center"/>
        </w:trPr>
        <w:tc>
          <w:tcPr>
            <w:tcW w:w="0" w:type="auto"/>
            <w:tcBorders>
              <w:top w:val="single" w:sz="1" w:space="0" w:color="000000"/>
              <w:bottom w:val="single" w:sz="1" w:space="0" w:color="000000"/>
            </w:tcBorders>
          </w:tcPr>
          <w:p w14:paraId="2654C5E8" w14:textId="77777777" w:rsidR="00F64BB2" w:rsidRDefault="00F64BB2" w:rsidP="00074F6A">
            <w:r>
              <w:t>Endpoint</w:t>
            </w:r>
          </w:p>
        </w:tc>
        <w:tc>
          <w:tcPr>
            <w:tcW w:w="0" w:type="auto"/>
            <w:tcBorders>
              <w:top w:val="single" w:sz="1" w:space="0" w:color="000000"/>
              <w:left w:val="single" w:sz="1" w:space="0" w:color="000000"/>
              <w:bottom w:val="single" w:sz="1" w:space="0" w:color="000000"/>
            </w:tcBorders>
          </w:tcPr>
          <w:p w14:paraId="1D392CE0" w14:textId="77777777" w:rsidR="00F64BB2" w:rsidRDefault="00F64BB2" w:rsidP="00074F6A">
            <w:r>
              <w:t>Method</w:t>
            </w:r>
          </w:p>
        </w:tc>
        <w:tc>
          <w:tcPr>
            <w:tcW w:w="0" w:type="auto"/>
            <w:tcBorders>
              <w:top w:val="single" w:sz="1" w:space="0" w:color="000000"/>
              <w:left w:val="single" w:sz="1" w:space="0" w:color="000000"/>
              <w:bottom w:val="single" w:sz="1" w:space="0" w:color="000000"/>
            </w:tcBorders>
          </w:tcPr>
          <w:p w14:paraId="357B4DD0" w14:textId="77777777" w:rsidR="00F64BB2" w:rsidRDefault="00F64BB2" w:rsidP="00074F6A">
            <w:r>
              <w:t>Description</w:t>
            </w:r>
          </w:p>
        </w:tc>
      </w:tr>
      <w:tr w:rsidR="00F64BB2" w14:paraId="3F612D83" w14:textId="77777777" w:rsidTr="00074F6A">
        <w:trPr>
          <w:cantSplit/>
          <w:tblCellSpacing w:w="0" w:type="dxa"/>
          <w:jc w:val="center"/>
        </w:trPr>
        <w:tc>
          <w:tcPr>
            <w:tcW w:w="0" w:type="auto"/>
            <w:tcBorders>
              <w:top w:val="single" w:sz="1" w:space="0" w:color="000000"/>
              <w:bottom w:val="single" w:sz="1" w:space="0" w:color="000000"/>
            </w:tcBorders>
          </w:tcPr>
          <w:p w14:paraId="7CB6F91F" w14:textId="77777777" w:rsidR="00F64BB2" w:rsidRDefault="00F64BB2" w:rsidP="00074F6A">
            <w:r>
              <w:rPr>
                <w:rStyle w:val="VerbatimChar"/>
                <w:rFonts w:ascii="menlo" w:eastAsia="menlo" w:hAnsi="menlo" w:cs="menlo"/>
                <w:shd w:val="clear" w:color="auto" w:fill="F8F8FA"/>
              </w:rPr>
              <w:t>/</w:t>
            </w:r>
            <w:proofErr w:type="spellStart"/>
            <w:r>
              <w:rPr>
                <w:rStyle w:val="VerbatimChar"/>
                <w:rFonts w:ascii="menlo" w:eastAsia="menlo" w:hAnsi="menlo" w:cs="menlo"/>
                <w:shd w:val="clear" w:color="auto" w:fill="F8F8FA"/>
              </w:rPr>
              <w:t>etl</w:t>
            </w:r>
            <w:proofErr w:type="spellEnd"/>
            <w:r>
              <w:rPr>
                <w:rStyle w:val="VerbatimChar"/>
                <w:rFonts w:ascii="menlo" w:eastAsia="menlo" w:hAnsi="menlo" w:cs="menlo"/>
                <w:shd w:val="clear" w:color="auto" w:fill="F8F8FA"/>
              </w:rPr>
              <w:t>/runs</w:t>
            </w:r>
          </w:p>
        </w:tc>
        <w:tc>
          <w:tcPr>
            <w:tcW w:w="0" w:type="auto"/>
            <w:tcBorders>
              <w:top w:val="single" w:sz="1" w:space="0" w:color="000000"/>
              <w:left w:val="single" w:sz="1" w:space="0" w:color="000000"/>
              <w:bottom w:val="single" w:sz="1" w:space="0" w:color="000000"/>
            </w:tcBorders>
          </w:tcPr>
          <w:p w14:paraId="128002F1"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53FD8196" w14:textId="77777777" w:rsidR="00F64BB2" w:rsidRDefault="00F64BB2" w:rsidP="00074F6A">
            <w:proofErr w:type="gramStart"/>
            <w:r>
              <w:t>List</w:t>
            </w:r>
            <w:proofErr w:type="gramEnd"/>
            <w:r>
              <w:t xml:space="preserve"> recent pipeline runs with status and quality metrics</w:t>
            </w:r>
          </w:p>
        </w:tc>
      </w:tr>
      <w:tr w:rsidR="00F64BB2" w14:paraId="749BE045" w14:textId="77777777" w:rsidTr="00074F6A">
        <w:trPr>
          <w:cantSplit/>
          <w:tblCellSpacing w:w="0" w:type="dxa"/>
          <w:jc w:val="center"/>
        </w:trPr>
        <w:tc>
          <w:tcPr>
            <w:tcW w:w="0" w:type="auto"/>
            <w:tcBorders>
              <w:top w:val="single" w:sz="1" w:space="0" w:color="000000"/>
              <w:bottom w:val="single" w:sz="1" w:space="0" w:color="000000"/>
            </w:tcBorders>
          </w:tcPr>
          <w:p w14:paraId="0E1BC226" w14:textId="77777777" w:rsidR="00F64BB2" w:rsidRDefault="00F64BB2" w:rsidP="00074F6A">
            <w:r>
              <w:rPr>
                <w:rStyle w:val="VerbatimChar"/>
                <w:rFonts w:ascii="menlo" w:eastAsia="menlo" w:hAnsi="menlo" w:cs="menlo"/>
                <w:shd w:val="clear" w:color="auto" w:fill="F8F8FA"/>
              </w:rPr>
              <w:t>/</w:t>
            </w:r>
            <w:proofErr w:type="spellStart"/>
            <w:proofErr w:type="gramStart"/>
            <w:r>
              <w:rPr>
                <w:rStyle w:val="VerbatimChar"/>
                <w:rFonts w:ascii="menlo" w:eastAsia="menlo" w:hAnsi="menlo" w:cs="menlo"/>
                <w:shd w:val="clear" w:color="auto" w:fill="F8F8FA"/>
              </w:rPr>
              <w:t>etl</w:t>
            </w:r>
            <w:proofErr w:type="spellEnd"/>
            <w:proofErr w:type="gramEnd"/>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runs/{</w:t>
            </w:r>
            <w:proofErr w:type="gramEnd"/>
            <w:r>
              <w:rPr>
                <w:rStyle w:val="VerbatimChar"/>
                <w:rFonts w:ascii="menlo" w:eastAsia="menlo" w:hAnsi="menlo" w:cs="menlo"/>
                <w:shd w:val="clear" w:color="auto" w:fill="F8F8FA"/>
              </w:rPr>
              <w:t>id}</w:t>
            </w:r>
          </w:p>
        </w:tc>
        <w:tc>
          <w:tcPr>
            <w:tcW w:w="0" w:type="auto"/>
            <w:tcBorders>
              <w:top w:val="single" w:sz="1" w:space="0" w:color="000000"/>
              <w:left w:val="single" w:sz="1" w:space="0" w:color="000000"/>
              <w:bottom w:val="single" w:sz="1" w:space="0" w:color="000000"/>
            </w:tcBorders>
          </w:tcPr>
          <w:p w14:paraId="59F3F130"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7E789FEA" w14:textId="77777777" w:rsidR="00F64BB2" w:rsidRDefault="00F64BB2" w:rsidP="00074F6A">
            <w:proofErr w:type="gramStart"/>
            <w:r>
              <w:t>Detail</w:t>
            </w:r>
            <w:proofErr w:type="gramEnd"/>
            <w:r>
              <w:t xml:space="preserve"> for a specific pipeline run</w:t>
            </w:r>
          </w:p>
        </w:tc>
      </w:tr>
      <w:tr w:rsidR="00F64BB2" w14:paraId="511C2515" w14:textId="77777777" w:rsidTr="00074F6A">
        <w:trPr>
          <w:cantSplit/>
          <w:tblCellSpacing w:w="0" w:type="dxa"/>
          <w:jc w:val="center"/>
        </w:trPr>
        <w:tc>
          <w:tcPr>
            <w:tcW w:w="0" w:type="auto"/>
            <w:tcBorders>
              <w:top w:val="single" w:sz="1" w:space="0" w:color="000000"/>
              <w:bottom w:val="single" w:sz="1" w:space="0" w:color="000000"/>
            </w:tcBorders>
          </w:tcPr>
          <w:p w14:paraId="1AF7B878" w14:textId="77777777" w:rsidR="00F64BB2" w:rsidRDefault="00F64BB2" w:rsidP="00074F6A">
            <w:r>
              <w:rPr>
                <w:rStyle w:val="VerbatimChar"/>
                <w:rFonts w:ascii="menlo" w:eastAsia="menlo" w:hAnsi="menlo" w:cs="menlo"/>
                <w:shd w:val="clear" w:color="auto" w:fill="F8F8FA"/>
              </w:rPr>
              <w:lastRenderedPageBreak/>
              <w:t>/</w:t>
            </w:r>
            <w:proofErr w:type="spellStart"/>
            <w:r>
              <w:rPr>
                <w:rStyle w:val="VerbatimChar"/>
                <w:rFonts w:ascii="menlo" w:eastAsia="menlo" w:hAnsi="menlo" w:cs="menlo"/>
                <w:shd w:val="clear" w:color="auto" w:fill="F8F8FA"/>
              </w:rPr>
              <w:t>etl</w:t>
            </w:r>
            <w:proofErr w:type="spellEnd"/>
            <w:r>
              <w:rPr>
                <w:rStyle w:val="VerbatimChar"/>
                <w:rFonts w:ascii="menlo" w:eastAsia="menlo" w:hAnsi="menlo" w:cs="menlo"/>
                <w:shd w:val="clear" w:color="auto" w:fill="F8F8FA"/>
              </w:rPr>
              <w:t>/reprocess</w:t>
            </w:r>
          </w:p>
        </w:tc>
        <w:tc>
          <w:tcPr>
            <w:tcW w:w="0" w:type="auto"/>
            <w:tcBorders>
              <w:top w:val="single" w:sz="1" w:space="0" w:color="000000"/>
              <w:left w:val="single" w:sz="1" w:space="0" w:color="000000"/>
              <w:bottom w:val="single" w:sz="1" w:space="0" w:color="000000"/>
            </w:tcBorders>
          </w:tcPr>
          <w:p w14:paraId="2C6CA1BF" w14:textId="77777777" w:rsidR="00F64BB2" w:rsidRDefault="00F64BB2" w:rsidP="00074F6A">
            <w:r>
              <w:t>POST</w:t>
            </w:r>
          </w:p>
        </w:tc>
        <w:tc>
          <w:tcPr>
            <w:tcW w:w="0" w:type="auto"/>
            <w:tcBorders>
              <w:top w:val="single" w:sz="1" w:space="0" w:color="000000"/>
              <w:left w:val="single" w:sz="1" w:space="0" w:color="000000"/>
              <w:bottom w:val="single" w:sz="1" w:space="0" w:color="000000"/>
            </w:tcBorders>
          </w:tcPr>
          <w:p w14:paraId="5E85E12B" w14:textId="77777777" w:rsidR="00F64BB2" w:rsidRDefault="00F64BB2" w:rsidP="00074F6A">
            <w:r>
              <w:t>Trigger reprocessing of a time window or source</w:t>
            </w:r>
          </w:p>
        </w:tc>
      </w:tr>
      <w:tr w:rsidR="00F64BB2" w14:paraId="5D600FFD" w14:textId="77777777" w:rsidTr="00074F6A">
        <w:trPr>
          <w:cantSplit/>
          <w:tblCellSpacing w:w="0" w:type="dxa"/>
          <w:jc w:val="center"/>
        </w:trPr>
        <w:tc>
          <w:tcPr>
            <w:tcW w:w="0" w:type="auto"/>
            <w:tcBorders>
              <w:top w:val="single" w:sz="1" w:space="0" w:color="000000"/>
              <w:bottom w:val="single" w:sz="1" w:space="0" w:color="000000"/>
            </w:tcBorders>
          </w:tcPr>
          <w:p w14:paraId="3FC77723" w14:textId="77777777" w:rsidR="00F64BB2" w:rsidRDefault="00F64BB2" w:rsidP="00074F6A">
            <w:r>
              <w:rPr>
                <w:rStyle w:val="VerbatimChar"/>
                <w:rFonts w:ascii="menlo" w:eastAsia="menlo" w:hAnsi="menlo" w:cs="menlo"/>
                <w:shd w:val="clear" w:color="auto" w:fill="F8F8FA"/>
              </w:rPr>
              <w:t>/</w:t>
            </w:r>
            <w:proofErr w:type="spellStart"/>
            <w:r>
              <w:rPr>
                <w:rStyle w:val="VerbatimChar"/>
                <w:rFonts w:ascii="menlo" w:eastAsia="menlo" w:hAnsi="menlo" w:cs="menlo"/>
                <w:shd w:val="clear" w:color="auto" w:fill="F8F8FA"/>
              </w:rPr>
              <w:t>etl</w:t>
            </w:r>
            <w:proofErr w:type="spellEnd"/>
            <w:r>
              <w:rPr>
                <w:rStyle w:val="VerbatimChar"/>
                <w:rFonts w:ascii="menlo" w:eastAsia="menlo" w:hAnsi="menlo" w:cs="menlo"/>
                <w:shd w:val="clear" w:color="auto" w:fill="F8F8FA"/>
              </w:rPr>
              <w:t>/quality</w:t>
            </w:r>
          </w:p>
        </w:tc>
        <w:tc>
          <w:tcPr>
            <w:tcW w:w="0" w:type="auto"/>
            <w:tcBorders>
              <w:top w:val="single" w:sz="1" w:space="0" w:color="000000"/>
              <w:left w:val="single" w:sz="1" w:space="0" w:color="000000"/>
              <w:bottom w:val="single" w:sz="1" w:space="0" w:color="000000"/>
            </w:tcBorders>
          </w:tcPr>
          <w:p w14:paraId="623251C1"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3F77435D" w14:textId="77777777" w:rsidR="00F64BB2" w:rsidRDefault="00F64BB2" w:rsidP="00074F6A">
            <w:r>
              <w:t>Current and historical quality metrics</w:t>
            </w:r>
          </w:p>
        </w:tc>
      </w:tr>
      <w:tr w:rsidR="00F64BB2" w14:paraId="2D748D8F" w14:textId="77777777" w:rsidTr="00074F6A">
        <w:trPr>
          <w:cantSplit/>
          <w:tblCellSpacing w:w="0" w:type="dxa"/>
          <w:jc w:val="center"/>
        </w:trPr>
        <w:tc>
          <w:tcPr>
            <w:tcW w:w="0" w:type="auto"/>
            <w:tcBorders>
              <w:top w:val="single" w:sz="1" w:space="0" w:color="000000"/>
              <w:bottom w:val="single" w:sz="1" w:space="0" w:color="000000"/>
            </w:tcBorders>
          </w:tcPr>
          <w:p w14:paraId="49524882" w14:textId="77777777" w:rsidR="00F64BB2" w:rsidRDefault="00F64BB2" w:rsidP="00074F6A">
            <w:r>
              <w:rPr>
                <w:rStyle w:val="VerbatimChar"/>
                <w:rFonts w:ascii="menlo" w:eastAsia="menlo" w:hAnsi="menlo" w:cs="menlo"/>
                <w:shd w:val="clear" w:color="auto" w:fill="F8F8FA"/>
              </w:rPr>
              <w:t>/</w:t>
            </w:r>
            <w:proofErr w:type="spellStart"/>
            <w:r>
              <w:rPr>
                <w:rStyle w:val="VerbatimChar"/>
                <w:rFonts w:ascii="menlo" w:eastAsia="menlo" w:hAnsi="menlo" w:cs="menlo"/>
                <w:shd w:val="clear" w:color="auto" w:fill="F8F8FA"/>
              </w:rPr>
              <w:t>etl</w:t>
            </w:r>
            <w:proofErr w:type="spellEnd"/>
            <w:r>
              <w:rPr>
                <w:rStyle w:val="VerbatimChar"/>
                <w:rFonts w:ascii="menlo" w:eastAsia="menlo" w:hAnsi="menlo" w:cs="menlo"/>
                <w:shd w:val="clear" w:color="auto" w:fill="F8F8FA"/>
              </w:rPr>
              <w:t>/graph/status</w:t>
            </w:r>
          </w:p>
        </w:tc>
        <w:tc>
          <w:tcPr>
            <w:tcW w:w="0" w:type="auto"/>
            <w:tcBorders>
              <w:top w:val="single" w:sz="1" w:space="0" w:color="000000"/>
              <w:left w:val="single" w:sz="1" w:space="0" w:color="000000"/>
              <w:bottom w:val="single" w:sz="1" w:space="0" w:color="000000"/>
            </w:tcBorders>
          </w:tcPr>
          <w:p w14:paraId="74B476C5" w14:textId="77777777" w:rsidR="00F64BB2" w:rsidRDefault="00F64BB2" w:rsidP="00074F6A">
            <w:r>
              <w:t>GET</w:t>
            </w:r>
          </w:p>
        </w:tc>
        <w:tc>
          <w:tcPr>
            <w:tcW w:w="0" w:type="auto"/>
            <w:tcBorders>
              <w:top w:val="single" w:sz="1" w:space="0" w:color="000000"/>
              <w:left w:val="single" w:sz="1" w:space="0" w:color="000000"/>
              <w:bottom w:val="single" w:sz="1" w:space="0" w:color="000000"/>
            </w:tcBorders>
          </w:tcPr>
          <w:p w14:paraId="4A3D51B6" w14:textId="77777777" w:rsidR="00F64BB2" w:rsidRDefault="00F64BB2" w:rsidP="00074F6A">
            <w:r>
              <w:t>Graph projection lag, last sync, vertex/edge counts</w:t>
            </w:r>
          </w:p>
        </w:tc>
      </w:tr>
    </w:tbl>
    <w:p w14:paraId="6B6763A4" w14:textId="77777777" w:rsidR="00F64BB2" w:rsidRDefault="00F64BB2" w:rsidP="00F64BB2"/>
    <w:p w14:paraId="7866695C" w14:textId="77777777" w:rsidR="00F64BB2" w:rsidRDefault="00F64BB2" w:rsidP="00F64BB2">
      <w:r>
        <w:rPr>
          <w:noProof/>
        </w:rPr>
        <w:pict w14:anchorId="26E35DCC">
          <v:rect id="_x0000_i1043" alt="" style="width:434.5pt;height:.05pt;mso-width-percent:0;mso-height-percent:0;mso-width-percent:0;mso-height-percent:0" o:hralign="center" o:hrstd="t" o:hr="t"/>
        </w:pict>
      </w:r>
    </w:p>
    <w:p w14:paraId="0BE4E616" w14:textId="77777777" w:rsidR="00F64BB2" w:rsidRDefault="00F64BB2" w:rsidP="00F64BB2">
      <w:pPr>
        <w:pStyle w:val="Heading2"/>
      </w:pPr>
      <w:bookmarkStart w:id="84" w:name="non_functional_requirements"/>
      <w:r>
        <w:t>Non-Functional Requirements</w:t>
      </w:r>
      <w:bookmarkEnd w:id="84"/>
    </w:p>
    <w:p w14:paraId="675B909D" w14:textId="77777777" w:rsidR="00F64BB2" w:rsidRDefault="00F64BB2" w:rsidP="00F64BB2">
      <w:pPr>
        <w:pStyle w:val="Heading3"/>
      </w:pPr>
      <w:bookmarkStart w:id="85" w:name="performance"/>
      <w:r>
        <w:t>Performance</w:t>
      </w:r>
      <w:bookmarkEnd w:id="8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37"/>
        <w:gridCol w:w="2611"/>
        <w:gridCol w:w="4356"/>
      </w:tblGrid>
      <w:tr w:rsidR="00F64BB2" w14:paraId="19616B2B" w14:textId="77777777" w:rsidTr="00074F6A">
        <w:trPr>
          <w:cantSplit/>
          <w:tblCellSpacing w:w="0" w:type="dxa"/>
          <w:jc w:val="center"/>
        </w:trPr>
        <w:tc>
          <w:tcPr>
            <w:tcW w:w="0" w:type="auto"/>
            <w:tcBorders>
              <w:top w:val="single" w:sz="1" w:space="0" w:color="000000"/>
              <w:bottom w:val="single" w:sz="1" w:space="0" w:color="000000"/>
            </w:tcBorders>
          </w:tcPr>
          <w:p w14:paraId="3EC7C0D6" w14:textId="77777777" w:rsidR="00F64BB2" w:rsidRDefault="00F64BB2" w:rsidP="00074F6A">
            <w:r>
              <w:t>Requirement</w:t>
            </w:r>
          </w:p>
        </w:tc>
        <w:tc>
          <w:tcPr>
            <w:tcW w:w="0" w:type="auto"/>
            <w:tcBorders>
              <w:top w:val="single" w:sz="1" w:space="0" w:color="000000"/>
              <w:left w:val="single" w:sz="1" w:space="0" w:color="000000"/>
              <w:bottom w:val="single" w:sz="1" w:space="0" w:color="000000"/>
            </w:tcBorders>
          </w:tcPr>
          <w:p w14:paraId="103D9781" w14:textId="77777777" w:rsidR="00F64BB2" w:rsidRDefault="00F64BB2" w:rsidP="00074F6A">
            <w:r>
              <w:t>Target</w:t>
            </w:r>
          </w:p>
        </w:tc>
        <w:tc>
          <w:tcPr>
            <w:tcW w:w="0" w:type="auto"/>
            <w:tcBorders>
              <w:top w:val="single" w:sz="1" w:space="0" w:color="000000"/>
              <w:left w:val="single" w:sz="1" w:space="0" w:color="000000"/>
              <w:bottom w:val="single" w:sz="1" w:space="0" w:color="000000"/>
            </w:tcBorders>
          </w:tcPr>
          <w:p w14:paraId="25E9E776" w14:textId="77777777" w:rsidR="00F64BB2" w:rsidRDefault="00F64BB2" w:rsidP="00074F6A">
            <w:r>
              <w:t>Rationale</w:t>
            </w:r>
          </w:p>
        </w:tc>
      </w:tr>
      <w:tr w:rsidR="00F64BB2" w14:paraId="63F1B08D" w14:textId="77777777" w:rsidTr="00074F6A">
        <w:trPr>
          <w:cantSplit/>
          <w:tblCellSpacing w:w="0" w:type="dxa"/>
          <w:jc w:val="center"/>
        </w:trPr>
        <w:tc>
          <w:tcPr>
            <w:tcW w:w="0" w:type="auto"/>
            <w:tcBorders>
              <w:top w:val="single" w:sz="1" w:space="0" w:color="000000"/>
              <w:bottom w:val="single" w:sz="1" w:space="0" w:color="000000"/>
            </w:tcBorders>
          </w:tcPr>
          <w:p w14:paraId="4959072B" w14:textId="77777777" w:rsidR="00F64BB2" w:rsidRDefault="00F64BB2" w:rsidP="00074F6A">
            <w:r>
              <w:t>Dashboard KPI load time</w:t>
            </w:r>
          </w:p>
        </w:tc>
        <w:tc>
          <w:tcPr>
            <w:tcW w:w="0" w:type="auto"/>
            <w:tcBorders>
              <w:top w:val="single" w:sz="1" w:space="0" w:color="000000"/>
              <w:left w:val="single" w:sz="1" w:space="0" w:color="000000"/>
              <w:bottom w:val="single" w:sz="1" w:space="0" w:color="000000"/>
            </w:tcBorders>
          </w:tcPr>
          <w:p w14:paraId="7774DF73" w14:textId="77777777" w:rsidR="00F64BB2" w:rsidRDefault="00F64BB2" w:rsidP="00074F6A">
            <w:r>
              <w:t>&lt; 2 seconds for initial render</w:t>
            </w:r>
          </w:p>
        </w:tc>
        <w:tc>
          <w:tcPr>
            <w:tcW w:w="0" w:type="auto"/>
            <w:tcBorders>
              <w:top w:val="single" w:sz="1" w:space="0" w:color="000000"/>
              <w:left w:val="single" w:sz="1" w:space="0" w:color="000000"/>
              <w:bottom w:val="single" w:sz="1" w:space="0" w:color="000000"/>
            </w:tcBorders>
          </w:tcPr>
          <w:p w14:paraId="59AD2F05" w14:textId="77777777" w:rsidR="00F64BB2" w:rsidRDefault="00F64BB2" w:rsidP="00074F6A">
            <w:r>
              <w:t xml:space="preserve">AML dashboards must support real-time risk monitoring without perceived </w:t>
            </w:r>
            <w:proofErr w:type="gramStart"/>
            <w:r>
              <w:t>lag[</w:t>
            </w:r>
            <w:proofErr w:type="gramEnd"/>
            <w:r>
              <w:t>6][9]</w:t>
            </w:r>
          </w:p>
        </w:tc>
      </w:tr>
      <w:tr w:rsidR="00F64BB2" w14:paraId="76C59B0A" w14:textId="77777777" w:rsidTr="00074F6A">
        <w:trPr>
          <w:cantSplit/>
          <w:tblCellSpacing w:w="0" w:type="dxa"/>
          <w:jc w:val="center"/>
        </w:trPr>
        <w:tc>
          <w:tcPr>
            <w:tcW w:w="0" w:type="auto"/>
            <w:tcBorders>
              <w:top w:val="single" w:sz="1" w:space="0" w:color="000000"/>
              <w:bottom w:val="single" w:sz="1" w:space="0" w:color="000000"/>
            </w:tcBorders>
          </w:tcPr>
          <w:p w14:paraId="4A0EF3FA" w14:textId="77777777" w:rsidR="00F64BB2" w:rsidRDefault="00F64BB2" w:rsidP="00074F6A">
            <w:r>
              <w:t>API response time (p95) for read endpoints</w:t>
            </w:r>
          </w:p>
        </w:tc>
        <w:tc>
          <w:tcPr>
            <w:tcW w:w="0" w:type="auto"/>
            <w:tcBorders>
              <w:top w:val="single" w:sz="1" w:space="0" w:color="000000"/>
              <w:left w:val="single" w:sz="1" w:space="0" w:color="000000"/>
              <w:bottom w:val="single" w:sz="1" w:space="0" w:color="000000"/>
            </w:tcBorders>
          </w:tcPr>
          <w:p w14:paraId="3AB2A718" w14:textId="77777777" w:rsidR="00F64BB2" w:rsidRDefault="00F64BB2" w:rsidP="00074F6A">
            <w:r>
              <w:t xml:space="preserve">&lt; 500 </w:t>
            </w:r>
            <w:proofErr w:type="spellStart"/>
            <w:r>
              <w:t>ms</w:t>
            </w:r>
            <w:proofErr w:type="spellEnd"/>
          </w:p>
        </w:tc>
        <w:tc>
          <w:tcPr>
            <w:tcW w:w="0" w:type="auto"/>
            <w:tcBorders>
              <w:top w:val="single" w:sz="1" w:space="0" w:color="000000"/>
              <w:left w:val="single" w:sz="1" w:space="0" w:color="000000"/>
              <w:bottom w:val="single" w:sz="1" w:space="0" w:color="000000"/>
            </w:tcBorders>
          </w:tcPr>
          <w:p w14:paraId="72C1256C" w14:textId="77777777" w:rsidR="00F64BB2" w:rsidRDefault="00F64BB2" w:rsidP="00074F6A">
            <w:r>
              <w:t xml:space="preserve">Consistent with sanctions screening API </w:t>
            </w:r>
            <w:proofErr w:type="gramStart"/>
            <w:r>
              <w:t>benchmarks[</w:t>
            </w:r>
            <w:proofErr w:type="gramEnd"/>
            <w:r>
              <w:t>40]</w:t>
            </w:r>
          </w:p>
        </w:tc>
      </w:tr>
      <w:tr w:rsidR="00F64BB2" w14:paraId="758F81A8" w14:textId="77777777" w:rsidTr="00074F6A">
        <w:trPr>
          <w:cantSplit/>
          <w:tblCellSpacing w:w="0" w:type="dxa"/>
          <w:jc w:val="center"/>
        </w:trPr>
        <w:tc>
          <w:tcPr>
            <w:tcW w:w="0" w:type="auto"/>
            <w:tcBorders>
              <w:top w:val="single" w:sz="1" w:space="0" w:color="000000"/>
              <w:bottom w:val="single" w:sz="1" w:space="0" w:color="000000"/>
            </w:tcBorders>
          </w:tcPr>
          <w:p w14:paraId="15D9C3C0" w14:textId="77777777" w:rsidR="00F64BB2" w:rsidRDefault="00F64BB2" w:rsidP="00074F6A">
            <w:r>
              <w:t>Graph neighborhood query (2 hops, &lt; 500 nodes)</w:t>
            </w:r>
          </w:p>
        </w:tc>
        <w:tc>
          <w:tcPr>
            <w:tcW w:w="0" w:type="auto"/>
            <w:tcBorders>
              <w:top w:val="single" w:sz="1" w:space="0" w:color="000000"/>
              <w:left w:val="single" w:sz="1" w:space="0" w:color="000000"/>
              <w:bottom w:val="single" w:sz="1" w:space="0" w:color="000000"/>
            </w:tcBorders>
          </w:tcPr>
          <w:p w14:paraId="5E374CA1" w14:textId="77777777" w:rsidR="00F64BB2" w:rsidRDefault="00F64BB2" w:rsidP="00074F6A">
            <w:r>
              <w:t>&lt; 1 second</w:t>
            </w:r>
          </w:p>
        </w:tc>
        <w:tc>
          <w:tcPr>
            <w:tcW w:w="0" w:type="auto"/>
            <w:tcBorders>
              <w:top w:val="single" w:sz="1" w:space="0" w:color="000000"/>
              <w:left w:val="single" w:sz="1" w:space="0" w:color="000000"/>
              <w:bottom w:val="single" w:sz="1" w:space="0" w:color="000000"/>
            </w:tcBorders>
          </w:tcPr>
          <w:p w14:paraId="0A8398F4" w14:textId="77777777" w:rsidR="00F64BB2" w:rsidRDefault="00F64BB2" w:rsidP="00074F6A">
            <w:r>
              <w:t xml:space="preserve">Investigator productivity requires low-latency graph </w:t>
            </w:r>
            <w:proofErr w:type="gramStart"/>
            <w:r>
              <w:t>expansion[</w:t>
            </w:r>
            <w:proofErr w:type="gramEnd"/>
            <w:r>
              <w:t>20]</w:t>
            </w:r>
          </w:p>
        </w:tc>
      </w:tr>
      <w:tr w:rsidR="00F64BB2" w14:paraId="22A6F67F" w14:textId="77777777" w:rsidTr="00074F6A">
        <w:trPr>
          <w:cantSplit/>
          <w:tblCellSpacing w:w="0" w:type="dxa"/>
          <w:jc w:val="center"/>
        </w:trPr>
        <w:tc>
          <w:tcPr>
            <w:tcW w:w="0" w:type="auto"/>
            <w:tcBorders>
              <w:top w:val="single" w:sz="1" w:space="0" w:color="000000"/>
              <w:bottom w:val="single" w:sz="1" w:space="0" w:color="000000"/>
            </w:tcBorders>
          </w:tcPr>
          <w:p w14:paraId="1D6E1301" w14:textId="77777777" w:rsidR="00F64BB2" w:rsidRDefault="00F64BB2" w:rsidP="00074F6A">
            <w:r>
              <w:t>Transaction ingestion throughput</w:t>
            </w:r>
          </w:p>
        </w:tc>
        <w:tc>
          <w:tcPr>
            <w:tcW w:w="0" w:type="auto"/>
            <w:tcBorders>
              <w:top w:val="single" w:sz="1" w:space="0" w:color="000000"/>
              <w:left w:val="single" w:sz="1" w:space="0" w:color="000000"/>
              <w:bottom w:val="single" w:sz="1" w:space="0" w:color="000000"/>
            </w:tcBorders>
          </w:tcPr>
          <w:p w14:paraId="22DBC257" w14:textId="77777777" w:rsidR="00F64BB2" w:rsidRDefault="00F64BB2" w:rsidP="00074F6A">
            <w:r>
              <w:rPr>
                <w:rFonts w:eastAsia="Georgia" w:hAnsi="Georgia" w:cs="Georgia"/>
              </w:rPr>
              <w:t>≥ 2.4 million records/hour</w:t>
            </w:r>
          </w:p>
        </w:tc>
        <w:tc>
          <w:tcPr>
            <w:tcW w:w="0" w:type="auto"/>
            <w:tcBorders>
              <w:top w:val="single" w:sz="1" w:space="0" w:color="000000"/>
              <w:left w:val="single" w:sz="1" w:space="0" w:color="000000"/>
              <w:bottom w:val="single" w:sz="1" w:space="0" w:color="000000"/>
            </w:tcBorders>
          </w:tcPr>
          <w:p w14:paraId="63BB4730" w14:textId="77777777" w:rsidR="00F64BB2" w:rsidRDefault="00F64BB2" w:rsidP="00074F6A">
            <w:r>
              <w:t xml:space="preserve">Benchmark from scalable ETL pipeline research on 850M-record </w:t>
            </w:r>
            <w:proofErr w:type="gramStart"/>
            <w:r>
              <w:t>datasets[</w:t>
            </w:r>
            <w:proofErr w:type="gramEnd"/>
            <w:r>
              <w:t>28]</w:t>
            </w:r>
          </w:p>
        </w:tc>
      </w:tr>
      <w:tr w:rsidR="00F64BB2" w14:paraId="414C7034" w14:textId="77777777" w:rsidTr="00074F6A">
        <w:trPr>
          <w:cantSplit/>
          <w:tblCellSpacing w:w="0" w:type="dxa"/>
          <w:jc w:val="center"/>
        </w:trPr>
        <w:tc>
          <w:tcPr>
            <w:tcW w:w="0" w:type="auto"/>
            <w:tcBorders>
              <w:top w:val="single" w:sz="1" w:space="0" w:color="000000"/>
              <w:bottom w:val="single" w:sz="1" w:space="0" w:color="000000"/>
            </w:tcBorders>
          </w:tcPr>
          <w:p w14:paraId="7A4B3BDA" w14:textId="77777777" w:rsidR="00F64BB2" w:rsidRDefault="00F64BB2" w:rsidP="00074F6A">
            <w:r>
              <w:t>Streaming graph update lag</w:t>
            </w:r>
          </w:p>
        </w:tc>
        <w:tc>
          <w:tcPr>
            <w:tcW w:w="0" w:type="auto"/>
            <w:tcBorders>
              <w:top w:val="single" w:sz="1" w:space="0" w:color="000000"/>
              <w:left w:val="single" w:sz="1" w:space="0" w:color="000000"/>
              <w:bottom w:val="single" w:sz="1" w:space="0" w:color="000000"/>
            </w:tcBorders>
          </w:tcPr>
          <w:p w14:paraId="3344129B" w14:textId="77777777" w:rsidR="00F64BB2" w:rsidRDefault="00F64BB2" w:rsidP="00074F6A">
            <w:r>
              <w:t>&lt; 5 seconds from transaction arrival to AGE projection</w:t>
            </w:r>
          </w:p>
        </w:tc>
        <w:tc>
          <w:tcPr>
            <w:tcW w:w="0" w:type="auto"/>
            <w:tcBorders>
              <w:top w:val="single" w:sz="1" w:space="0" w:color="000000"/>
              <w:left w:val="single" w:sz="1" w:space="0" w:color="000000"/>
              <w:bottom w:val="single" w:sz="1" w:space="0" w:color="000000"/>
            </w:tcBorders>
          </w:tcPr>
          <w:p w14:paraId="558A9A40" w14:textId="77777777" w:rsidR="00F64BB2" w:rsidRDefault="00F64BB2" w:rsidP="00074F6A">
            <w:r>
              <w:t xml:space="preserve">Consistent with streaming ingestion latency targets in ETL </w:t>
            </w:r>
            <w:proofErr w:type="gramStart"/>
            <w:r>
              <w:t>literature[</w:t>
            </w:r>
            <w:proofErr w:type="gramEnd"/>
            <w:r>
              <w:t>28]</w:t>
            </w:r>
          </w:p>
        </w:tc>
      </w:tr>
      <w:tr w:rsidR="00F64BB2" w14:paraId="49E2AF0D" w14:textId="77777777" w:rsidTr="00074F6A">
        <w:trPr>
          <w:cantSplit/>
          <w:tblCellSpacing w:w="0" w:type="dxa"/>
          <w:jc w:val="center"/>
        </w:trPr>
        <w:tc>
          <w:tcPr>
            <w:tcW w:w="0" w:type="auto"/>
            <w:tcBorders>
              <w:top w:val="single" w:sz="1" w:space="0" w:color="000000"/>
              <w:bottom w:val="single" w:sz="1" w:space="0" w:color="000000"/>
            </w:tcBorders>
          </w:tcPr>
          <w:p w14:paraId="2C794466" w14:textId="77777777" w:rsidR="00F64BB2" w:rsidRDefault="00F64BB2" w:rsidP="00074F6A">
            <w:r>
              <w:t>Real-time scoring budget</w:t>
            </w:r>
          </w:p>
        </w:tc>
        <w:tc>
          <w:tcPr>
            <w:tcW w:w="0" w:type="auto"/>
            <w:tcBorders>
              <w:top w:val="single" w:sz="1" w:space="0" w:color="000000"/>
              <w:left w:val="single" w:sz="1" w:space="0" w:color="000000"/>
              <w:bottom w:val="single" w:sz="1" w:space="0" w:color="000000"/>
            </w:tcBorders>
          </w:tcPr>
          <w:p w14:paraId="4341B7CC" w14:textId="77777777" w:rsidR="00F64BB2" w:rsidRDefault="00F64BB2" w:rsidP="00074F6A">
            <w:r>
              <w:rPr>
                <w:rFonts w:eastAsia="Georgia" w:hAnsi="Georgia" w:cs="Georgia"/>
              </w:rPr>
              <w:t xml:space="preserve">≤ 100 </w:t>
            </w:r>
            <w:proofErr w:type="spellStart"/>
            <w:r>
              <w:rPr>
                <w:rFonts w:eastAsia="Georgia" w:hAnsi="Georgia" w:cs="Georgia"/>
              </w:rPr>
              <w:t>ms</w:t>
            </w:r>
            <w:proofErr w:type="spellEnd"/>
            <w:r>
              <w:rPr>
                <w:rFonts w:eastAsia="Georgia" w:hAnsi="Georgia" w:cs="Georgia"/>
              </w:rPr>
              <w:t xml:space="preserve"> total per transaction, ML model ≤ 50 </w:t>
            </w:r>
            <w:proofErr w:type="spellStart"/>
            <w:r>
              <w:rPr>
                <w:rFonts w:eastAsia="Georgia" w:hAnsi="Georgia" w:cs="Georgia"/>
              </w:rPr>
              <w:t>ms</w:t>
            </w:r>
            <w:proofErr w:type="spellEnd"/>
          </w:p>
        </w:tc>
        <w:tc>
          <w:tcPr>
            <w:tcW w:w="0" w:type="auto"/>
            <w:tcBorders>
              <w:top w:val="single" w:sz="1" w:space="0" w:color="000000"/>
              <w:left w:val="single" w:sz="1" w:space="0" w:color="000000"/>
              <w:bottom w:val="single" w:sz="1" w:space="0" w:color="000000"/>
            </w:tcBorders>
          </w:tcPr>
          <w:p w14:paraId="4B34F688" w14:textId="77777777" w:rsidR="00F64BB2" w:rsidRDefault="00F64BB2" w:rsidP="00074F6A">
            <w:r>
              <w:t xml:space="preserve">Industry benchmark for payment authorization </w:t>
            </w:r>
            <w:proofErr w:type="gramStart"/>
            <w:r>
              <w:t>pipelines[</w:t>
            </w:r>
            <w:proofErr w:type="gramEnd"/>
            <w:r>
              <w:t>41]</w:t>
            </w:r>
          </w:p>
        </w:tc>
      </w:tr>
      <w:tr w:rsidR="00F64BB2" w14:paraId="56309482" w14:textId="77777777" w:rsidTr="00074F6A">
        <w:trPr>
          <w:cantSplit/>
          <w:tblCellSpacing w:w="0" w:type="dxa"/>
          <w:jc w:val="center"/>
        </w:trPr>
        <w:tc>
          <w:tcPr>
            <w:tcW w:w="0" w:type="auto"/>
            <w:tcBorders>
              <w:top w:val="single" w:sz="1" w:space="0" w:color="000000"/>
              <w:bottom w:val="single" w:sz="1" w:space="0" w:color="000000"/>
            </w:tcBorders>
          </w:tcPr>
          <w:p w14:paraId="186251ED" w14:textId="77777777" w:rsidR="00F64BB2" w:rsidRDefault="00F64BB2" w:rsidP="00074F6A">
            <w:r>
              <w:t>Cytoscape.js canvas render (1,000 elements)</w:t>
            </w:r>
          </w:p>
        </w:tc>
        <w:tc>
          <w:tcPr>
            <w:tcW w:w="0" w:type="auto"/>
            <w:tcBorders>
              <w:top w:val="single" w:sz="1" w:space="0" w:color="000000"/>
              <w:left w:val="single" w:sz="1" w:space="0" w:color="000000"/>
              <w:bottom w:val="single" w:sz="1" w:space="0" w:color="000000"/>
            </w:tcBorders>
          </w:tcPr>
          <w:p w14:paraId="0EEDC086" w14:textId="77777777" w:rsidR="00F64BB2" w:rsidRDefault="00F64BB2" w:rsidP="00074F6A">
            <w:r>
              <w:t>&lt; 3 seconds on average hardware</w:t>
            </w:r>
          </w:p>
        </w:tc>
        <w:tc>
          <w:tcPr>
            <w:tcW w:w="0" w:type="auto"/>
            <w:tcBorders>
              <w:top w:val="single" w:sz="1" w:space="0" w:color="000000"/>
              <w:left w:val="single" w:sz="1" w:space="0" w:color="000000"/>
              <w:bottom w:val="single" w:sz="1" w:space="0" w:color="000000"/>
            </w:tcBorders>
          </w:tcPr>
          <w:p w14:paraId="51FF9CD6" w14:textId="77777777" w:rsidR="00F64BB2" w:rsidRDefault="00F64BB2" w:rsidP="00074F6A">
            <w:r>
              <w:t xml:space="preserve">Cytoscape.js comfortably renders thousands of elements; complex styles and large viewports increase </w:t>
            </w:r>
            <w:proofErr w:type="gramStart"/>
            <w:r>
              <w:t>cost[</w:t>
            </w:r>
            <w:proofErr w:type="gramEnd"/>
            <w:r>
              <w:t>22][23]</w:t>
            </w:r>
          </w:p>
        </w:tc>
      </w:tr>
      <w:tr w:rsidR="00F64BB2" w14:paraId="305A8437" w14:textId="77777777" w:rsidTr="00074F6A">
        <w:trPr>
          <w:cantSplit/>
          <w:tblCellSpacing w:w="0" w:type="dxa"/>
          <w:jc w:val="center"/>
        </w:trPr>
        <w:tc>
          <w:tcPr>
            <w:tcW w:w="0" w:type="auto"/>
            <w:tcBorders>
              <w:top w:val="single" w:sz="1" w:space="0" w:color="000000"/>
              <w:bottom w:val="single" w:sz="1" w:space="0" w:color="000000"/>
            </w:tcBorders>
          </w:tcPr>
          <w:p w14:paraId="20BE261B" w14:textId="77777777" w:rsidR="00F64BB2" w:rsidRDefault="00F64BB2" w:rsidP="00074F6A">
            <w:r>
              <w:t>Case queue load (</w:t>
            </w:r>
            <w:proofErr w:type="spellStart"/>
            <w:r>
              <w:t>TanStack</w:t>
            </w:r>
            <w:proofErr w:type="spellEnd"/>
            <w:r>
              <w:t xml:space="preserve"> Table, 500 rows)</w:t>
            </w:r>
          </w:p>
        </w:tc>
        <w:tc>
          <w:tcPr>
            <w:tcW w:w="0" w:type="auto"/>
            <w:tcBorders>
              <w:top w:val="single" w:sz="1" w:space="0" w:color="000000"/>
              <w:left w:val="single" w:sz="1" w:space="0" w:color="000000"/>
              <w:bottom w:val="single" w:sz="1" w:space="0" w:color="000000"/>
            </w:tcBorders>
          </w:tcPr>
          <w:p w14:paraId="39C89C58" w14:textId="77777777" w:rsidR="00F64BB2" w:rsidRDefault="00F64BB2" w:rsidP="00074F6A">
            <w:r>
              <w:t>&lt; 1 second</w:t>
            </w:r>
          </w:p>
        </w:tc>
        <w:tc>
          <w:tcPr>
            <w:tcW w:w="0" w:type="auto"/>
            <w:tcBorders>
              <w:top w:val="single" w:sz="1" w:space="0" w:color="000000"/>
              <w:left w:val="single" w:sz="1" w:space="0" w:color="000000"/>
              <w:bottom w:val="single" w:sz="1" w:space="0" w:color="000000"/>
            </w:tcBorders>
          </w:tcPr>
          <w:p w14:paraId="6022C132" w14:textId="77777777" w:rsidR="00F64BB2" w:rsidRDefault="00F64BB2" w:rsidP="00074F6A">
            <w:r>
              <w:t>Dense investigator UI must not slow analyst throughput</w:t>
            </w:r>
          </w:p>
        </w:tc>
      </w:tr>
    </w:tbl>
    <w:p w14:paraId="1B8EFEC9" w14:textId="77777777" w:rsidR="00F64BB2" w:rsidRDefault="00F64BB2" w:rsidP="00F64BB2"/>
    <w:p w14:paraId="57D11F76" w14:textId="77777777" w:rsidR="00F64BB2" w:rsidRDefault="00F64BB2" w:rsidP="00F64BB2">
      <w:pPr>
        <w:pStyle w:val="Heading3"/>
      </w:pPr>
      <w:bookmarkStart w:id="86" w:name="scalability"/>
      <w:r>
        <w:t>Scalability</w:t>
      </w:r>
      <w:bookmarkEnd w:id="86"/>
    </w:p>
    <w:p w14:paraId="0CB0E5C9" w14:textId="77777777" w:rsidR="00F64BB2" w:rsidRDefault="00F64BB2" w:rsidP="00F64BB2">
      <w:pPr>
        <w:numPr>
          <w:ilvl w:val="0"/>
          <w:numId w:val="42"/>
        </w:numPr>
      </w:pPr>
      <w:r>
        <w:t>The system must scale horizontally to support a 10x increase in transaction volume without architectural changes to the core pipeline.[28][30]</w:t>
      </w:r>
    </w:p>
    <w:p w14:paraId="796C036B" w14:textId="77777777" w:rsidR="00F64BB2" w:rsidRDefault="00F64BB2" w:rsidP="00F64BB2">
      <w:pPr>
        <w:numPr>
          <w:ilvl w:val="0"/>
          <w:numId w:val="42"/>
        </w:numPr>
      </w:pPr>
      <w:r>
        <w:t xml:space="preserve">The </w:t>
      </w:r>
      <w:proofErr w:type="spellStart"/>
      <w:r>
        <w:t>FastAPI</w:t>
      </w:r>
      <w:proofErr w:type="spellEnd"/>
      <w:r>
        <w:t xml:space="preserve"> backend must support stateless deployment with multiple replicas behind a load balancer.</w:t>
      </w:r>
    </w:p>
    <w:p w14:paraId="3FCC10F0" w14:textId="77777777" w:rsidR="00F64BB2" w:rsidRDefault="00F64BB2" w:rsidP="00F64BB2">
      <w:pPr>
        <w:numPr>
          <w:ilvl w:val="0"/>
          <w:numId w:val="42"/>
        </w:numPr>
      </w:pPr>
      <w:r>
        <w:t>The graph layer must support progressive subgraph expansion and server-side layout computation for graphs exceeding 1,000 elements to avoid browser-side performance degradation.[23][24]</w:t>
      </w:r>
    </w:p>
    <w:p w14:paraId="12B2A4C7" w14:textId="77777777" w:rsidR="00F64BB2" w:rsidRDefault="00F64BB2" w:rsidP="00F64BB2">
      <w:pPr>
        <w:numPr>
          <w:ilvl w:val="0"/>
          <w:numId w:val="42"/>
        </w:numPr>
      </w:pPr>
      <w:r>
        <w:t>Apache Airflow DAGs must support concurrent execution with configurable parallelism per DAG and task pool.</w:t>
      </w:r>
    </w:p>
    <w:p w14:paraId="6A6814BF" w14:textId="77777777" w:rsidR="00F64BB2" w:rsidRDefault="00F64BB2" w:rsidP="00F64BB2">
      <w:pPr>
        <w:numPr>
          <w:ilvl w:val="0"/>
          <w:numId w:val="42"/>
        </w:numPr>
      </w:pPr>
      <w:r>
        <w:lastRenderedPageBreak/>
        <w:t>PostgreSQL must be deployed with read replicas for query-heavy analytics endpoints to isolate reporting load from transactional write paths.</w:t>
      </w:r>
    </w:p>
    <w:p w14:paraId="35F0D4E7" w14:textId="77777777" w:rsidR="00F64BB2" w:rsidRDefault="00F64BB2" w:rsidP="00F64BB2">
      <w:pPr>
        <w:pStyle w:val="Heading3"/>
      </w:pPr>
      <w:bookmarkStart w:id="87" w:name="availability_and_reliability"/>
      <w:r>
        <w:t>Availability and Reliability</w:t>
      </w:r>
      <w:bookmarkEnd w:id="8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91"/>
        <w:gridCol w:w="5284"/>
      </w:tblGrid>
      <w:tr w:rsidR="00F64BB2" w14:paraId="38B73DE2" w14:textId="77777777" w:rsidTr="00074F6A">
        <w:trPr>
          <w:cantSplit/>
          <w:tblCellSpacing w:w="0" w:type="dxa"/>
          <w:jc w:val="center"/>
        </w:trPr>
        <w:tc>
          <w:tcPr>
            <w:tcW w:w="0" w:type="auto"/>
            <w:tcBorders>
              <w:top w:val="single" w:sz="1" w:space="0" w:color="000000"/>
              <w:bottom w:val="single" w:sz="1" w:space="0" w:color="000000"/>
            </w:tcBorders>
          </w:tcPr>
          <w:p w14:paraId="732482DF" w14:textId="77777777" w:rsidR="00F64BB2" w:rsidRDefault="00F64BB2" w:rsidP="00074F6A">
            <w:r>
              <w:t>Requirement</w:t>
            </w:r>
          </w:p>
        </w:tc>
        <w:tc>
          <w:tcPr>
            <w:tcW w:w="0" w:type="auto"/>
            <w:tcBorders>
              <w:top w:val="single" w:sz="1" w:space="0" w:color="000000"/>
              <w:left w:val="single" w:sz="1" w:space="0" w:color="000000"/>
              <w:bottom w:val="single" w:sz="1" w:space="0" w:color="000000"/>
            </w:tcBorders>
          </w:tcPr>
          <w:p w14:paraId="5ABDA6DC" w14:textId="77777777" w:rsidR="00F64BB2" w:rsidRDefault="00F64BB2" w:rsidP="00074F6A">
            <w:r>
              <w:t>Target</w:t>
            </w:r>
          </w:p>
        </w:tc>
      </w:tr>
      <w:tr w:rsidR="00F64BB2" w14:paraId="022023ED" w14:textId="77777777" w:rsidTr="00074F6A">
        <w:trPr>
          <w:cantSplit/>
          <w:tblCellSpacing w:w="0" w:type="dxa"/>
          <w:jc w:val="center"/>
        </w:trPr>
        <w:tc>
          <w:tcPr>
            <w:tcW w:w="0" w:type="auto"/>
            <w:tcBorders>
              <w:top w:val="single" w:sz="1" w:space="0" w:color="000000"/>
              <w:bottom w:val="single" w:sz="1" w:space="0" w:color="000000"/>
            </w:tcBorders>
          </w:tcPr>
          <w:p w14:paraId="68CDD985" w14:textId="77777777" w:rsidR="00F64BB2" w:rsidRDefault="00F64BB2" w:rsidP="00074F6A">
            <w:r>
              <w:t>Core portal uptime</w:t>
            </w:r>
          </w:p>
        </w:tc>
        <w:tc>
          <w:tcPr>
            <w:tcW w:w="0" w:type="auto"/>
            <w:tcBorders>
              <w:top w:val="single" w:sz="1" w:space="0" w:color="000000"/>
              <w:left w:val="single" w:sz="1" w:space="0" w:color="000000"/>
              <w:bottom w:val="single" w:sz="1" w:space="0" w:color="000000"/>
            </w:tcBorders>
          </w:tcPr>
          <w:p w14:paraId="3C1EBC07" w14:textId="77777777" w:rsidR="00F64BB2" w:rsidRDefault="00F64BB2" w:rsidP="00074F6A">
            <w:r>
              <w:t>99.95% (&lt; 4.4 hours downtime annually)</w:t>
            </w:r>
          </w:p>
        </w:tc>
      </w:tr>
      <w:tr w:rsidR="00F64BB2" w14:paraId="2A686763" w14:textId="77777777" w:rsidTr="00074F6A">
        <w:trPr>
          <w:cantSplit/>
          <w:tblCellSpacing w:w="0" w:type="dxa"/>
          <w:jc w:val="center"/>
        </w:trPr>
        <w:tc>
          <w:tcPr>
            <w:tcW w:w="0" w:type="auto"/>
            <w:tcBorders>
              <w:top w:val="single" w:sz="1" w:space="0" w:color="000000"/>
              <w:bottom w:val="single" w:sz="1" w:space="0" w:color="000000"/>
            </w:tcBorders>
          </w:tcPr>
          <w:p w14:paraId="260EE43C" w14:textId="77777777" w:rsidR="00F64BB2" w:rsidRDefault="00F64BB2" w:rsidP="00074F6A">
            <w:r>
              <w:t>Transaction ingestion pipeline</w:t>
            </w:r>
          </w:p>
        </w:tc>
        <w:tc>
          <w:tcPr>
            <w:tcW w:w="0" w:type="auto"/>
            <w:tcBorders>
              <w:top w:val="single" w:sz="1" w:space="0" w:color="000000"/>
              <w:left w:val="single" w:sz="1" w:space="0" w:color="000000"/>
              <w:bottom w:val="single" w:sz="1" w:space="0" w:color="000000"/>
            </w:tcBorders>
          </w:tcPr>
          <w:p w14:paraId="2456A0ED" w14:textId="77777777" w:rsidR="00F64BB2" w:rsidRDefault="00F64BB2" w:rsidP="00074F6A">
            <w:r>
              <w:t>99.9% (&lt; 9 hours downtime annually)</w:t>
            </w:r>
          </w:p>
        </w:tc>
      </w:tr>
      <w:tr w:rsidR="00F64BB2" w14:paraId="78B0E441" w14:textId="77777777" w:rsidTr="00074F6A">
        <w:trPr>
          <w:cantSplit/>
          <w:tblCellSpacing w:w="0" w:type="dxa"/>
          <w:jc w:val="center"/>
        </w:trPr>
        <w:tc>
          <w:tcPr>
            <w:tcW w:w="0" w:type="auto"/>
            <w:tcBorders>
              <w:top w:val="single" w:sz="1" w:space="0" w:color="000000"/>
              <w:bottom w:val="single" w:sz="1" w:space="0" w:color="000000"/>
            </w:tcBorders>
          </w:tcPr>
          <w:p w14:paraId="0252F8CA" w14:textId="77777777" w:rsidR="00F64BB2" w:rsidRDefault="00F64BB2" w:rsidP="00074F6A">
            <w:r>
              <w:t>Planned maintenance window</w:t>
            </w:r>
          </w:p>
        </w:tc>
        <w:tc>
          <w:tcPr>
            <w:tcW w:w="0" w:type="auto"/>
            <w:tcBorders>
              <w:top w:val="single" w:sz="1" w:space="0" w:color="000000"/>
              <w:left w:val="single" w:sz="1" w:space="0" w:color="000000"/>
              <w:bottom w:val="single" w:sz="1" w:space="0" w:color="000000"/>
            </w:tcBorders>
          </w:tcPr>
          <w:p w14:paraId="441F1D39" w14:textId="77777777" w:rsidR="00F64BB2" w:rsidRDefault="00F64BB2" w:rsidP="00074F6A">
            <w:r>
              <w:t>Maximum 2 hours per month, outside business hours</w:t>
            </w:r>
          </w:p>
        </w:tc>
      </w:tr>
      <w:tr w:rsidR="00F64BB2" w14:paraId="6B18427E" w14:textId="77777777" w:rsidTr="00074F6A">
        <w:trPr>
          <w:cantSplit/>
          <w:tblCellSpacing w:w="0" w:type="dxa"/>
          <w:jc w:val="center"/>
        </w:trPr>
        <w:tc>
          <w:tcPr>
            <w:tcW w:w="0" w:type="auto"/>
            <w:tcBorders>
              <w:top w:val="single" w:sz="1" w:space="0" w:color="000000"/>
              <w:bottom w:val="single" w:sz="1" w:space="0" w:color="000000"/>
            </w:tcBorders>
          </w:tcPr>
          <w:p w14:paraId="35318C92" w14:textId="77777777" w:rsidR="00F64BB2" w:rsidRDefault="00F64BB2" w:rsidP="00074F6A">
            <w:r>
              <w:t>RTO (Recovery Time Objective)</w:t>
            </w:r>
          </w:p>
        </w:tc>
        <w:tc>
          <w:tcPr>
            <w:tcW w:w="0" w:type="auto"/>
            <w:tcBorders>
              <w:top w:val="single" w:sz="1" w:space="0" w:color="000000"/>
              <w:left w:val="single" w:sz="1" w:space="0" w:color="000000"/>
              <w:bottom w:val="single" w:sz="1" w:space="0" w:color="000000"/>
            </w:tcBorders>
          </w:tcPr>
          <w:p w14:paraId="48EA99BA" w14:textId="77777777" w:rsidR="00F64BB2" w:rsidRDefault="00F64BB2" w:rsidP="00074F6A">
            <w:r>
              <w:t>&lt; 1 hour for critical services</w:t>
            </w:r>
          </w:p>
        </w:tc>
      </w:tr>
      <w:tr w:rsidR="00F64BB2" w14:paraId="6B10DB48" w14:textId="77777777" w:rsidTr="00074F6A">
        <w:trPr>
          <w:cantSplit/>
          <w:tblCellSpacing w:w="0" w:type="dxa"/>
          <w:jc w:val="center"/>
        </w:trPr>
        <w:tc>
          <w:tcPr>
            <w:tcW w:w="0" w:type="auto"/>
            <w:tcBorders>
              <w:top w:val="single" w:sz="1" w:space="0" w:color="000000"/>
              <w:bottom w:val="single" w:sz="1" w:space="0" w:color="000000"/>
            </w:tcBorders>
          </w:tcPr>
          <w:p w14:paraId="1CBBD862" w14:textId="77777777" w:rsidR="00F64BB2" w:rsidRDefault="00F64BB2" w:rsidP="00074F6A">
            <w:r>
              <w:t>RPO (Recovery Point Objective)</w:t>
            </w:r>
          </w:p>
        </w:tc>
        <w:tc>
          <w:tcPr>
            <w:tcW w:w="0" w:type="auto"/>
            <w:tcBorders>
              <w:top w:val="single" w:sz="1" w:space="0" w:color="000000"/>
              <w:left w:val="single" w:sz="1" w:space="0" w:color="000000"/>
              <w:bottom w:val="single" w:sz="1" w:space="0" w:color="000000"/>
            </w:tcBorders>
          </w:tcPr>
          <w:p w14:paraId="6D68DDC6" w14:textId="77777777" w:rsidR="00F64BB2" w:rsidRDefault="00F64BB2" w:rsidP="00074F6A">
            <w:r>
              <w:t>&lt; 15 minutes for transaction data</w:t>
            </w:r>
          </w:p>
        </w:tc>
      </w:tr>
    </w:tbl>
    <w:p w14:paraId="00B937CB" w14:textId="77777777" w:rsidR="00F64BB2" w:rsidRDefault="00F64BB2" w:rsidP="00F64BB2"/>
    <w:p w14:paraId="5C9E2A1B" w14:textId="77777777" w:rsidR="00F64BB2" w:rsidRDefault="00F64BB2" w:rsidP="00F64BB2">
      <w:pPr>
        <w:spacing w:after="210"/>
      </w:pPr>
      <w:r>
        <w:t>Consistent with financial application uptime guidance requiring 99.99% for payment gateways and payment authorization pipelines.[42][41]</w:t>
      </w:r>
    </w:p>
    <w:p w14:paraId="3AC232F7" w14:textId="77777777" w:rsidR="00F64BB2" w:rsidRDefault="00F64BB2" w:rsidP="00F64BB2">
      <w:pPr>
        <w:pStyle w:val="Heading3"/>
      </w:pPr>
      <w:bookmarkStart w:id="88" w:name="security"/>
      <w:r>
        <w:t>Security</w:t>
      </w:r>
      <w:bookmarkEnd w:id="8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33"/>
        <w:gridCol w:w="7471"/>
      </w:tblGrid>
      <w:tr w:rsidR="00F64BB2" w14:paraId="7ADC49BA" w14:textId="77777777" w:rsidTr="00074F6A">
        <w:trPr>
          <w:cantSplit/>
          <w:tblCellSpacing w:w="0" w:type="dxa"/>
          <w:jc w:val="center"/>
        </w:trPr>
        <w:tc>
          <w:tcPr>
            <w:tcW w:w="0" w:type="auto"/>
            <w:tcBorders>
              <w:top w:val="single" w:sz="1" w:space="0" w:color="000000"/>
              <w:bottom w:val="single" w:sz="1" w:space="0" w:color="000000"/>
            </w:tcBorders>
          </w:tcPr>
          <w:p w14:paraId="4729F4EA" w14:textId="77777777" w:rsidR="00F64BB2" w:rsidRDefault="00F64BB2" w:rsidP="00074F6A">
            <w:r>
              <w:t>Requirement</w:t>
            </w:r>
          </w:p>
        </w:tc>
        <w:tc>
          <w:tcPr>
            <w:tcW w:w="0" w:type="auto"/>
            <w:tcBorders>
              <w:top w:val="single" w:sz="1" w:space="0" w:color="000000"/>
              <w:left w:val="single" w:sz="1" w:space="0" w:color="000000"/>
              <w:bottom w:val="single" w:sz="1" w:space="0" w:color="000000"/>
            </w:tcBorders>
          </w:tcPr>
          <w:p w14:paraId="2FA57DEA" w14:textId="77777777" w:rsidR="00F64BB2" w:rsidRDefault="00F64BB2" w:rsidP="00074F6A">
            <w:r>
              <w:t>Detail</w:t>
            </w:r>
          </w:p>
        </w:tc>
      </w:tr>
      <w:tr w:rsidR="00F64BB2" w14:paraId="689BFB69" w14:textId="77777777" w:rsidTr="00074F6A">
        <w:trPr>
          <w:cantSplit/>
          <w:tblCellSpacing w:w="0" w:type="dxa"/>
          <w:jc w:val="center"/>
        </w:trPr>
        <w:tc>
          <w:tcPr>
            <w:tcW w:w="0" w:type="auto"/>
            <w:tcBorders>
              <w:top w:val="single" w:sz="1" w:space="0" w:color="000000"/>
              <w:bottom w:val="single" w:sz="1" w:space="0" w:color="000000"/>
            </w:tcBorders>
          </w:tcPr>
          <w:p w14:paraId="70056EF6" w14:textId="77777777" w:rsidR="00F64BB2" w:rsidRDefault="00F64BB2" w:rsidP="00074F6A">
            <w:r>
              <w:t>Transport encryption</w:t>
            </w:r>
          </w:p>
        </w:tc>
        <w:tc>
          <w:tcPr>
            <w:tcW w:w="0" w:type="auto"/>
            <w:tcBorders>
              <w:top w:val="single" w:sz="1" w:space="0" w:color="000000"/>
              <w:left w:val="single" w:sz="1" w:space="0" w:color="000000"/>
              <w:bottom w:val="single" w:sz="1" w:space="0" w:color="000000"/>
            </w:tcBorders>
          </w:tcPr>
          <w:p w14:paraId="1B7EC017" w14:textId="77777777" w:rsidR="00F64BB2" w:rsidRDefault="00F64BB2" w:rsidP="00074F6A">
            <w:r>
              <w:t xml:space="preserve">TLS 1.2+ enforced for all API, UI, and database </w:t>
            </w:r>
            <w:proofErr w:type="gramStart"/>
            <w:r>
              <w:t>traffic[</w:t>
            </w:r>
            <w:proofErr w:type="gramEnd"/>
            <w:r>
              <w:t>43][44]</w:t>
            </w:r>
          </w:p>
        </w:tc>
      </w:tr>
      <w:tr w:rsidR="00F64BB2" w14:paraId="4D305B28" w14:textId="77777777" w:rsidTr="00074F6A">
        <w:trPr>
          <w:cantSplit/>
          <w:tblCellSpacing w:w="0" w:type="dxa"/>
          <w:jc w:val="center"/>
        </w:trPr>
        <w:tc>
          <w:tcPr>
            <w:tcW w:w="0" w:type="auto"/>
            <w:tcBorders>
              <w:top w:val="single" w:sz="1" w:space="0" w:color="000000"/>
              <w:bottom w:val="single" w:sz="1" w:space="0" w:color="000000"/>
            </w:tcBorders>
          </w:tcPr>
          <w:p w14:paraId="4308C8CE" w14:textId="77777777" w:rsidR="00F64BB2" w:rsidRDefault="00F64BB2" w:rsidP="00074F6A">
            <w:r>
              <w:t>Authentication</w:t>
            </w:r>
          </w:p>
        </w:tc>
        <w:tc>
          <w:tcPr>
            <w:tcW w:w="0" w:type="auto"/>
            <w:tcBorders>
              <w:top w:val="single" w:sz="1" w:space="0" w:color="000000"/>
              <w:left w:val="single" w:sz="1" w:space="0" w:color="000000"/>
              <w:bottom w:val="single" w:sz="1" w:space="0" w:color="000000"/>
            </w:tcBorders>
          </w:tcPr>
          <w:p w14:paraId="430C62A0" w14:textId="77777777" w:rsidR="00F64BB2" w:rsidRDefault="00F64BB2" w:rsidP="00074F6A">
            <w:r>
              <w:t xml:space="preserve">OAuth2 / OpenID Connect with JWT; MFA required for all users; managed via </w:t>
            </w:r>
            <w:proofErr w:type="spellStart"/>
            <w:proofErr w:type="gramStart"/>
            <w:r>
              <w:t>Keycloak</w:t>
            </w:r>
            <w:proofErr w:type="spellEnd"/>
            <w:r>
              <w:t>[</w:t>
            </w:r>
            <w:proofErr w:type="gramEnd"/>
            <w:r>
              <w:t>45][44]</w:t>
            </w:r>
          </w:p>
        </w:tc>
      </w:tr>
      <w:tr w:rsidR="00F64BB2" w14:paraId="28CAB688" w14:textId="77777777" w:rsidTr="00074F6A">
        <w:trPr>
          <w:cantSplit/>
          <w:tblCellSpacing w:w="0" w:type="dxa"/>
          <w:jc w:val="center"/>
        </w:trPr>
        <w:tc>
          <w:tcPr>
            <w:tcW w:w="0" w:type="auto"/>
            <w:tcBorders>
              <w:top w:val="single" w:sz="1" w:space="0" w:color="000000"/>
              <w:bottom w:val="single" w:sz="1" w:space="0" w:color="000000"/>
            </w:tcBorders>
          </w:tcPr>
          <w:p w14:paraId="5325EEDD" w14:textId="77777777" w:rsidR="00F64BB2" w:rsidRDefault="00F64BB2" w:rsidP="00074F6A">
            <w:r>
              <w:t>Authorization</w:t>
            </w:r>
          </w:p>
        </w:tc>
        <w:tc>
          <w:tcPr>
            <w:tcW w:w="0" w:type="auto"/>
            <w:tcBorders>
              <w:top w:val="single" w:sz="1" w:space="0" w:color="000000"/>
              <w:left w:val="single" w:sz="1" w:space="0" w:color="000000"/>
              <w:bottom w:val="single" w:sz="1" w:space="0" w:color="000000"/>
            </w:tcBorders>
          </w:tcPr>
          <w:p w14:paraId="71496C40" w14:textId="77777777" w:rsidR="00F64BB2" w:rsidRDefault="00F64BB2" w:rsidP="00074F6A">
            <w:r>
              <w:t xml:space="preserve">RBAC enforced at API layer before any database or graph operation; least-privilege database roles per </w:t>
            </w:r>
            <w:proofErr w:type="gramStart"/>
            <w:r>
              <w:t>service[</w:t>
            </w:r>
            <w:proofErr w:type="gramEnd"/>
            <w:r>
              <w:t>46][3]</w:t>
            </w:r>
          </w:p>
        </w:tc>
      </w:tr>
      <w:tr w:rsidR="00F64BB2" w14:paraId="4527787D" w14:textId="77777777" w:rsidTr="00074F6A">
        <w:trPr>
          <w:cantSplit/>
          <w:tblCellSpacing w:w="0" w:type="dxa"/>
          <w:jc w:val="center"/>
        </w:trPr>
        <w:tc>
          <w:tcPr>
            <w:tcW w:w="0" w:type="auto"/>
            <w:tcBorders>
              <w:top w:val="single" w:sz="1" w:space="0" w:color="000000"/>
              <w:bottom w:val="single" w:sz="1" w:space="0" w:color="000000"/>
            </w:tcBorders>
          </w:tcPr>
          <w:p w14:paraId="03C94CD0" w14:textId="77777777" w:rsidR="00F64BB2" w:rsidRDefault="00F64BB2" w:rsidP="00074F6A">
            <w:r>
              <w:t>Session management</w:t>
            </w:r>
          </w:p>
        </w:tc>
        <w:tc>
          <w:tcPr>
            <w:tcW w:w="0" w:type="auto"/>
            <w:tcBorders>
              <w:top w:val="single" w:sz="1" w:space="0" w:color="000000"/>
              <w:left w:val="single" w:sz="1" w:space="0" w:color="000000"/>
              <w:bottom w:val="single" w:sz="1" w:space="0" w:color="000000"/>
            </w:tcBorders>
          </w:tcPr>
          <w:p w14:paraId="5C946D06" w14:textId="77777777" w:rsidR="00F64BB2" w:rsidRDefault="00F64BB2" w:rsidP="00074F6A">
            <w:r>
              <w:rPr>
                <w:rFonts w:eastAsia="Georgia" w:hAnsi="Georgia" w:cs="Georgia"/>
              </w:rPr>
              <w:t xml:space="preserve">Token expiry ≤ 1 hour; refresh token rotation; revocation on </w:t>
            </w:r>
            <w:proofErr w:type="gramStart"/>
            <w:r>
              <w:rPr>
                <w:rFonts w:eastAsia="Georgia" w:hAnsi="Georgia" w:cs="Georgia"/>
              </w:rPr>
              <w:t>logout[</w:t>
            </w:r>
            <w:proofErr w:type="gramEnd"/>
            <w:r>
              <w:rPr>
                <w:rFonts w:eastAsia="Georgia" w:hAnsi="Georgia" w:cs="Georgia"/>
              </w:rPr>
              <w:t>44]</w:t>
            </w:r>
          </w:p>
        </w:tc>
      </w:tr>
      <w:tr w:rsidR="00F64BB2" w14:paraId="71D075DB" w14:textId="77777777" w:rsidTr="00074F6A">
        <w:trPr>
          <w:cantSplit/>
          <w:tblCellSpacing w:w="0" w:type="dxa"/>
          <w:jc w:val="center"/>
        </w:trPr>
        <w:tc>
          <w:tcPr>
            <w:tcW w:w="0" w:type="auto"/>
            <w:tcBorders>
              <w:top w:val="single" w:sz="1" w:space="0" w:color="000000"/>
              <w:bottom w:val="single" w:sz="1" w:space="0" w:color="000000"/>
            </w:tcBorders>
          </w:tcPr>
          <w:p w14:paraId="1646302D" w14:textId="77777777" w:rsidR="00F64BB2" w:rsidRDefault="00F64BB2" w:rsidP="00074F6A">
            <w:r>
              <w:t>Data at rest</w:t>
            </w:r>
          </w:p>
        </w:tc>
        <w:tc>
          <w:tcPr>
            <w:tcW w:w="0" w:type="auto"/>
            <w:tcBorders>
              <w:top w:val="single" w:sz="1" w:space="0" w:color="000000"/>
              <w:left w:val="single" w:sz="1" w:space="0" w:color="000000"/>
              <w:bottom w:val="single" w:sz="1" w:space="0" w:color="000000"/>
            </w:tcBorders>
          </w:tcPr>
          <w:p w14:paraId="1DB2DCE1" w14:textId="77777777" w:rsidR="00F64BB2" w:rsidRDefault="00F64BB2" w:rsidP="00074F6A">
            <w:r>
              <w:t xml:space="preserve">AES-256 encryption for database volumes and file </w:t>
            </w:r>
            <w:proofErr w:type="gramStart"/>
            <w:r>
              <w:t>attachments[</w:t>
            </w:r>
            <w:proofErr w:type="gramEnd"/>
            <w:r>
              <w:t>42]</w:t>
            </w:r>
          </w:p>
        </w:tc>
      </w:tr>
      <w:tr w:rsidR="00F64BB2" w14:paraId="0EA5EA7B" w14:textId="77777777" w:rsidTr="00074F6A">
        <w:trPr>
          <w:cantSplit/>
          <w:tblCellSpacing w:w="0" w:type="dxa"/>
          <w:jc w:val="center"/>
        </w:trPr>
        <w:tc>
          <w:tcPr>
            <w:tcW w:w="0" w:type="auto"/>
            <w:tcBorders>
              <w:top w:val="single" w:sz="1" w:space="0" w:color="000000"/>
              <w:bottom w:val="single" w:sz="1" w:space="0" w:color="000000"/>
            </w:tcBorders>
          </w:tcPr>
          <w:p w14:paraId="654655C2" w14:textId="77777777" w:rsidR="00F64BB2" w:rsidRDefault="00F64BB2" w:rsidP="00074F6A">
            <w:r>
              <w:t>Input validation</w:t>
            </w:r>
          </w:p>
        </w:tc>
        <w:tc>
          <w:tcPr>
            <w:tcW w:w="0" w:type="auto"/>
            <w:tcBorders>
              <w:top w:val="single" w:sz="1" w:space="0" w:color="000000"/>
              <w:left w:val="single" w:sz="1" w:space="0" w:color="000000"/>
              <w:bottom w:val="single" w:sz="1" w:space="0" w:color="000000"/>
            </w:tcBorders>
          </w:tcPr>
          <w:p w14:paraId="5654CF6A" w14:textId="77777777" w:rsidR="00F64BB2" w:rsidRDefault="00F64BB2" w:rsidP="00074F6A">
            <w:r>
              <w:t xml:space="preserve">All API inputs validated with </w:t>
            </w:r>
            <w:proofErr w:type="spellStart"/>
            <w:r>
              <w:t>Pydantic</w:t>
            </w:r>
            <w:proofErr w:type="spellEnd"/>
            <w:r>
              <w:t xml:space="preserve"> at </w:t>
            </w:r>
            <w:proofErr w:type="spellStart"/>
            <w:r>
              <w:t>FastAPI</w:t>
            </w:r>
            <w:proofErr w:type="spellEnd"/>
            <w:r>
              <w:t xml:space="preserve"> layer; parameterized Cypher queries only (no string </w:t>
            </w:r>
            <w:proofErr w:type="gramStart"/>
            <w:r>
              <w:t>interpolation)[</w:t>
            </w:r>
            <w:proofErr w:type="gramEnd"/>
            <w:r>
              <w:t>47][44]</w:t>
            </w:r>
          </w:p>
        </w:tc>
      </w:tr>
      <w:tr w:rsidR="00F64BB2" w14:paraId="5E631328" w14:textId="77777777" w:rsidTr="00074F6A">
        <w:trPr>
          <w:cantSplit/>
          <w:tblCellSpacing w:w="0" w:type="dxa"/>
          <w:jc w:val="center"/>
        </w:trPr>
        <w:tc>
          <w:tcPr>
            <w:tcW w:w="0" w:type="auto"/>
            <w:tcBorders>
              <w:top w:val="single" w:sz="1" w:space="0" w:color="000000"/>
              <w:bottom w:val="single" w:sz="1" w:space="0" w:color="000000"/>
            </w:tcBorders>
          </w:tcPr>
          <w:p w14:paraId="0E21236A" w14:textId="77777777" w:rsidR="00F64BB2" w:rsidRDefault="00F64BB2" w:rsidP="00074F6A">
            <w:r>
              <w:t>Secret management</w:t>
            </w:r>
          </w:p>
        </w:tc>
        <w:tc>
          <w:tcPr>
            <w:tcW w:w="0" w:type="auto"/>
            <w:tcBorders>
              <w:top w:val="single" w:sz="1" w:space="0" w:color="000000"/>
              <w:left w:val="single" w:sz="1" w:space="0" w:color="000000"/>
              <w:bottom w:val="single" w:sz="1" w:space="0" w:color="000000"/>
            </w:tcBorders>
          </w:tcPr>
          <w:p w14:paraId="28584BDD" w14:textId="77777777" w:rsidR="00F64BB2" w:rsidRDefault="00F64BB2" w:rsidP="00074F6A">
            <w:r>
              <w:t xml:space="preserve">Credentials injected via environment variables or secrets manager (Vault / AWS Secrets Manager); no hardcoded </w:t>
            </w:r>
            <w:proofErr w:type="gramStart"/>
            <w:r>
              <w:t>credentials[</w:t>
            </w:r>
            <w:proofErr w:type="gramEnd"/>
            <w:r>
              <w:t>48][44]</w:t>
            </w:r>
          </w:p>
        </w:tc>
      </w:tr>
      <w:tr w:rsidR="00F64BB2" w14:paraId="7177EDE5" w14:textId="77777777" w:rsidTr="00074F6A">
        <w:trPr>
          <w:cantSplit/>
          <w:tblCellSpacing w:w="0" w:type="dxa"/>
          <w:jc w:val="center"/>
        </w:trPr>
        <w:tc>
          <w:tcPr>
            <w:tcW w:w="0" w:type="auto"/>
            <w:tcBorders>
              <w:top w:val="single" w:sz="1" w:space="0" w:color="000000"/>
              <w:bottom w:val="single" w:sz="1" w:space="0" w:color="000000"/>
            </w:tcBorders>
          </w:tcPr>
          <w:p w14:paraId="19E2D660" w14:textId="77777777" w:rsidR="00F64BB2" w:rsidRDefault="00F64BB2" w:rsidP="00074F6A">
            <w:r>
              <w:t>Rate limiting</w:t>
            </w:r>
          </w:p>
        </w:tc>
        <w:tc>
          <w:tcPr>
            <w:tcW w:w="0" w:type="auto"/>
            <w:tcBorders>
              <w:top w:val="single" w:sz="1" w:space="0" w:color="000000"/>
              <w:left w:val="single" w:sz="1" w:space="0" w:color="000000"/>
              <w:bottom w:val="single" w:sz="1" w:space="0" w:color="000000"/>
            </w:tcBorders>
          </w:tcPr>
          <w:p w14:paraId="2E46E97B" w14:textId="77777777" w:rsidR="00F64BB2" w:rsidRDefault="00F64BB2" w:rsidP="00074F6A">
            <w:r>
              <w:t xml:space="preserve">Applied at API gateway level; per-IP and per-user limits to prevent brute force and API </w:t>
            </w:r>
            <w:proofErr w:type="gramStart"/>
            <w:r>
              <w:t>abuse[</w:t>
            </w:r>
            <w:proofErr w:type="gramEnd"/>
            <w:r>
              <w:t>44]</w:t>
            </w:r>
          </w:p>
        </w:tc>
      </w:tr>
      <w:tr w:rsidR="00F64BB2" w14:paraId="5D08001A" w14:textId="77777777" w:rsidTr="00074F6A">
        <w:trPr>
          <w:cantSplit/>
          <w:tblCellSpacing w:w="0" w:type="dxa"/>
          <w:jc w:val="center"/>
        </w:trPr>
        <w:tc>
          <w:tcPr>
            <w:tcW w:w="0" w:type="auto"/>
            <w:tcBorders>
              <w:top w:val="single" w:sz="1" w:space="0" w:color="000000"/>
              <w:bottom w:val="single" w:sz="1" w:space="0" w:color="000000"/>
            </w:tcBorders>
          </w:tcPr>
          <w:p w14:paraId="20EE5EB5" w14:textId="77777777" w:rsidR="00F64BB2" w:rsidRDefault="00F64BB2" w:rsidP="00074F6A">
            <w:r>
              <w:t>CORS</w:t>
            </w:r>
          </w:p>
        </w:tc>
        <w:tc>
          <w:tcPr>
            <w:tcW w:w="0" w:type="auto"/>
            <w:tcBorders>
              <w:top w:val="single" w:sz="1" w:space="0" w:color="000000"/>
              <w:left w:val="single" w:sz="1" w:space="0" w:color="000000"/>
              <w:bottom w:val="single" w:sz="1" w:space="0" w:color="000000"/>
            </w:tcBorders>
          </w:tcPr>
          <w:p w14:paraId="73B40A9C" w14:textId="77777777" w:rsidR="00F64BB2" w:rsidRDefault="00F64BB2" w:rsidP="00074F6A">
            <w:r>
              <w:t xml:space="preserve">Strict allowlist limited to portal frontend </w:t>
            </w:r>
            <w:proofErr w:type="gramStart"/>
            <w:r>
              <w:t>origin[</w:t>
            </w:r>
            <w:proofErr w:type="gramEnd"/>
            <w:r>
              <w:t>44]</w:t>
            </w:r>
          </w:p>
        </w:tc>
      </w:tr>
      <w:tr w:rsidR="00F64BB2" w14:paraId="2AB98641" w14:textId="77777777" w:rsidTr="00074F6A">
        <w:trPr>
          <w:cantSplit/>
          <w:tblCellSpacing w:w="0" w:type="dxa"/>
          <w:jc w:val="center"/>
        </w:trPr>
        <w:tc>
          <w:tcPr>
            <w:tcW w:w="0" w:type="auto"/>
            <w:tcBorders>
              <w:top w:val="single" w:sz="1" w:space="0" w:color="000000"/>
              <w:bottom w:val="single" w:sz="1" w:space="0" w:color="000000"/>
            </w:tcBorders>
          </w:tcPr>
          <w:p w14:paraId="16F8C1FC" w14:textId="77777777" w:rsidR="00F64BB2" w:rsidRDefault="00F64BB2" w:rsidP="00074F6A">
            <w:r>
              <w:t>Security headers</w:t>
            </w:r>
          </w:p>
        </w:tc>
        <w:tc>
          <w:tcPr>
            <w:tcW w:w="0" w:type="auto"/>
            <w:tcBorders>
              <w:top w:val="single" w:sz="1" w:space="0" w:color="000000"/>
              <w:left w:val="single" w:sz="1" w:space="0" w:color="000000"/>
              <w:bottom w:val="single" w:sz="1" w:space="0" w:color="000000"/>
            </w:tcBorders>
          </w:tcPr>
          <w:p w14:paraId="6036A089" w14:textId="77777777" w:rsidR="00F64BB2" w:rsidRDefault="00F64BB2" w:rsidP="00074F6A">
            <w:r>
              <w:t xml:space="preserve">HSTS, X-Content-Type-Options, X-Frame-Options, CSP enforced via </w:t>
            </w:r>
            <w:proofErr w:type="spellStart"/>
            <w:r>
              <w:t>FastAPI</w:t>
            </w:r>
            <w:proofErr w:type="spellEnd"/>
            <w:r>
              <w:t xml:space="preserve"> </w:t>
            </w:r>
            <w:proofErr w:type="gramStart"/>
            <w:r>
              <w:t>middleware[</w:t>
            </w:r>
            <w:proofErr w:type="gramEnd"/>
            <w:r>
              <w:t>44]</w:t>
            </w:r>
          </w:p>
        </w:tc>
      </w:tr>
      <w:tr w:rsidR="00F64BB2" w14:paraId="091E1039" w14:textId="77777777" w:rsidTr="00074F6A">
        <w:trPr>
          <w:cantSplit/>
          <w:tblCellSpacing w:w="0" w:type="dxa"/>
          <w:jc w:val="center"/>
        </w:trPr>
        <w:tc>
          <w:tcPr>
            <w:tcW w:w="0" w:type="auto"/>
            <w:tcBorders>
              <w:top w:val="single" w:sz="1" w:space="0" w:color="000000"/>
              <w:bottom w:val="single" w:sz="1" w:space="0" w:color="000000"/>
            </w:tcBorders>
          </w:tcPr>
          <w:p w14:paraId="2A604754" w14:textId="77777777" w:rsidR="00F64BB2" w:rsidRDefault="00F64BB2" w:rsidP="00074F6A">
            <w:r>
              <w:t>Dependency scanning</w:t>
            </w:r>
          </w:p>
        </w:tc>
        <w:tc>
          <w:tcPr>
            <w:tcW w:w="0" w:type="auto"/>
            <w:tcBorders>
              <w:top w:val="single" w:sz="1" w:space="0" w:color="000000"/>
              <w:left w:val="single" w:sz="1" w:space="0" w:color="000000"/>
              <w:bottom w:val="single" w:sz="1" w:space="0" w:color="000000"/>
            </w:tcBorders>
          </w:tcPr>
          <w:p w14:paraId="4A9D2194" w14:textId="77777777" w:rsidR="00F64BB2" w:rsidRDefault="00F64BB2" w:rsidP="00074F6A">
            <w:r>
              <w:t>Automated SBOM and vulnerability scanning in CI/CD pipeline</w:t>
            </w:r>
          </w:p>
        </w:tc>
      </w:tr>
      <w:tr w:rsidR="00F64BB2" w14:paraId="0651FA0F" w14:textId="77777777" w:rsidTr="00074F6A">
        <w:trPr>
          <w:cantSplit/>
          <w:tblCellSpacing w:w="0" w:type="dxa"/>
          <w:jc w:val="center"/>
        </w:trPr>
        <w:tc>
          <w:tcPr>
            <w:tcW w:w="0" w:type="auto"/>
            <w:tcBorders>
              <w:top w:val="single" w:sz="1" w:space="0" w:color="000000"/>
              <w:bottom w:val="single" w:sz="1" w:space="0" w:color="000000"/>
            </w:tcBorders>
          </w:tcPr>
          <w:p w14:paraId="61610BEF" w14:textId="77777777" w:rsidR="00F64BB2" w:rsidRDefault="00F64BB2" w:rsidP="00074F6A">
            <w:r>
              <w:t>Penetration testing</w:t>
            </w:r>
          </w:p>
        </w:tc>
        <w:tc>
          <w:tcPr>
            <w:tcW w:w="0" w:type="auto"/>
            <w:tcBorders>
              <w:top w:val="single" w:sz="1" w:space="0" w:color="000000"/>
              <w:left w:val="single" w:sz="1" w:space="0" w:color="000000"/>
              <w:bottom w:val="single" w:sz="1" w:space="0" w:color="000000"/>
            </w:tcBorders>
          </w:tcPr>
          <w:p w14:paraId="6313B6A0" w14:textId="77777777" w:rsidR="00F64BB2" w:rsidRDefault="00F64BB2" w:rsidP="00074F6A">
            <w:r>
              <w:t>Annual third-party penetration test; quarterly internal security review</w:t>
            </w:r>
          </w:p>
        </w:tc>
      </w:tr>
    </w:tbl>
    <w:p w14:paraId="11F2D470" w14:textId="77777777" w:rsidR="00F64BB2" w:rsidRDefault="00F64BB2" w:rsidP="00F64BB2"/>
    <w:p w14:paraId="2BCC8F00" w14:textId="77777777" w:rsidR="00F64BB2" w:rsidRDefault="00F64BB2" w:rsidP="00F64BB2">
      <w:pPr>
        <w:pStyle w:val="Heading3"/>
      </w:pPr>
      <w:bookmarkStart w:id="89" w:name="compliance_and_data_governance"/>
      <w:r>
        <w:lastRenderedPageBreak/>
        <w:t>Compliance and Data Governance</w:t>
      </w:r>
      <w:bookmarkEnd w:id="89"/>
    </w:p>
    <w:p w14:paraId="6196C352" w14:textId="77777777" w:rsidR="00F64BB2" w:rsidRDefault="00F64BB2" w:rsidP="00F64BB2">
      <w:pPr>
        <w:numPr>
          <w:ilvl w:val="0"/>
          <w:numId w:val="43"/>
        </w:numPr>
      </w:pPr>
      <w:r>
        <w:t>All audit log records must be immutable, append-only, and retained for a minimum of 7 years or as required by local regulation, whichever is longer.[11][3][15]</w:t>
      </w:r>
    </w:p>
    <w:p w14:paraId="6FD01633" w14:textId="77777777" w:rsidR="00F64BB2" w:rsidRDefault="00F64BB2" w:rsidP="00F64BB2">
      <w:pPr>
        <w:numPr>
          <w:ilvl w:val="0"/>
          <w:numId w:val="43"/>
        </w:numPr>
      </w:pPr>
      <w:r>
        <w:t>The system must support GDPR data subject access requests (DSAR) and the right to erasure for non-SAR-filed customer records, with legal hold overrides.[3]</w:t>
      </w:r>
    </w:p>
    <w:p w14:paraId="1CF09492" w14:textId="77777777" w:rsidR="00F64BB2" w:rsidRDefault="00F64BB2" w:rsidP="00F64BB2">
      <w:pPr>
        <w:numPr>
          <w:ilvl w:val="0"/>
          <w:numId w:val="43"/>
        </w:numPr>
      </w:pPr>
      <w:r>
        <w:t>Cross-border data transfer must comply with applicable data residency requirements; the system must support region-specific deployment configurations.[3]</w:t>
      </w:r>
    </w:p>
    <w:p w14:paraId="54806A32" w14:textId="77777777" w:rsidR="00F64BB2" w:rsidRDefault="00F64BB2" w:rsidP="00F64BB2">
      <w:pPr>
        <w:numPr>
          <w:ilvl w:val="0"/>
          <w:numId w:val="43"/>
        </w:numPr>
      </w:pPr>
      <w:r>
        <w:t xml:space="preserve">The system must generate </w:t>
      </w:r>
      <w:proofErr w:type="gramStart"/>
      <w:r>
        <w:t>evidence sufficient</w:t>
      </w:r>
      <w:proofErr w:type="gramEnd"/>
      <w:r>
        <w:t xml:space="preserve"> to satisfy regulatory inspection under FATF Recommendation 20, AMLD5/6 Article 33, and the EBA AML/CFT risk-based supervision guidelines.[11][3]</w:t>
      </w:r>
    </w:p>
    <w:p w14:paraId="5D76F31A" w14:textId="77777777" w:rsidR="00F64BB2" w:rsidRDefault="00F64BB2" w:rsidP="00F64BB2">
      <w:pPr>
        <w:numPr>
          <w:ilvl w:val="0"/>
          <w:numId w:val="43"/>
        </w:numPr>
      </w:pPr>
      <w:r>
        <w:t>Rule and model version metadata must be logged at the point of alert generation so historical dispositions remain explainable.[49][11]</w:t>
      </w:r>
    </w:p>
    <w:p w14:paraId="37591EB6" w14:textId="77777777" w:rsidR="00F64BB2" w:rsidRDefault="00F64BB2" w:rsidP="00F64BB2">
      <w:pPr>
        <w:pStyle w:val="Heading3"/>
      </w:pPr>
      <w:bookmarkStart w:id="90" w:name="maintainability_and_observability"/>
      <w:r>
        <w:t>Maintainability and Observability</w:t>
      </w:r>
      <w:bookmarkEnd w:id="90"/>
    </w:p>
    <w:p w14:paraId="70FC0607" w14:textId="77777777" w:rsidR="00F64BB2" w:rsidRDefault="00F64BB2" w:rsidP="00F64BB2">
      <w:pPr>
        <w:numPr>
          <w:ilvl w:val="0"/>
          <w:numId w:val="44"/>
        </w:numPr>
      </w:pPr>
      <w:r>
        <w:t>All services must emit structured JSON logs with correlation IDs spanning frontend request through backend service and database query.</w:t>
      </w:r>
    </w:p>
    <w:p w14:paraId="0F80398D" w14:textId="77777777" w:rsidR="00F64BB2" w:rsidRDefault="00F64BB2" w:rsidP="00F64BB2">
      <w:pPr>
        <w:numPr>
          <w:ilvl w:val="0"/>
          <w:numId w:val="44"/>
        </w:numPr>
      </w:pPr>
      <w:r>
        <w:t>Distributed tracing (</w:t>
      </w:r>
      <w:proofErr w:type="spellStart"/>
      <w:r>
        <w:t>OpenTelemetry</w:t>
      </w:r>
      <w:proofErr w:type="spellEnd"/>
      <w:r>
        <w:t xml:space="preserve">) must be instrumented on all </w:t>
      </w:r>
      <w:proofErr w:type="spellStart"/>
      <w:r>
        <w:t>FastAPI</w:t>
      </w:r>
      <w:proofErr w:type="spellEnd"/>
      <w:r>
        <w:t xml:space="preserve"> routes and ETL pipeline stages.</w:t>
      </w:r>
    </w:p>
    <w:p w14:paraId="452C8534" w14:textId="77777777" w:rsidR="00F64BB2" w:rsidRDefault="00F64BB2" w:rsidP="00F64BB2">
      <w:pPr>
        <w:numPr>
          <w:ilvl w:val="0"/>
          <w:numId w:val="44"/>
        </w:numPr>
      </w:pPr>
      <w:r>
        <w:t>Health check endpoints must be available on all services for load balancer and container orchestrator liveness and readiness probes.</w:t>
      </w:r>
    </w:p>
    <w:p w14:paraId="57FEF175" w14:textId="77777777" w:rsidR="00F64BB2" w:rsidRDefault="00F64BB2" w:rsidP="00F64BB2">
      <w:pPr>
        <w:numPr>
          <w:ilvl w:val="0"/>
          <w:numId w:val="44"/>
        </w:numPr>
      </w:pPr>
      <w:r>
        <w:t>Deployments must be automated via CI/CD with automated test gates; critical bug fixes must be deployable within 12 hours of identification.[42]</w:t>
      </w:r>
    </w:p>
    <w:p w14:paraId="6A81FFFA" w14:textId="77777777" w:rsidR="00F64BB2" w:rsidRDefault="00F64BB2" w:rsidP="00F64BB2">
      <w:pPr>
        <w:numPr>
          <w:ilvl w:val="0"/>
          <w:numId w:val="44"/>
        </w:numPr>
      </w:pPr>
      <w:r>
        <w:t xml:space="preserve">Graph query performance must be benchmarkable per endpoint, and slow-query logs (&gt;500 </w:t>
      </w:r>
      <w:proofErr w:type="spellStart"/>
      <w:r>
        <w:t>ms</w:t>
      </w:r>
      <w:proofErr w:type="spellEnd"/>
      <w:r>
        <w:t>) must be captured and alerted.</w:t>
      </w:r>
    </w:p>
    <w:p w14:paraId="1845F7EF" w14:textId="77777777" w:rsidR="00F64BB2" w:rsidRDefault="00F64BB2" w:rsidP="00F64BB2">
      <w:pPr>
        <w:numPr>
          <w:ilvl w:val="0"/>
          <w:numId w:val="44"/>
        </w:numPr>
      </w:pPr>
      <w:r>
        <w:t>Cypher queries must be version-controlled and reviewed as part of the codebase rather than constructed at runtime.[47]</w:t>
      </w:r>
    </w:p>
    <w:p w14:paraId="4F4544B2" w14:textId="77777777" w:rsidR="00F64BB2" w:rsidRDefault="00F64BB2" w:rsidP="00F64BB2">
      <w:pPr>
        <w:pStyle w:val="Heading3"/>
      </w:pPr>
      <w:bookmarkStart w:id="91" w:name="usability"/>
      <w:r>
        <w:t>Usability</w:t>
      </w:r>
      <w:bookmarkEnd w:id="91"/>
    </w:p>
    <w:p w14:paraId="2F693556" w14:textId="77777777" w:rsidR="00F64BB2" w:rsidRDefault="00F64BB2" w:rsidP="00F64BB2">
      <w:pPr>
        <w:numPr>
          <w:ilvl w:val="0"/>
          <w:numId w:val="45"/>
        </w:numPr>
      </w:pPr>
      <w:r>
        <w:t>The portal must support all modern browsers (Chrome, Edge, Firefox, Safari) at current and one prior major version.</w:t>
      </w:r>
    </w:p>
    <w:p w14:paraId="722FE175" w14:textId="77777777" w:rsidR="00F64BB2" w:rsidRDefault="00F64BB2" w:rsidP="00F64BB2">
      <w:pPr>
        <w:numPr>
          <w:ilvl w:val="0"/>
          <w:numId w:val="45"/>
        </w:numPr>
      </w:pPr>
      <w:r>
        <w:t>The interface must follow WCAG 2.1 Level AA accessibility standards.</w:t>
      </w:r>
    </w:p>
    <w:p w14:paraId="31E92EB4" w14:textId="77777777" w:rsidR="00F64BB2" w:rsidRDefault="00F64BB2" w:rsidP="00F64BB2">
      <w:pPr>
        <w:numPr>
          <w:ilvl w:val="0"/>
          <w:numId w:val="45"/>
        </w:numPr>
      </w:pPr>
      <w:r>
        <w:t>Analyst workflows (triage, investigate, note, close) must be completable without mouse-only interaction; full keyboard navigation must be supported.</w:t>
      </w:r>
    </w:p>
    <w:p w14:paraId="59B18A21" w14:textId="77777777" w:rsidR="00F64BB2" w:rsidRDefault="00F64BB2" w:rsidP="00F64BB2">
      <w:pPr>
        <w:numPr>
          <w:ilvl w:val="0"/>
          <w:numId w:val="45"/>
        </w:numPr>
      </w:pPr>
      <w:r>
        <w:t>The case management and dashboard modules must support responsive layout at tablet widths (768px+); graph investigation is desktop-only (1024px+) given the complexity of the canvas.</w:t>
      </w:r>
    </w:p>
    <w:p w14:paraId="0B0CEC8F" w14:textId="77777777" w:rsidR="00F64BB2" w:rsidRDefault="00F64BB2" w:rsidP="00F64BB2">
      <w:pPr>
        <w:numPr>
          <w:ilvl w:val="0"/>
          <w:numId w:val="45"/>
        </w:numPr>
      </w:pPr>
      <w:r>
        <w:t xml:space="preserve">Investigators must be able to complete alert triage and disposition in under 3 minutes for straightforward alerts; </w:t>
      </w:r>
      <w:proofErr w:type="gramStart"/>
      <w:r>
        <w:t>the UX</w:t>
      </w:r>
      <w:proofErr w:type="gramEnd"/>
      <w:r>
        <w:t xml:space="preserve"> must support batch disposition for alert queues exceeding 100 items.</w:t>
      </w:r>
    </w:p>
    <w:p w14:paraId="09DBD1E4" w14:textId="77777777" w:rsidR="00F64BB2" w:rsidRDefault="00F64BB2" w:rsidP="00F64BB2">
      <w:r>
        <w:rPr>
          <w:noProof/>
        </w:rPr>
        <w:pict w14:anchorId="7B921746">
          <v:rect id="_x0000_i1044" alt="" style="width:434.5pt;height:.05pt;mso-width-percent:0;mso-height-percent:0;mso-width-percent:0;mso-height-percent:0" o:hralign="center" o:hrstd="t" o:hr="t"/>
        </w:pict>
      </w:r>
    </w:p>
    <w:p w14:paraId="510FC42F" w14:textId="77777777" w:rsidR="00F64BB2" w:rsidRDefault="00F64BB2" w:rsidP="00F64BB2">
      <w:pPr>
        <w:pStyle w:val="Heading3"/>
      </w:pPr>
      <w:bookmarkStart w:id="92" w:name="architecture_alignment_summary"/>
      <w:r>
        <w:t>Architecture Alignment Summary</w:t>
      </w:r>
      <w:bookmarkEnd w:id="9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53"/>
        <w:gridCol w:w="2620"/>
        <w:gridCol w:w="2537"/>
        <w:gridCol w:w="2594"/>
      </w:tblGrid>
      <w:tr w:rsidR="00F64BB2" w14:paraId="215C7FFA" w14:textId="77777777" w:rsidTr="00074F6A">
        <w:trPr>
          <w:cantSplit/>
          <w:tblCellSpacing w:w="0" w:type="dxa"/>
          <w:jc w:val="center"/>
        </w:trPr>
        <w:tc>
          <w:tcPr>
            <w:tcW w:w="0" w:type="auto"/>
            <w:tcBorders>
              <w:top w:val="single" w:sz="1" w:space="0" w:color="000000"/>
              <w:bottom w:val="single" w:sz="1" w:space="0" w:color="000000"/>
            </w:tcBorders>
          </w:tcPr>
          <w:p w14:paraId="64E62D4B" w14:textId="77777777" w:rsidR="00F64BB2" w:rsidRDefault="00F64BB2" w:rsidP="00074F6A">
            <w:r>
              <w:t>Module</w:t>
            </w:r>
          </w:p>
        </w:tc>
        <w:tc>
          <w:tcPr>
            <w:tcW w:w="0" w:type="auto"/>
            <w:tcBorders>
              <w:top w:val="single" w:sz="1" w:space="0" w:color="000000"/>
              <w:left w:val="single" w:sz="1" w:space="0" w:color="000000"/>
              <w:bottom w:val="single" w:sz="1" w:space="0" w:color="000000"/>
            </w:tcBorders>
          </w:tcPr>
          <w:p w14:paraId="6D647780" w14:textId="77777777" w:rsidR="00F64BB2" w:rsidRDefault="00F64BB2" w:rsidP="00074F6A">
            <w:r>
              <w:t>Frontend Stack</w:t>
            </w:r>
          </w:p>
        </w:tc>
        <w:tc>
          <w:tcPr>
            <w:tcW w:w="0" w:type="auto"/>
            <w:tcBorders>
              <w:top w:val="single" w:sz="1" w:space="0" w:color="000000"/>
              <w:left w:val="single" w:sz="1" w:space="0" w:color="000000"/>
              <w:bottom w:val="single" w:sz="1" w:space="0" w:color="000000"/>
            </w:tcBorders>
          </w:tcPr>
          <w:p w14:paraId="424960DC" w14:textId="77777777" w:rsidR="00F64BB2" w:rsidRDefault="00F64BB2" w:rsidP="00074F6A">
            <w:r>
              <w:t>Backend Stack</w:t>
            </w:r>
          </w:p>
        </w:tc>
        <w:tc>
          <w:tcPr>
            <w:tcW w:w="0" w:type="auto"/>
            <w:tcBorders>
              <w:top w:val="single" w:sz="1" w:space="0" w:color="000000"/>
              <w:left w:val="single" w:sz="1" w:space="0" w:color="000000"/>
              <w:bottom w:val="single" w:sz="1" w:space="0" w:color="000000"/>
            </w:tcBorders>
          </w:tcPr>
          <w:p w14:paraId="1415BF67" w14:textId="77777777" w:rsidR="00F64BB2" w:rsidRDefault="00F64BB2" w:rsidP="00074F6A">
            <w:r>
              <w:t>Database</w:t>
            </w:r>
          </w:p>
        </w:tc>
      </w:tr>
      <w:tr w:rsidR="00F64BB2" w14:paraId="5DFC442E" w14:textId="77777777" w:rsidTr="00074F6A">
        <w:trPr>
          <w:cantSplit/>
          <w:tblCellSpacing w:w="0" w:type="dxa"/>
          <w:jc w:val="center"/>
        </w:trPr>
        <w:tc>
          <w:tcPr>
            <w:tcW w:w="0" w:type="auto"/>
            <w:tcBorders>
              <w:top w:val="single" w:sz="1" w:space="0" w:color="000000"/>
              <w:bottom w:val="single" w:sz="1" w:space="0" w:color="000000"/>
            </w:tcBorders>
          </w:tcPr>
          <w:p w14:paraId="74A65E14" w14:textId="77777777" w:rsidR="00F64BB2" w:rsidRDefault="00F64BB2" w:rsidP="00074F6A">
            <w:r>
              <w:t>KPI Dashboard</w:t>
            </w:r>
          </w:p>
        </w:tc>
        <w:tc>
          <w:tcPr>
            <w:tcW w:w="0" w:type="auto"/>
            <w:tcBorders>
              <w:top w:val="single" w:sz="1" w:space="0" w:color="000000"/>
              <w:left w:val="single" w:sz="1" w:space="0" w:color="000000"/>
              <w:bottom w:val="single" w:sz="1" w:space="0" w:color="000000"/>
            </w:tcBorders>
          </w:tcPr>
          <w:p w14:paraId="2D741150" w14:textId="77777777" w:rsidR="00F64BB2" w:rsidRDefault="00F64BB2" w:rsidP="00074F6A">
            <w:r>
              <w:t xml:space="preserve">Next.js, </w:t>
            </w:r>
            <w:proofErr w:type="spellStart"/>
            <w:r>
              <w:t>TanStack</w:t>
            </w:r>
            <w:proofErr w:type="spellEnd"/>
            <w:r>
              <w:t xml:space="preserve"> Query, </w:t>
            </w:r>
            <w:proofErr w:type="spellStart"/>
            <w:r>
              <w:t>ECharts</w:t>
            </w:r>
            <w:proofErr w:type="spellEnd"/>
          </w:p>
        </w:tc>
        <w:tc>
          <w:tcPr>
            <w:tcW w:w="0" w:type="auto"/>
            <w:tcBorders>
              <w:top w:val="single" w:sz="1" w:space="0" w:color="000000"/>
              <w:left w:val="single" w:sz="1" w:space="0" w:color="000000"/>
              <w:bottom w:val="single" w:sz="1" w:space="0" w:color="000000"/>
            </w:tcBorders>
          </w:tcPr>
          <w:p w14:paraId="58C90134" w14:textId="77777777" w:rsidR="00F64BB2" w:rsidRDefault="00F64BB2" w:rsidP="00074F6A">
            <w:proofErr w:type="spellStart"/>
            <w:r>
              <w:t>FastAPI</w:t>
            </w:r>
            <w:proofErr w:type="spellEnd"/>
            <w:r>
              <w:t>, Temporal (alert triggers), Redis (cache)</w:t>
            </w:r>
          </w:p>
        </w:tc>
        <w:tc>
          <w:tcPr>
            <w:tcW w:w="0" w:type="auto"/>
            <w:tcBorders>
              <w:top w:val="single" w:sz="1" w:space="0" w:color="000000"/>
              <w:left w:val="single" w:sz="1" w:space="0" w:color="000000"/>
              <w:bottom w:val="single" w:sz="1" w:space="0" w:color="000000"/>
            </w:tcBorders>
          </w:tcPr>
          <w:p w14:paraId="32400B3F" w14:textId="77777777" w:rsidR="00F64BB2" w:rsidRDefault="00F64BB2" w:rsidP="00074F6A">
            <w:r>
              <w:t>PostgreSQL (aggregated metrics), Redis</w:t>
            </w:r>
          </w:p>
        </w:tc>
      </w:tr>
      <w:tr w:rsidR="00F64BB2" w14:paraId="0EED7720" w14:textId="77777777" w:rsidTr="00074F6A">
        <w:trPr>
          <w:cantSplit/>
          <w:tblCellSpacing w:w="0" w:type="dxa"/>
          <w:jc w:val="center"/>
        </w:trPr>
        <w:tc>
          <w:tcPr>
            <w:tcW w:w="0" w:type="auto"/>
            <w:tcBorders>
              <w:top w:val="single" w:sz="1" w:space="0" w:color="000000"/>
              <w:bottom w:val="single" w:sz="1" w:space="0" w:color="000000"/>
            </w:tcBorders>
          </w:tcPr>
          <w:p w14:paraId="31D07FD0" w14:textId="77777777" w:rsidR="00F64BB2" w:rsidRDefault="00F64BB2" w:rsidP="00074F6A">
            <w:r>
              <w:lastRenderedPageBreak/>
              <w:t>Case Management</w:t>
            </w:r>
          </w:p>
        </w:tc>
        <w:tc>
          <w:tcPr>
            <w:tcW w:w="0" w:type="auto"/>
            <w:tcBorders>
              <w:top w:val="single" w:sz="1" w:space="0" w:color="000000"/>
              <w:left w:val="single" w:sz="1" w:space="0" w:color="000000"/>
              <w:bottom w:val="single" w:sz="1" w:space="0" w:color="000000"/>
            </w:tcBorders>
          </w:tcPr>
          <w:p w14:paraId="26C42601" w14:textId="77777777" w:rsidR="00F64BB2" w:rsidRDefault="00F64BB2" w:rsidP="00074F6A">
            <w:r>
              <w:t xml:space="preserve">Next.js, </w:t>
            </w:r>
            <w:proofErr w:type="spellStart"/>
            <w:r>
              <w:t>TanStack</w:t>
            </w:r>
            <w:proofErr w:type="spellEnd"/>
            <w:r>
              <w:t xml:space="preserve"> Table, React Hook Form + Zod</w:t>
            </w:r>
          </w:p>
        </w:tc>
        <w:tc>
          <w:tcPr>
            <w:tcW w:w="0" w:type="auto"/>
            <w:tcBorders>
              <w:top w:val="single" w:sz="1" w:space="0" w:color="000000"/>
              <w:left w:val="single" w:sz="1" w:space="0" w:color="000000"/>
              <w:bottom w:val="single" w:sz="1" w:space="0" w:color="000000"/>
            </w:tcBorders>
          </w:tcPr>
          <w:p w14:paraId="4DF2CD3A" w14:textId="77777777" w:rsidR="00F64BB2" w:rsidRDefault="00F64BB2" w:rsidP="00074F6A">
            <w:proofErr w:type="spellStart"/>
            <w:r>
              <w:t>FastAPI</w:t>
            </w:r>
            <w:proofErr w:type="spellEnd"/>
            <w:r>
              <w:t xml:space="preserve">, Temporal (workflow), </w:t>
            </w:r>
            <w:proofErr w:type="spellStart"/>
            <w:r>
              <w:t>Keycloak</w:t>
            </w:r>
            <w:proofErr w:type="spellEnd"/>
            <w:r>
              <w:t xml:space="preserve"> (RBAC)</w:t>
            </w:r>
          </w:p>
        </w:tc>
        <w:tc>
          <w:tcPr>
            <w:tcW w:w="0" w:type="auto"/>
            <w:tcBorders>
              <w:top w:val="single" w:sz="1" w:space="0" w:color="000000"/>
              <w:left w:val="single" w:sz="1" w:space="0" w:color="000000"/>
              <w:bottom w:val="single" w:sz="1" w:space="0" w:color="000000"/>
            </w:tcBorders>
          </w:tcPr>
          <w:p w14:paraId="76B8143E" w14:textId="77777777" w:rsidR="00F64BB2" w:rsidRDefault="00F64BB2" w:rsidP="00074F6A">
            <w:r>
              <w:t>PostgreSQL (cases, audit), OpenSearch (</w:t>
            </w:r>
            <w:proofErr w:type="gramStart"/>
            <w:r>
              <w:t>full-text</w:t>
            </w:r>
            <w:proofErr w:type="gramEnd"/>
            <w:r>
              <w:t>)</w:t>
            </w:r>
          </w:p>
        </w:tc>
      </w:tr>
      <w:tr w:rsidR="00F64BB2" w14:paraId="4AB15BAC" w14:textId="77777777" w:rsidTr="00074F6A">
        <w:trPr>
          <w:cantSplit/>
          <w:tblCellSpacing w:w="0" w:type="dxa"/>
          <w:jc w:val="center"/>
        </w:trPr>
        <w:tc>
          <w:tcPr>
            <w:tcW w:w="0" w:type="auto"/>
            <w:tcBorders>
              <w:top w:val="single" w:sz="1" w:space="0" w:color="000000"/>
              <w:bottom w:val="single" w:sz="1" w:space="0" w:color="000000"/>
            </w:tcBorders>
          </w:tcPr>
          <w:p w14:paraId="46FFCFFB" w14:textId="77777777" w:rsidR="00F64BB2" w:rsidRDefault="00F64BB2" w:rsidP="00074F6A">
            <w:r>
              <w:t>Graph Visualization</w:t>
            </w:r>
          </w:p>
        </w:tc>
        <w:tc>
          <w:tcPr>
            <w:tcW w:w="0" w:type="auto"/>
            <w:tcBorders>
              <w:top w:val="single" w:sz="1" w:space="0" w:color="000000"/>
              <w:left w:val="single" w:sz="1" w:space="0" w:color="000000"/>
              <w:bottom w:val="single" w:sz="1" w:space="0" w:color="000000"/>
            </w:tcBorders>
          </w:tcPr>
          <w:p w14:paraId="5EDAA35A" w14:textId="77777777" w:rsidR="00F64BB2" w:rsidRDefault="00F64BB2" w:rsidP="00074F6A">
            <w:r>
              <w:t xml:space="preserve">Cytoscape.js, React, </w:t>
            </w:r>
            <w:proofErr w:type="spellStart"/>
            <w:r>
              <w:t>TanStack</w:t>
            </w:r>
            <w:proofErr w:type="spellEnd"/>
            <w:r>
              <w:t xml:space="preserve"> Query</w:t>
            </w:r>
          </w:p>
        </w:tc>
        <w:tc>
          <w:tcPr>
            <w:tcW w:w="0" w:type="auto"/>
            <w:tcBorders>
              <w:top w:val="single" w:sz="1" w:space="0" w:color="000000"/>
              <w:left w:val="single" w:sz="1" w:space="0" w:color="000000"/>
              <w:bottom w:val="single" w:sz="1" w:space="0" w:color="000000"/>
            </w:tcBorders>
          </w:tcPr>
          <w:p w14:paraId="04B9A55E" w14:textId="77777777" w:rsidR="00F64BB2" w:rsidRDefault="00F64BB2" w:rsidP="00074F6A">
            <w:proofErr w:type="spellStart"/>
            <w:r>
              <w:t>FastAPI</w:t>
            </w:r>
            <w:proofErr w:type="spellEnd"/>
            <w:r>
              <w:t xml:space="preserve"> (graph routes), AGE query service</w:t>
            </w:r>
          </w:p>
        </w:tc>
        <w:tc>
          <w:tcPr>
            <w:tcW w:w="0" w:type="auto"/>
            <w:tcBorders>
              <w:top w:val="single" w:sz="1" w:space="0" w:color="000000"/>
              <w:left w:val="single" w:sz="1" w:space="0" w:color="000000"/>
              <w:bottom w:val="single" w:sz="1" w:space="0" w:color="000000"/>
            </w:tcBorders>
          </w:tcPr>
          <w:p w14:paraId="6109A950" w14:textId="77777777" w:rsidR="00F64BB2" w:rsidRDefault="00F64BB2" w:rsidP="00074F6A">
            <w:r>
              <w:t>PostgreSQL + Apache AGE (</w:t>
            </w:r>
            <w:proofErr w:type="spellStart"/>
            <w:r>
              <w:rPr>
                <w:rStyle w:val="VerbatimChar"/>
                <w:rFonts w:ascii="menlo" w:eastAsia="menlo" w:hAnsi="menlo" w:cs="menlo"/>
                <w:shd w:val="clear" w:color="auto" w:fill="F8F8FA"/>
              </w:rPr>
              <w:t>aml_graph</w:t>
            </w:r>
            <w:proofErr w:type="spellEnd"/>
            <w:r>
              <w:t>)</w:t>
            </w:r>
          </w:p>
        </w:tc>
      </w:tr>
      <w:tr w:rsidR="00F64BB2" w14:paraId="72CEDE43" w14:textId="77777777" w:rsidTr="00074F6A">
        <w:trPr>
          <w:cantSplit/>
          <w:tblCellSpacing w:w="0" w:type="dxa"/>
          <w:jc w:val="center"/>
        </w:trPr>
        <w:tc>
          <w:tcPr>
            <w:tcW w:w="0" w:type="auto"/>
            <w:tcBorders>
              <w:top w:val="single" w:sz="1" w:space="0" w:color="000000"/>
              <w:bottom w:val="single" w:sz="1" w:space="0" w:color="000000"/>
            </w:tcBorders>
          </w:tcPr>
          <w:p w14:paraId="1116A7C2" w14:textId="77777777" w:rsidR="00F64BB2" w:rsidRDefault="00F64BB2" w:rsidP="00074F6A">
            <w:r>
              <w:t>ETL Pipeline</w:t>
            </w:r>
          </w:p>
        </w:tc>
        <w:tc>
          <w:tcPr>
            <w:tcW w:w="0" w:type="auto"/>
            <w:tcBorders>
              <w:top w:val="single" w:sz="1" w:space="0" w:color="000000"/>
              <w:left w:val="single" w:sz="1" w:space="0" w:color="000000"/>
              <w:bottom w:val="single" w:sz="1" w:space="0" w:color="000000"/>
            </w:tcBorders>
          </w:tcPr>
          <w:p w14:paraId="2D2E81E3" w14:textId="77777777" w:rsidR="00F64BB2" w:rsidRDefault="00F64BB2" w:rsidP="00074F6A">
            <w:r>
              <w:t xml:space="preserve">Airflow admin view (portal </w:t>
            </w:r>
            <w:proofErr w:type="spellStart"/>
            <w:r>
              <w:t>iframe</w:t>
            </w:r>
            <w:proofErr w:type="spellEnd"/>
            <w:r>
              <w:t>)</w:t>
            </w:r>
          </w:p>
        </w:tc>
        <w:tc>
          <w:tcPr>
            <w:tcW w:w="0" w:type="auto"/>
            <w:tcBorders>
              <w:top w:val="single" w:sz="1" w:space="0" w:color="000000"/>
              <w:left w:val="single" w:sz="1" w:space="0" w:color="000000"/>
              <w:bottom w:val="single" w:sz="1" w:space="0" w:color="000000"/>
            </w:tcBorders>
          </w:tcPr>
          <w:p w14:paraId="6C39B515" w14:textId="77777777" w:rsidR="00F64BB2" w:rsidRDefault="00F64BB2" w:rsidP="00074F6A">
            <w:r>
              <w:t>Apache Airflow DAGs, Python ETL services</w:t>
            </w:r>
          </w:p>
        </w:tc>
        <w:tc>
          <w:tcPr>
            <w:tcW w:w="0" w:type="auto"/>
            <w:tcBorders>
              <w:top w:val="single" w:sz="1" w:space="0" w:color="000000"/>
              <w:left w:val="single" w:sz="1" w:space="0" w:color="000000"/>
              <w:bottom w:val="single" w:sz="1" w:space="0" w:color="000000"/>
            </w:tcBorders>
          </w:tcPr>
          <w:p w14:paraId="7CE4DBBD" w14:textId="77777777" w:rsidR="00F64BB2" w:rsidRDefault="00F64BB2" w:rsidP="00074F6A">
            <w:r>
              <w:t>PostgreSQL + Apache AGE (write targets)</w:t>
            </w:r>
          </w:p>
        </w:tc>
      </w:tr>
    </w:tbl>
    <w:p w14:paraId="0531B33E" w14:textId="77777777" w:rsidR="00F64BB2" w:rsidRDefault="00F64BB2" w:rsidP="00F64BB2"/>
    <w:p w14:paraId="5EB61196" w14:textId="64BF88F0" w:rsidR="00F64BB2" w:rsidRDefault="00F64BB2" w:rsidP="00F64BB2">
      <w:pPr>
        <w:spacing w:after="210"/>
      </w:pPr>
      <w:r>
        <w:t xml:space="preserve">All modules share a common authentication boundary via </w:t>
      </w:r>
      <w:proofErr w:type="spellStart"/>
      <w:r>
        <w:t>Keycloak</w:t>
      </w:r>
      <w:proofErr w:type="spellEnd"/>
      <w:r>
        <w:t xml:space="preserve"> and a unified audit log service, ensuring that every user action across the portal is traceable, attributable, and regulatorily defensible.</w:t>
      </w:r>
    </w:p>
    <w:sectPr w:rsidR="00F64BB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enlo">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13F"/>
    <w:multiLevelType w:val="hybridMultilevel"/>
    <w:tmpl w:val="CC80FF3E"/>
    <w:lvl w:ilvl="0" w:tplc="7FC8A0D2">
      <w:start w:val="1"/>
      <w:numFmt w:val="bullet"/>
      <w:lvlText w:val=""/>
      <w:lvlJc w:val="left"/>
      <w:pPr>
        <w:tabs>
          <w:tab w:val="num" w:pos="900"/>
        </w:tabs>
        <w:ind w:left="540" w:hanging="360"/>
      </w:pPr>
      <w:rPr>
        <w:rFonts w:ascii="Symbol" w:hAnsi="Symbol" w:hint="default"/>
      </w:rPr>
    </w:lvl>
    <w:lvl w:ilvl="1" w:tplc="1AA207E6">
      <w:numFmt w:val="decimal"/>
      <w:lvlText w:val=""/>
      <w:lvlJc w:val="left"/>
    </w:lvl>
    <w:lvl w:ilvl="2" w:tplc="471C549E">
      <w:numFmt w:val="decimal"/>
      <w:lvlText w:val=""/>
      <w:lvlJc w:val="left"/>
    </w:lvl>
    <w:lvl w:ilvl="3" w:tplc="99165FEC">
      <w:numFmt w:val="decimal"/>
      <w:lvlText w:val=""/>
      <w:lvlJc w:val="left"/>
    </w:lvl>
    <w:lvl w:ilvl="4" w:tplc="4D18E792">
      <w:numFmt w:val="decimal"/>
      <w:lvlText w:val=""/>
      <w:lvlJc w:val="left"/>
    </w:lvl>
    <w:lvl w:ilvl="5" w:tplc="60F86936">
      <w:numFmt w:val="decimal"/>
      <w:lvlText w:val=""/>
      <w:lvlJc w:val="left"/>
    </w:lvl>
    <w:lvl w:ilvl="6" w:tplc="A73C283E">
      <w:numFmt w:val="decimal"/>
      <w:lvlText w:val=""/>
      <w:lvlJc w:val="left"/>
    </w:lvl>
    <w:lvl w:ilvl="7" w:tplc="2AF204A6">
      <w:numFmt w:val="decimal"/>
      <w:lvlText w:val=""/>
      <w:lvlJc w:val="left"/>
    </w:lvl>
    <w:lvl w:ilvl="8" w:tplc="8EBC66A2">
      <w:numFmt w:val="decimal"/>
      <w:lvlText w:val=""/>
      <w:lvlJc w:val="left"/>
    </w:lvl>
  </w:abstractNum>
  <w:abstractNum w:abstractNumId="1" w15:restartNumberingAfterBreak="0">
    <w:nsid w:val="023726C8"/>
    <w:multiLevelType w:val="hybridMultilevel"/>
    <w:tmpl w:val="10D4DD74"/>
    <w:lvl w:ilvl="0" w:tplc="3014BCA2">
      <w:start w:val="1"/>
      <w:numFmt w:val="bullet"/>
      <w:lvlText w:val=""/>
      <w:lvlJc w:val="left"/>
      <w:pPr>
        <w:tabs>
          <w:tab w:val="num" w:pos="1080"/>
        </w:tabs>
        <w:ind w:left="720" w:hanging="360"/>
      </w:pPr>
      <w:rPr>
        <w:rFonts w:ascii="Symbol" w:hAnsi="Symbol" w:hint="default"/>
      </w:rPr>
    </w:lvl>
    <w:lvl w:ilvl="1" w:tplc="417812CC">
      <w:numFmt w:val="decimal"/>
      <w:lvlText w:val=""/>
      <w:lvlJc w:val="left"/>
    </w:lvl>
    <w:lvl w:ilvl="2" w:tplc="78BAFA04">
      <w:numFmt w:val="decimal"/>
      <w:lvlText w:val=""/>
      <w:lvlJc w:val="left"/>
    </w:lvl>
    <w:lvl w:ilvl="3" w:tplc="F6F8459C">
      <w:numFmt w:val="decimal"/>
      <w:lvlText w:val=""/>
      <w:lvlJc w:val="left"/>
    </w:lvl>
    <w:lvl w:ilvl="4" w:tplc="C5560BDE">
      <w:numFmt w:val="decimal"/>
      <w:lvlText w:val=""/>
      <w:lvlJc w:val="left"/>
    </w:lvl>
    <w:lvl w:ilvl="5" w:tplc="B37E5F44">
      <w:numFmt w:val="decimal"/>
      <w:lvlText w:val=""/>
      <w:lvlJc w:val="left"/>
    </w:lvl>
    <w:lvl w:ilvl="6" w:tplc="16868856">
      <w:numFmt w:val="decimal"/>
      <w:lvlText w:val=""/>
      <w:lvlJc w:val="left"/>
    </w:lvl>
    <w:lvl w:ilvl="7" w:tplc="AE4AE33E">
      <w:numFmt w:val="decimal"/>
      <w:lvlText w:val=""/>
      <w:lvlJc w:val="left"/>
    </w:lvl>
    <w:lvl w:ilvl="8" w:tplc="6E402976">
      <w:numFmt w:val="decimal"/>
      <w:lvlText w:val=""/>
      <w:lvlJc w:val="left"/>
    </w:lvl>
  </w:abstractNum>
  <w:abstractNum w:abstractNumId="2" w15:restartNumberingAfterBreak="0">
    <w:nsid w:val="05204EFA"/>
    <w:multiLevelType w:val="hybridMultilevel"/>
    <w:tmpl w:val="44C6C948"/>
    <w:lvl w:ilvl="0" w:tplc="4C3AA888">
      <w:start w:val="1"/>
      <w:numFmt w:val="bullet"/>
      <w:lvlText w:val=""/>
      <w:lvlJc w:val="left"/>
      <w:pPr>
        <w:tabs>
          <w:tab w:val="num" w:pos="1080"/>
        </w:tabs>
        <w:ind w:left="720" w:hanging="360"/>
      </w:pPr>
      <w:rPr>
        <w:rFonts w:ascii="Symbol" w:hAnsi="Symbol" w:hint="default"/>
      </w:rPr>
    </w:lvl>
    <w:lvl w:ilvl="1" w:tplc="0F347EC6">
      <w:numFmt w:val="decimal"/>
      <w:lvlText w:val=""/>
      <w:lvlJc w:val="left"/>
    </w:lvl>
    <w:lvl w:ilvl="2" w:tplc="03588B46">
      <w:numFmt w:val="decimal"/>
      <w:lvlText w:val=""/>
      <w:lvlJc w:val="left"/>
    </w:lvl>
    <w:lvl w:ilvl="3" w:tplc="7E18F8D0">
      <w:numFmt w:val="decimal"/>
      <w:lvlText w:val=""/>
      <w:lvlJc w:val="left"/>
    </w:lvl>
    <w:lvl w:ilvl="4" w:tplc="ECDA1A8A">
      <w:numFmt w:val="decimal"/>
      <w:lvlText w:val=""/>
      <w:lvlJc w:val="left"/>
    </w:lvl>
    <w:lvl w:ilvl="5" w:tplc="7A5A3456">
      <w:numFmt w:val="decimal"/>
      <w:lvlText w:val=""/>
      <w:lvlJc w:val="left"/>
    </w:lvl>
    <w:lvl w:ilvl="6" w:tplc="4B5EB586">
      <w:numFmt w:val="decimal"/>
      <w:lvlText w:val=""/>
      <w:lvlJc w:val="left"/>
    </w:lvl>
    <w:lvl w:ilvl="7" w:tplc="8A1866A0">
      <w:numFmt w:val="decimal"/>
      <w:lvlText w:val=""/>
      <w:lvlJc w:val="left"/>
    </w:lvl>
    <w:lvl w:ilvl="8" w:tplc="A386C8CA">
      <w:numFmt w:val="decimal"/>
      <w:lvlText w:val=""/>
      <w:lvlJc w:val="left"/>
    </w:lvl>
  </w:abstractNum>
  <w:abstractNum w:abstractNumId="3" w15:restartNumberingAfterBreak="0">
    <w:nsid w:val="059F4D53"/>
    <w:multiLevelType w:val="hybridMultilevel"/>
    <w:tmpl w:val="607AA486"/>
    <w:lvl w:ilvl="0" w:tplc="2CB2189E">
      <w:start w:val="1"/>
      <w:numFmt w:val="bullet"/>
      <w:lvlText w:val=""/>
      <w:lvlJc w:val="left"/>
      <w:pPr>
        <w:tabs>
          <w:tab w:val="num" w:pos="900"/>
        </w:tabs>
        <w:ind w:left="540" w:hanging="360"/>
      </w:pPr>
      <w:rPr>
        <w:rFonts w:ascii="Symbol" w:hAnsi="Symbol" w:hint="default"/>
      </w:rPr>
    </w:lvl>
    <w:lvl w:ilvl="1" w:tplc="DB90B3A8">
      <w:numFmt w:val="decimal"/>
      <w:lvlText w:val=""/>
      <w:lvlJc w:val="left"/>
    </w:lvl>
    <w:lvl w:ilvl="2" w:tplc="BA62F15C">
      <w:numFmt w:val="decimal"/>
      <w:lvlText w:val=""/>
      <w:lvlJc w:val="left"/>
    </w:lvl>
    <w:lvl w:ilvl="3" w:tplc="0F1CF636">
      <w:numFmt w:val="decimal"/>
      <w:lvlText w:val=""/>
      <w:lvlJc w:val="left"/>
    </w:lvl>
    <w:lvl w:ilvl="4" w:tplc="F814A69A">
      <w:numFmt w:val="decimal"/>
      <w:lvlText w:val=""/>
      <w:lvlJc w:val="left"/>
    </w:lvl>
    <w:lvl w:ilvl="5" w:tplc="D97645D2">
      <w:numFmt w:val="decimal"/>
      <w:lvlText w:val=""/>
      <w:lvlJc w:val="left"/>
    </w:lvl>
    <w:lvl w:ilvl="6" w:tplc="1C10F6D2">
      <w:numFmt w:val="decimal"/>
      <w:lvlText w:val=""/>
      <w:lvlJc w:val="left"/>
    </w:lvl>
    <w:lvl w:ilvl="7" w:tplc="9690A896">
      <w:numFmt w:val="decimal"/>
      <w:lvlText w:val=""/>
      <w:lvlJc w:val="left"/>
    </w:lvl>
    <w:lvl w:ilvl="8" w:tplc="183888DC">
      <w:numFmt w:val="decimal"/>
      <w:lvlText w:val=""/>
      <w:lvlJc w:val="left"/>
    </w:lvl>
  </w:abstractNum>
  <w:abstractNum w:abstractNumId="4" w15:restartNumberingAfterBreak="0">
    <w:nsid w:val="0ED35F78"/>
    <w:multiLevelType w:val="hybridMultilevel"/>
    <w:tmpl w:val="774C1538"/>
    <w:lvl w:ilvl="0" w:tplc="5804183E">
      <w:start w:val="1"/>
      <w:numFmt w:val="decimal"/>
      <w:lvlText w:val="%1."/>
      <w:lvlJc w:val="left"/>
      <w:pPr>
        <w:tabs>
          <w:tab w:val="num" w:pos="1080"/>
        </w:tabs>
        <w:ind w:left="720" w:hanging="360"/>
      </w:pPr>
    </w:lvl>
    <w:lvl w:ilvl="1" w:tplc="65560F92">
      <w:numFmt w:val="decimal"/>
      <w:lvlText w:val=""/>
      <w:lvlJc w:val="left"/>
    </w:lvl>
    <w:lvl w:ilvl="2" w:tplc="BEA2F6FA">
      <w:numFmt w:val="decimal"/>
      <w:lvlText w:val=""/>
      <w:lvlJc w:val="left"/>
    </w:lvl>
    <w:lvl w:ilvl="3" w:tplc="6DE8BA18">
      <w:numFmt w:val="decimal"/>
      <w:lvlText w:val=""/>
      <w:lvlJc w:val="left"/>
    </w:lvl>
    <w:lvl w:ilvl="4" w:tplc="CACEE402">
      <w:numFmt w:val="decimal"/>
      <w:lvlText w:val=""/>
      <w:lvlJc w:val="left"/>
    </w:lvl>
    <w:lvl w:ilvl="5" w:tplc="C4AA1F0A">
      <w:numFmt w:val="decimal"/>
      <w:lvlText w:val=""/>
      <w:lvlJc w:val="left"/>
    </w:lvl>
    <w:lvl w:ilvl="6" w:tplc="1688BE02">
      <w:numFmt w:val="decimal"/>
      <w:lvlText w:val=""/>
      <w:lvlJc w:val="left"/>
    </w:lvl>
    <w:lvl w:ilvl="7" w:tplc="F2BCB962">
      <w:numFmt w:val="decimal"/>
      <w:lvlText w:val=""/>
      <w:lvlJc w:val="left"/>
    </w:lvl>
    <w:lvl w:ilvl="8" w:tplc="63180708">
      <w:numFmt w:val="decimal"/>
      <w:lvlText w:val=""/>
      <w:lvlJc w:val="left"/>
    </w:lvl>
  </w:abstractNum>
  <w:abstractNum w:abstractNumId="5" w15:restartNumberingAfterBreak="0">
    <w:nsid w:val="125B61AE"/>
    <w:multiLevelType w:val="hybridMultilevel"/>
    <w:tmpl w:val="30743FD2"/>
    <w:lvl w:ilvl="0" w:tplc="BC00DC22">
      <w:start w:val="1"/>
      <w:numFmt w:val="bullet"/>
      <w:lvlText w:val=""/>
      <w:lvlJc w:val="left"/>
      <w:pPr>
        <w:tabs>
          <w:tab w:val="num" w:pos="900"/>
        </w:tabs>
        <w:ind w:left="540" w:hanging="360"/>
      </w:pPr>
      <w:rPr>
        <w:rFonts w:ascii="Symbol" w:hAnsi="Symbol" w:hint="default"/>
      </w:rPr>
    </w:lvl>
    <w:lvl w:ilvl="1" w:tplc="7E46B08A">
      <w:numFmt w:val="decimal"/>
      <w:lvlText w:val=""/>
      <w:lvlJc w:val="left"/>
    </w:lvl>
    <w:lvl w:ilvl="2" w:tplc="51B613F6">
      <w:numFmt w:val="decimal"/>
      <w:lvlText w:val=""/>
      <w:lvlJc w:val="left"/>
    </w:lvl>
    <w:lvl w:ilvl="3" w:tplc="25DA9C70">
      <w:numFmt w:val="decimal"/>
      <w:lvlText w:val=""/>
      <w:lvlJc w:val="left"/>
    </w:lvl>
    <w:lvl w:ilvl="4" w:tplc="13BC7416">
      <w:numFmt w:val="decimal"/>
      <w:lvlText w:val=""/>
      <w:lvlJc w:val="left"/>
    </w:lvl>
    <w:lvl w:ilvl="5" w:tplc="F174B190">
      <w:numFmt w:val="decimal"/>
      <w:lvlText w:val=""/>
      <w:lvlJc w:val="left"/>
    </w:lvl>
    <w:lvl w:ilvl="6" w:tplc="5AF4C4D4">
      <w:numFmt w:val="decimal"/>
      <w:lvlText w:val=""/>
      <w:lvlJc w:val="left"/>
    </w:lvl>
    <w:lvl w:ilvl="7" w:tplc="AF5CD660">
      <w:numFmt w:val="decimal"/>
      <w:lvlText w:val=""/>
      <w:lvlJc w:val="left"/>
    </w:lvl>
    <w:lvl w:ilvl="8" w:tplc="D3829EAE">
      <w:numFmt w:val="decimal"/>
      <w:lvlText w:val=""/>
      <w:lvlJc w:val="left"/>
    </w:lvl>
  </w:abstractNum>
  <w:abstractNum w:abstractNumId="6" w15:restartNumberingAfterBreak="0">
    <w:nsid w:val="12DB08E5"/>
    <w:multiLevelType w:val="hybridMultilevel"/>
    <w:tmpl w:val="F0D605DA"/>
    <w:lvl w:ilvl="0" w:tplc="F38CFC8C">
      <w:start w:val="1"/>
      <w:numFmt w:val="decimal"/>
      <w:lvlText w:val="%1."/>
      <w:lvlJc w:val="left"/>
      <w:pPr>
        <w:tabs>
          <w:tab w:val="num" w:pos="900"/>
        </w:tabs>
        <w:ind w:left="540" w:hanging="360"/>
      </w:pPr>
    </w:lvl>
    <w:lvl w:ilvl="1" w:tplc="390877CC">
      <w:numFmt w:val="decimal"/>
      <w:lvlText w:val=""/>
      <w:lvlJc w:val="left"/>
    </w:lvl>
    <w:lvl w:ilvl="2" w:tplc="417A494A">
      <w:numFmt w:val="decimal"/>
      <w:lvlText w:val=""/>
      <w:lvlJc w:val="left"/>
    </w:lvl>
    <w:lvl w:ilvl="3" w:tplc="33AA8B02">
      <w:numFmt w:val="decimal"/>
      <w:lvlText w:val=""/>
      <w:lvlJc w:val="left"/>
    </w:lvl>
    <w:lvl w:ilvl="4" w:tplc="5FD6F53A">
      <w:numFmt w:val="decimal"/>
      <w:lvlText w:val=""/>
      <w:lvlJc w:val="left"/>
    </w:lvl>
    <w:lvl w:ilvl="5" w:tplc="3F12FC3A">
      <w:numFmt w:val="decimal"/>
      <w:lvlText w:val=""/>
      <w:lvlJc w:val="left"/>
    </w:lvl>
    <w:lvl w:ilvl="6" w:tplc="DE889C14">
      <w:numFmt w:val="decimal"/>
      <w:lvlText w:val=""/>
      <w:lvlJc w:val="left"/>
    </w:lvl>
    <w:lvl w:ilvl="7" w:tplc="532AC580">
      <w:numFmt w:val="decimal"/>
      <w:lvlText w:val=""/>
      <w:lvlJc w:val="left"/>
    </w:lvl>
    <w:lvl w:ilvl="8" w:tplc="4AB8C69A">
      <w:numFmt w:val="decimal"/>
      <w:lvlText w:val=""/>
      <w:lvlJc w:val="left"/>
    </w:lvl>
  </w:abstractNum>
  <w:abstractNum w:abstractNumId="7" w15:restartNumberingAfterBreak="0">
    <w:nsid w:val="17387DF2"/>
    <w:multiLevelType w:val="hybridMultilevel"/>
    <w:tmpl w:val="0BAABBFA"/>
    <w:lvl w:ilvl="0" w:tplc="D5C6BEF0">
      <w:start w:val="1"/>
      <w:numFmt w:val="bullet"/>
      <w:lvlText w:val=""/>
      <w:lvlJc w:val="left"/>
      <w:pPr>
        <w:tabs>
          <w:tab w:val="num" w:pos="900"/>
        </w:tabs>
        <w:ind w:left="540" w:hanging="360"/>
      </w:pPr>
      <w:rPr>
        <w:rFonts w:ascii="Symbol" w:hAnsi="Symbol" w:hint="default"/>
      </w:rPr>
    </w:lvl>
    <w:lvl w:ilvl="1" w:tplc="B6185710">
      <w:numFmt w:val="decimal"/>
      <w:lvlText w:val=""/>
      <w:lvlJc w:val="left"/>
    </w:lvl>
    <w:lvl w:ilvl="2" w:tplc="5450184C">
      <w:numFmt w:val="decimal"/>
      <w:lvlText w:val=""/>
      <w:lvlJc w:val="left"/>
    </w:lvl>
    <w:lvl w:ilvl="3" w:tplc="8BD02440">
      <w:numFmt w:val="decimal"/>
      <w:lvlText w:val=""/>
      <w:lvlJc w:val="left"/>
    </w:lvl>
    <w:lvl w:ilvl="4" w:tplc="23BC259A">
      <w:numFmt w:val="decimal"/>
      <w:lvlText w:val=""/>
      <w:lvlJc w:val="left"/>
    </w:lvl>
    <w:lvl w:ilvl="5" w:tplc="D2860466">
      <w:numFmt w:val="decimal"/>
      <w:lvlText w:val=""/>
      <w:lvlJc w:val="left"/>
    </w:lvl>
    <w:lvl w:ilvl="6" w:tplc="3ECC8710">
      <w:numFmt w:val="decimal"/>
      <w:lvlText w:val=""/>
      <w:lvlJc w:val="left"/>
    </w:lvl>
    <w:lvl w:ilvl="7" w:tplc="19C63E10">
      <w:numFmt w:val="decimal"/>
      <w:lvlText w:val=""/>
      <w:lvlJc w:val="left"/>
    </w:lvl>
    <w:lvl w:ilvl="8" w:tplc="72FCA03A">
      <w:numFmt w:val="decimal"/>
      <w:lvlText w:val=""/>
      <w:lvlJc w:val="left"/>
    </w:lvl>
  </w:abstractNum>
  <w:abstractNum w:abstractNumId="8" w15:restartNumberingAfterBreak="0">
    <w:nsid w:val="182873D2"/>
    <w:multiLevelType w:val="hybridMultilevel"/>
    <w:tmpl w:val="FCE20138"/>
    <w:lvl w:ilvl="0" w:tplc="2042E320">
      <w:start w:val="1"/>
      <w:numFmt w:val="bullet"/>
      <w:lvlText w:val=""/>
      <w:lvlJc w:val="left"/>
      <w:pPr>
        <w:tabs>
          <w:tab w:val="num" w:pos="900"/>
        </w:tabs>
        <w:ind w:left="540" w:hanging="360"/>
      </w:pPr>
      <w:rPr>
        <w:rFonts w:ascii="Symbol" w:hAnsi="Symbol" w:hint="default"/>
      </w:rPr>
    </w:lvl>
    <w:lvl w:ilvl="1" w:tplc="05E0BD28">
      <w:numFmt w:val="decimal"/>
      <w:lvlText w:val=""/>
      <w:lvlJc w:val="left"/>
    </w:lvl>
    <w:lvl w:ilvl="2" w:tplc="2DAA4382">
      <w:numFmt w:val="decimal"/>
      <w:lvlText w:val=""/>
      <w:lvlJc w:val="left"/>
    </w:lvl>
    <w:lvl w:ilvl="3" w:tplc="27F6766C">
      <w:numFmt w:val="decimal"/>
      <w:lvlText w:val=""/>
      <w:lvlJc w:val="left"/>
    </w:lvl>
    <w:lvl w:ilvl="4" w:tplc="80A25F2E">
      <w:numFmt w:val="decimal"/>
      <w:lvlText w:val=""/>
      <w:lvlJc w:val="left"/>
    </w:lvl>
    <w:lvl w:ilvl="5" w:tplc="EA0EB77E">
      <w:numFmt w:val="decimal"/>
      <w:lvlText w:val=""/>
      <w:lvlJc w:val="left"/>
    </w:lvl>
    <w:lvl w:ilvl="6" w:tplc="D20485AC">
      <w:numFmt w:val="decimal"/>
      <w:lvlText w:val=""/>
      <w:lvlJc w:val="left"/>
    </w:lvl>
    <w:lvl w:ilvl="7" w:tplc="8240545E">
      <w:numFmt w:val="decimal"/>
      <w:lvlText w:val=""/>
      <w:lvlJc w:val="left"/>
    </w:lvl>
    <w:lvl w:ilvl="8" w:tplc="05A294EC">
      <w:numFmt w:val="decimal"/>
      <w:lvlText w:val=""/>
      <w:lvlJc w:val="left"/>
    </w:lvl>
  </w:abstractNum>
  <w:abstractNum w:abstractNumId="9" w15:restartNumberingAfterBreak="0">
    <w:nsid w:val="1C342225"/>
    <w:multiLevelType w:val="hybridMultilevel"/>
    <w:tmpl w:val="29E22A3E"/>
    <w:lvl w:ilvl="0" w:tplc="E32A3FF4">
      <w:start w:val="1"/>
      <w:numFmt w:val="bullet"/>
      <w:lvlText w:val=""/>
      <w:lvlJc w:val="left"/>
      <w:pPr>
        <w:tabs>
          <w:tab w:val="num" w:pos="900"/>
        </w:tabs>
        <w:ind w:left="540" w:hanging="360"/>
      </w:pPr>
      <w:rPr>
        <w:rFonts w:ascii="Symbol" w:hAnsi="Symbol" w:hint="default"/>
      </w:rPr>
    </w:lvl>
    <w:lvl w:ilvl="1" w:tplc="CEB2363A">
      <w:numFmt w:val="decimal"/>
      <w:lvlText w:val=""/>
      <w:lvlJc w:val="left"/>
    </w:lvl>
    <w:lvl w:ilvl="2" w:tplc="C50CE366">
      <w:numFmt w:val="decimal"/>
      <w:lvlText w:val=""/>
      <w:lvlJc w:val="left"/>
    </w:lvl>
    <w:lvl w:ilvl="3" w:tplc="824C430A">
      <w:numFmt w:val="decimal"/>
      <w:lvlText w:val=""/>
      <w:lvlJc w:val="left"/>
    </w:lvl>
    <w:lvl w:ilvl="4" w:tplc="42CC0C1E">
      <w:numFmt w:val="decimal"/>
      <w:lvlText w:val=""/>
      <w:lvlJc w:val="left"/>
    </w:lvl>
    <w:lvl w:ilvl="5" w:tplc="45C06D8C">
      <w:numFmt w:val="decimal"/>
      <w:lvlText w:val=""/>
      <w:lvlJc w:val="left"/>
    </w:lvl>
    <w:lvl w:ilvl="6" w:tplc="0E682928">
      <w:numFmt w:val="decimal"/>
      <w:lvlText w:val=""/>
      <w:lvlJc w:val="left"/>
    </w:lvl>
    <w:lvl w:ilvl="7" w:tplc="4E880D8A">
      <w:numFmt w:val="decimal"/>
      <w:lvlText w:val=""/>
      <w:lvlJc w:val="left"/>
    </w:lvl>
    <w:lvl w:ilvl="8" w:tplc="EE025608">
      <w:numFmt w:val="decimal"/>
      <w:lvlText w:val=""/>
      <w:lvlJc w:val="left"/>
    </w:lvl>
  </w:abstractNum>
  <w:abstractNum w:abstractNumId="10" w15:restartNumberingAfterBreak="0">
    <w:nsid w:val="1C510941"/>
    <w:multiLevelType w:val="hybridMultilevel"/>
    <w:tmpl w:val="60CAB3EE"/>
    <w:lvl w:ilvl="0" w:tplc="625AA1C4">
      <w:start w:val="1"/>
      <w:numFmt w:val="decimal"/>
      <w:lvlText w:val="%1."/>
      <w:lvlJc w:val="left"/>
      <w:pPr>
        <w:tabs>
          <w:tab w:val="num" w:pos="900"/>
        </w:tabs>
        <w:ind w:left="540" w:hanging="360"/>
      </w:pPr>
    </w:lvl>
    <w:lvl w:ilvl="1" w:tplc="674E8CF0">
      <w:numFmt w:val="decimal"/>
      <w:lvlText w:val=""/>
      <w:lvlJc w:val="left"/>
    </w:lvl>
    <w:lvl w:ilvl="2" w:tplc="5B64A7E2">
      <w:numFmt w:val="decimal"/>
      <w:lvlText w:val=""/>
      <w:lvlJc w:val="left"/>
    </w:lvl>
    <w:lvl w:ilvl="3" w:tplc="1B2237B6">
      <w:numFmt w:val="decimal"/>
      <w:lvlText w:val=""/>
      <w:lvlJc w:val="left"/>
    </w:lvl>
    <w:lvl w:ilvl="4" w:tplc="92DA4520">
      <w:numFmt w:val="decimal"/>
      <w:lvlText w:val=""/>
      <w:lvlJc w:val="left"/>
    </w:lvl>
    <w:lvl w:ilvl="5" w:tplc="426A62D8">
      <w:numFmt w:val="decimal"/>
      <w:lvlText w:val=""/>
      <w:lvlJc w:val="left"/>
    </w:lvl>
    <w:lvl w:ilvl="6" w:tplc="7806ECEE">
      <w:numFmt w:val="decimal"/>
      <w:lvlText w:val=""/>
      <w:lvlJc w:val="left"/>
    </w:lvl>
    <w:lvl w:ilvl="7" w:tplc="2EBE95A2">
      <w:numFmt w:val="decimal"/>
      <w:lvlText w:val=""/>
      <w:lvlJc w:val="left"/>
    </w:lvl>
    <w:lvl w:ilvl="8" w:tplc="14C6380E">
      <w:numFmt w:val="decimal"/>
      <w:lvlText w:val=""/>
      <w:lvlJc w:val="left"/>
    </w:lvl>
  </w:abstractNum>
  <w:abstractNum w:abstractNumId="11" w15:restartNumberingAfterBreak="0">
    <w:nsid w:val="1D7429D6"/>
    <w:multiLevelType w:val="hybridMultilevel"/>
    <w:tmpl w:val="46326F22"/>
    <w:lvl w:ilvl="0" w:tplc="D90637D8">
      <w:start w:val="1"/>
      <w:numFmt w:val="bullet"/>
      <w:lvlText w:val=""/>
      <w:lvlJc w:val="left"/>
      <w:pPr>
        <w:tabs>
          <w:tab w:val="num" w:pos="1080"/>
        </w:tabs>
        <w:ind w:left="720" w:hanging="360"/>
      </w:pPr>
      <w:rPr>
        <w:rFonts w:ascii="Symbol" w:hAnsi="Symbol" w:hint="default"/>
      </w:rPr>
    </w:lvl>
    <w:lvl w:ilvl="1" w:tplc="CAB2B562">
      <w:numFmt w:val="decimal"/>
      <w:lvlText w:val=""/>
      <w:lvlJc w:val="left"/>
    </w:lvl>
    <w:lvl w:ilvl="2" w:tplc="065C4968">
      <w:numFmt w:val="decimal"/>
      <w:lvlText w:val=""/>
      <w:lvlJc w:val="left"/>
    </w:lvl>
    <w:lvl w:ilvl="3" w:tplc="A904A218">
      <w:numFmt w:val="decimal"/>
      <w:lvlText w:val=""/>
      <w:lvlJc w:val="left"/>
    </w:lvl>
    <w:lvl w:ilvl="4" w:tplc="0B6ED4AC">
      <w:numFmt w:val="decimal"/>
      <w:lvlText w:val=""/>
      <w:lvlJc w:val="left"/>
    </w:lvl>
    <w:lvl w:ilvl="5" w:tplc="5AA4A210">
      <w:numFmt w:val="decimal"/>
      <w:lvlText w:val=""/>
      <w:lvlJc w:val="left"/>
    </w:lvl>
    <w:lvl w:ilvl="6" w:tplc="B54EFD7E">
      <w:numFmt w:val="decimal"/>
      <w:lvlText w:val=""/>
      <w:lvlJc w:val="left"/>
    </w:lvl>
    <w:lvl w:ilvl="7" w:tplc="669856FA">
      <w:numFmt w:val="decimal"/>
      <w:lvlText w:val=""/>
      <w:lvlJc w:val="left"/>
    </w:lvl>
    <w:lvl w:ilvl="8" w:tplc="1738481E">
      <w:numFmt w:val="decimal"/>
      <w:lvlText w:val=""/>
      <w:lvlJc w:val="left"/>
    </w:lvl>
  </w:abstractNum>
  <w:abstractNum w:abstractNumId="12" w15:restartNumberingAfterBreak="0">
    <w:nsid w:val="1F3A1ADA"/>
    <w:multiLevelType w:val="hybridMultilevel"/>
    <w:tmpl w:val="B754B92E"/>
    <w:lvl w:ilvl="0" w:tplc="AC885380">
      <w:start w:val="1"/>
      <w:numFmt w:val="bullet"/>
      <w:lvlText w:val=""/>
      <w:lvlJc w:val="left"/>
      <w:pPr>
        <w:tabs>
          <w:tab w:val="num" w:pos="1080"/>
        </w:tabs>
        <w:ind w:left="720" w:hanging="360"/>
      </w:pPr>
      <w:rPr>
        <w:rFonts w:ascii="Symbol" w:hAnsi="Symbol" w:hint="default"/>
      </w:rPr>
    </w:lvl>
    <w:lvl w:ilvl="1" w:tplc="B6A0A5DC">
      <w:numFmt w:val="decimal"/>
      <w:lvlText w:val=""/>
      <w:lvlJc w:val="left"/>
    </w:lvl>
    <w:lvl w:ilvl="2" w:tplc="5F1AC944">
      <w:numFmt w:val="decimal"/>
      <w:lvlText w:val=""/>
      <w:lvlJc w:val="left"/>
    </w:lvl>
    <w:lvl w:ilvl="3" w:tplc="BB72BD38">
      <w:numFmt w:val="decimal"/>
      <w:lvlText w:val=""/>
      <w:lvlJc w:val="left"/>
    </w:lvl>
    <w:lvl w:ilvl="4" w:tplc="C034232A">
      <w:numFmt w:val="decimal"/>
      <w:lvlText w:val=""/>
      <w:lvlJc w:val="left"/>
    </w:lvl>
    <w:lvl w:ilvl="5" w:tplc="5D947CE8">
      <w:numFmt w:val="decimal"/>
      <w:lvlText w:val=""/>
      <w:lvlJc w:val="left"/>
    </w:lvl>
    <w:lvl w:ilvl="6" w:tplc="735C23AE">
      <w:numFmt w:val="decimal"/>
      <w:lvlText w:val=""/>
      <w:lvlJc w:val="left"/>
    </w:lvl>
    <w:lvl w:ilvl="7" w:tplc="2F006946">
      <w:numFmt w:val="decimal"/>
      <w:lvlText w:val=""/>
      <w:lvlJc w:val="left"/>
    </w:lvl>
    <w:lvl w:ilvl="8" w:tplc="2C3C52E4">
      <w:numFmt w:val="decimal"/>
      <w:lvlText w:val=""/>
      <w:lvlJc w:val="left"/>
    </w:lvl>
  </w:abstractNum>
  <w:abstractNum w:abstractNumId="13" w15:restartNumberingAfterBreak="0">
    <w:nsid w:val="218B07F5"/>
    <w:multiLevelType w:val="hybridMultilevel"/>
    <w:tmpl w:val="C76AE09A"/>
    <w:lvl w:ilvl="0" w:tplc="04A6C3FC">
      <w:start w:val="1"/>
      <w:numFmt w:val="bullet"/>
      <w:lvlText w:val=""/>
      <w:lvlJc w:val="left"/>
      <w:pPr>
        <w:tabs>
          <w:tab w:val="num" w:pos="900"/>
        </w:tabs>
        <w:ind w:left="540" w:hanging="360"/>
      </w:pPr>
      <w:rPr>
        <w:rFonts w:ascii="Symbol" w:hAnsi="Symbol" w:hint="default"/>
      </w:rPr>
    </w:lvl>
    <w:lvl w:ilvl="1" w:tplc="3FE6B8E8">
      <w:numFmt w:val="decimal"/>
      <w:lvlText w:val=""/>
      <w:lvlJc w:val="left"/>
    </w:lvl>
    <w:lvl w:ilvl="2" w:tplc="323204FA">
      <w:numFmt w:val="decimal"/>
      <w:lvlText w:val=""/>
      <w:lvlJc w:val="left"/>
    </w:lvl>
    <w:lvl w:ilvl="3" w:tplc="51AC833C">
      <w:numFmt w:val="decimal"/>
      <w:lvlText w:val=""/>
      <w:lvlJc w:val="left"/>
    </w:lvl>
    <w:lvl w:ilvl="4" w:tplc="1D603770">
      <w:numFmt w:val="decimal"/>
      <w:lvlText w:val=""/>
      <w:lvlJc w:val="left"/>
    </w:lvl>
    <w:lvl w:ilvl="5" w:tplc="1A348BE2">
      <w:numFmt w:val="decimal"/>
      <w:lvlText w:val=""/>
      <w:lvlJc w:val="left"/>
    </w:lvl>
    <w:lvl w:ilvl="6" w:tplc="F4E0FCD0">
      <w:numFmt w:val="decimal"/>
      <w:lvlText w:val=""/>
      <w:lvlJc w:val="left"/>
    </w:lvl>
    <w:lvl w:ilvl="7" w:tplc="4022A6C6">
      <w:numFmt w:val="decimal"/>
      <w:lvlText w:val=""/>
      <w:lvlJc w:val="left"/>
    </w:lvl>
    <w:lvl w:ilvl="8" w:tplc="8CD0775E">
      <w:numFmt w:val="decimal"/>
      <w:lvlText w:val=""/>
      <w:lvlJc w:val="left"/>
    </w:lvl>
  </w:abstractNum>
  <w:abstractNum w:abstractNumId="14" w15:restartNumberingAfterBreak="0">
    <w:nsid w:val="21A57A91"/>
    <w:multiLevelType w:val="hybridMultilevel"/>
    <w:tmpl w:val="C41AC866"/>
    <w:lvl w:ilvl="0" w:tplc="81F64894">
      <w:start w:val="1"/>
      <w:numFmt w:val="bullet"/>
      <w:lvlText w:val=""/>
      <w:lvlJc w:val="left"/>
      <w:pPr>
        <w:tabs>
          <w:tab w:val="num" w:pos="900"/>
        </w:tabs>
        <w:ind w:left="540" w:hanging="360"/>
      </w:pPr>
      <w:rPr>
        <w:rFonts w:ascii="Symbol" w:hAnsi="Symbol" w:hint="default"/>
      </w:rPr>
    </w:lvl>
    <w:lvl w:ilvl="1" w:tplc="D9821390">
      <w:numFmt w:val="decimal"/>
      <w:lvlText w:val=""/>
      <w:lvlJc w:val="left"/>
    </w:lvl>
    <w:lvl w:ilvl="2" w:tplc="F418C4E2">
      <w:numFmt w:val="decimal"/>
      <w:lvlText w:val=""/>
      <w:lvlJc w:val="left"/>
    </w:lvl>
    <w:lvl w:ilvl="3" w:tplc="B35A0476">
      <w:numFmt w:val="decimal"/>
      <w:lvlText w:val=""/>
      <w:lvlJc w:val="left"/>
    </w:lvl>
    <w:lvl w:ilvl="4" w:tplc="783AB4AC">
      <w:numFmt w:val="decimal"/>
      <w:lvlText w:val=""/>
      <w:lvlJc w:val="left"/>
    </w:lvl>
    <w:lvl w:ilvl="5" w:tplc="A99EADAC">
      <w:numFmt w:val="decimal"/>
      <w:lvlText w:val=""/>
      <w:lvlJc w:val="left"/>
    </w:lvl>
    <w:lvl w:ilvl="6" w:tplc="3DBEF54E">
      <w:numFmt w:val="decimal"/>
      <w:lvlText w:val=""/>
      <w:lvlJc w:val="left"/>
    </w:lvl>
    <w:lvl w:ilvl="7" w:tplc="4FE80728">
      <w:numFmt w:val="decimal"/>
      <w:lvlText w:val=""/>
      <w:lvlJc w:val="left"/>
    </w:lvl>
    <w:lvl w:ilvl="8" w:tplc="F61044CE">
      <w:numFmt w:val="decimal"/>
      <w:lvlText w:val=""/>
      <w:lvlJc w:val="left"/>
    </w:lvl>
  </w:abstractNum>
  <w:abstractNum w:abstractNumId="15" w15:restartNumberingAfterBreak="0">
    <w:nsid w:val="22CB7ED0"/>
    <w:multiLevelType w:val="hybridMultilevel"/>
    <w:tmpl w:val="A87C26EE"/>
    <w:lvl w:ilvl="0" w:tplc="FD58B040">
      <w:start w:val="1"/>
      <w:numFmt w:val="bullet"/>
      <w:lvlText w:val=""/>
      <w:lvlJc w:val="left"/>
      <w:pPr>
        <w:tabs>
          <w:tab w:val="num" w:pos="900"/>
        </w:tabs>
        <w:ind w:left="540" w:hanging="360"/>
      </w:pPr>
      <w:rPr>
        <w:rFonts w:ascii="Symbol" w:hAnsi="Symbol" w:hint="default"/>
      </w:rPr>
    </w:lvl>
    <w:lvl w:ilvl="1" w:tplc="12E2DA4A">
      <w:numFmt w:val="decimal"/>
      <w:lvlText w:val=""/>
      <w:lvlJc w:val="left"/>
    </w:lvl>
    <w:lvl w:ilvl="2" w:tplc="E3D0529C">
      <w:numFmt w:val="decimal"/>
      <w:lvlText w:val=""/>
      <w:lvlJc w:val="left"/>
    </w:lvl>
    <w:lvl w:ilvl="3" w:tplc="BADC0EB6">
      <w:numFmt w:val="decimal"/>
      <w:lvlText w:val=""/>
      <w:lvlJc w:val="left"/>
    </w:lvl>
    <w:lvl w:ilvl="4" w:tplc="B030BE3E">
      <w:numFmt w:val="decimal"/>
      <w:lvlText w:val=""/>
      <w:lvlJc w:val="left"/>
    </w:lvl>
    <w:lvl w:ilvl="5" w:tplc="DDA6B376">
      <w:numFmt w:val="decimal"/>
      <w:lvlText w:val=""/>
      <w:lvlJc w:val="left"/>
    </w:lvl>
    <w:lvl w:ilvl="6" w:tplc="5450D66C">
      <w:numFmt w:val="decimal"/>
      <w:lvlText w:val=""/>
      <w:lvlJc w:val="left"/>
    </w:lvl>
    <w:lvl w:ilvl="7" w:tplc="97A63786">
      <w:numFmt w:val="decimal"/>
      <w:lvlText w:val=""/>
      <w:lvlJc w:val="left"/>
    </w:lvl>
    <w:lvl w:ilvl="8" w:tplc="9F5878DC">
      <w:numFmt w:val="decimal"/>
      <w:lvlText w:val=""/>
      <w:lvlJc w:val="left"/>
    </w:lvl>
  </w:abstractNum>
  <w:abstractNum w:abstractNumId="16" w15:restartNumberingAfterBreak="0">
    <w:nsid w:val="23C451A9"/>
    <w:multiLevelType w:val="hybridMultilevel"/>
    <w:tmpl w:val="01FC9546"/>
    <w:lvl w:ilvl="0" w:tplc="39303142">
      <w:start w:val="1"/>
      <w:numFmt w:val="bullet"/>
      <w:lvlText w:val=""/>
      <w:lvlJc w:val="left"/>
      <w:pPr>
        <w:tabs>
          <w:tab w:val="num" w:pos="1080"/>
        </w:tabs>
        <w:ind w:left="720" w:hanging="360"/>
      </w:pPr>
      <w:rPr>
        <w:rFonts w:ascii="Symbol" w:hAnsi="Symbol" w:hint="default"/>
      </w:rPr>
    </w:lvl>
    <w:lvl w:ilvl="1" w:tplc="14902B30">
      <w:numFmt w:val="decimal"/>
      <w:lvlText w:val=""/>
      <w:lvlJc w:val="left"/>
    </w:lvl>
    <w:lvl w:ilvl="2" w:tplc="2AA8E528">
      <w:numFmt w:val="decimal"/>
      <w:lvlText w:val=""/>
      <w:lvlJc w:val="left"/>
    </w:lvl>
    <w:lvl w:ilvl="3" w:tplc="AA6200AA">
      <w:numFmt w:val="decimal"/>
      <w:lvlText w:val=""/>
      <w:lvlJc w:val="left"/>
    </w:lvl>
    <w:lvl w:ilvl="4" w:tplc="DE20EDCA">
      <w:numFmt w:val="decimal"/>
      <w:lvlText w:val=""/>
      <w:lvlJc w:val="left"/>
    </w:lvl>
    <w:lvl w:ilvl="5" w:tplc="0CBCD0AC">
      <w:numFmt w:val="decimal"/>
      <w:lvlText w:val=""/>
      <w:lvlJc w:val="left"/>
    </w:lvl>
    <w:lvl w:ilvl="6" w:tplc="E744C290">
      <w:numFmt w:val="decimal"/>
      <w:lvlText w:val=""/>
      <w:lvlJc w:val="left"/>
    </w:lvl>
    <w:lvl w:ilvl="7" w:tplc="96C6BD9E">
      <w:numFmt w:val="decimal"/>
      <w:lvlText w:val=""/>
      <w:lvlJc w:val="left"/>
    </w:lvl>
    <w:lvl w:ilvl="8" w:tplc="F15E4DEC">
      <w:numFmt w:val="decimal"/>
      <w:lvlText w:val=""/>
      <w:lvlJc w:val="left"/>
    </w:lvl>
  </w:abstractNum>
  <w:abstractNum w:abstractNumId="17" w15:restartNumberingAfterBreak="0">
    <w:nsid w:val="24807E99"/>
    <w:multiLevelType w:val="hybridMultilevel"/>
    <w:tmpl w:val="12AE1A5C"/>
    <w:lvl w:ilvl="0" w:tplc="C0A293C6">
      <w:start w:val="1"/>
      <w:numFmt w:val="bullet"/>
      <w:lvlText w:val=""/>
      <w:lvlJc w:val="left"/>
      <w:pPr>
        <w:tabs>
          <w:tab w:val="num" w:pos="1080"/>
        </w:tabs>
        <w:ind w:left="720" w:hanging="360"/>
      </w:pPr>
      <w:rPr>
        <w:rFonts w:ascii="Symbol" w:hAnsi="Symbol" w:hint="default"/>
      </w:rPr>
    </w:lvl>
    <w:lvl w:ilvl="1" w:tplc="B1105ECC">
      <w:numFmt w:val="decimal"/>
      <w:lvlText w:val=""/>
      <w:lvlJc w:val="left"/>
    </w:lvl>
    <w:lvl w:ilvl="2" w:tplc="133893A0">
      <w:numFmt w:val="decimal"/>
      <w:lvlText w:val=""/>
      <w:lvlJc w:val="left"/>
    </w:lvl>
    <w:lvl w:ilvl="3" w:tplc="D3C01E60">
      <w:numFmt w:val="decimal"/>
      <w:lvlText w:val=""/>
      <w:lvlJc w:val="left"/>
    </w:lvl>
    <w:lvl w:ilvl="4" w:tplc="C5D0309A">
      <w:numFmt w:val="decimal"/>
      <w:lvlText w:val=""/>
      <w:lvlJc w:val="left"/>
    </w:lvl>
    <w:lvl w:ilvl="5" w:tplc="F3303F44">
      <w:numFmt w:val="decimal"/>
      <w:lvlText w:val=""/>
      <w:lvlJc w:val="left"/>
    </w:lvl>
    <w:lvl w:ilvl="6" w:tplc="6100C1F8">
      <w:numFmt w:val="decimal"/>
      <w:lvlText w:val=""/>
      <w:lvlJc w:val="left"/>
    </w:lvl>
    <w:lvl w:ilvl="7" w:tplc="BF0E187E">
      <w:numFmt w:val="decimal"/>
      <w:lvlText w:val=""/>
      <w:lvlJc w:val="left"/>
    </w:lvl>
    <w:lvl w:ilvl="8" w:tplc="F028F2C6">
      <w:numFmt w:val="decimal"/>
      <w:lvlText w:val=""/>
      <w:lvlJc w:val="left"/>
    </w:lvl>
  </w:abstractNum>
  <w:abstractNum w:abstractNumId="18" w15:restartNumberingAfterBreak="0">
    <w:nsid w:val="27A941E8"/>
    <w:multiLevelType w:val="hybridMultilevel"/>
    <w:tmpl w:val="599657E8"/>
    <w:lvl w:ilvl="0" w:tplc="F0884BE6">
      <w:start w:val="1"/>
      <w:numFmt w:val="bullet"/>
      <w:lvlText w:val=""/>
      <w:lvlJc w:val="left"/>
      <w:pPr>
        <w:tabs>
          <w:tab w:val="num" w:pos="900"/>
        </w:tabs>
        <w:ind w:left="540" w:hanging="360"/>
      </w:pPr>
      <w:rPr>
        <w:rFonts w:ascii="Symbol" w:hAnsi="Symbol" w:hint="default"/>
      </w:rPr>
    </w:lvl>
    <w:lvl w:ilvl="1" w:tplc="0562D0CC">
      <w:numFmt w:val="decimal"/>
      <w:lvlText w:val=""/>
      <w:lvlJc w:val="left"/>
    </w:lvl>
    <w:lvl w:ilvl="2" w:tplc="DE829BC8">
      <w:numFmt w:val="decimal"/>
      <w:lvlText w:val=""/>
      <w:lvlJc w:val="left"/>
    </w:lvl>
    <w:lvl w:ilvl="3" w:tplc="F4EA4BE6">
      <w:numFmt w:val="decimal"/>
      <w:lvlText w:val=""/>
      <w:lvlJc w:val="left"/>
    </w:lvl>
    <w:lvl w:ilvl="4" w:tplc="173A891E">
      <w:numFmt w:val="decimal"/>
      <w:lvlText w:val=""/>
      <w:lvlJc w:val="left"/>
    </w:lvl>
    <w:lvl w:ilvl="5" w:tplc="A59A8742">
      <w:numFmt w:val="decimal"/>
      <w:lvlText w:val=""/>
      <w:lvlJc w:val="left"/>
    </w:lvl>
    <w:lvl w:ilvl="6" w:tplc="8E1081D6">
      <w:numFmt w:val="decimal"/>
      <w:lvlText w:val=""/>
      <w:lvlJc w:val="left"/>
    </w:lvl>
    <w:lvl w:ilvl="7" w:tplc="691CC858">
      <w:numFmt w:val="decimal"/>
      <w:lvlText w:val=""/>
      <w:lvlJc w:val="left"/>
    </w:lvl>
    <w:lvl w:ilvl="8" w:tplc="70CC9FD2">
      <w:numFmt w:val="decimal"/>
      <w:lvlText w:val=""/>
      <w:lvlJc w:val="left"/>
    </w:lvl>
  </w:abstractNum>
  <w:abstractNum w:abstractNumId="19" w15:restartNumberingAfterBreak="0">
    <w:nsid w:val="2A6E79EF"/>
    <w:multiLevelType w:val="hybridMultilevel"/>
    <w:tmpl w:val="48C084B2"/>
    <w:lvl w:ilvl="0" w:tplc="0F302004">
      <w:start w:val="1"/>
      <w:numFmt w:val="bullet"/>
      <w:lvlText w:val=""/>
      <w:lvlJc w:val="left"/>
      <w:pPr>
        <w:tabs>
          <w:tab w:val="num" w:pos="1080"/>
        </w:tabs>
        <w:ind w:left="720" w:hanging="360"/>
      </w:pPr>
      <w:rPr>
        <w:rFonts w:ascii="Symbol" w:hAnsi="Symbol" w:hint="default"/>
      </w:rPr>
    </w:lvl>
    <w:lvl w:ilvl="1" w:tplc="98BAA6AE">
      <w:numFmt w:val="decimal"/>
      <w:lvlText w:val=""/>
      <w:lvlJc w:val="left"/>
    </w:lvl>
    <w:lvl w:ilvl="2" w:tplc="E34681F0">
      <w:numFmt w:val="decimal"/>
      <w:lvlText w:val=""/>
      <w:lvlJc w:val="left"/>
    </w:lvl>
    <w:lvl w:ilvl="3" w:tplc="50CC18C2">
      <w:numFmt w:val="decimal"/>
      <w:lvlText w:val=""/>
      <w:lvlJc w:val="left"/>
    </w:lvl>
    <w:lvl w:ilvl="4" w:tplc="3E300E6C">
      <w:numFmt w:val="decimal"/>
      <w:lvlText w:val=""/>
      <w:lvlJc w:val="left"/>
    </w:lvl>
    <w:lvl w:ilvl="5" w:tplc="88B03584">
      <w:numFmt w:val="decimal"/>
      <w:lvlText w:val=""/>
      <w:lvlJc w:val="left"/>
    </w:lvl>
    <w:lvl w:ilvl="6" w:tplc="833E4A58">
      <w:numFmt w:val="decimal"/>
      <w:lvlText w:val=""/>
      <w:lvlJc w:val="left"/>
    </w:lvl>
    <w:lvl w:ilvl="7" w:tplc="939C6766">
      <w:numFmt w:val="decimal"/>
      <w:lvlText w:val=""/>
      <w:lvlJc w:val="left"/>
    </w:lvl>
    <w:lvl w:ilvl="8" w:tplc="50CC35F8">
      <w:numFmt w:val="decimal"/>
      <w:lvlText w:val=""/>
      <w:lvlJc w:val="left"/>
    </w:lvl>
  </w:abstractNum>
  <w:abstractNum w:abstractNumId="20" w15:restartNumberingAfterBreak="0">
    <w:nsid w:val="2BA648F3"/>
    <w:multiLevelType w:val="hybridMultilevel"/>
    <w:tmpl w:val="A100FE86"/>
    <w:lvl w:ilvl="0" w:tplc="1B34D8D2">
      <w:start w:val="1"/>
      <w:numFmt w:val="bullet"/>
      <w:lvlText w:val=""/>
      <w:lvlJc w:val="left"/>
      <w:pPr>
        <w:tabs>
          <w:tab w:val="num" w:pos="1080"/>
        </w:tabs>
        <w:ind w:left="720" w:hanging="360"/>
      </w:pPr>
      <w:rPr>
        <w:rFonts w:ascii="Symbol" w:hAnsi="Symbol" w:hint="default"/>
      </w:rPr>
    </w:lvl>
    <w:lvl w:ilvl="1" w:tplc="AB101B16">
      <w:numFmt w:val="decimal"/>
      <w:lvlText w:val=""/>
      <w:lvlJc w:val="left"/>
    </w:lvl>
    <w:lvl w:ilvl="2" w:tplc="622A5316">
      <w:numFmt w:val="decimal"/>
      <w:lvlText w:val=""/>
      <w:lvlJc w:val="left"/>
    </w:lvl>
    <w:lvl w:ilvl="3" w:tplc="03F64108">
      <w:numFmt w:val="decimal"/>
      <w:lvlText w:val=""/>
      <w:lvlJc w:val="left"/>
    </w:lvl>
    <w:lvl w:ilvl="4" w:tplc="4D422CD2">
      <w:numFmt w:val="decimal"/>
      <w:lvlText w:val=""/>
      <w:lvlJc w:val="left"/>
    </w:lvl>
    <w:lvl w:ilvl="5" w:tplc="DDE2DDB0">
      <w:numFmt w:val="decimal"/>
      <w:lvlText w:val=""/>
      <w:lvlJc w:val="left"/>
    </w:lvl>
    <w:lvl w:ilvl="6" w:tplc="3A205E2C">
      <w:numFmt w:val="decimal"/>
      <w:lvlText w:val=""/>
      <w:lvlJc w:val="left"/>
    </w:lvl>
    <w:lvl w:ilvl="7" w:tplc="1EFA9D8E">
      <w:numFmt w:val="decimal"/>
      <w:lvlText w:val=""/>
      <w:lvlJc w:val="left"/>
    </w:lvl>
    <w:lvl w:ilvl="8" w:tplc="C2DAC8FA">
      <w:numFmt w:val="decimal"/>
      <w:lvlText w:val=""/>
      <w:lvlJc w:val="left"/>
    </w:lvl>
  </w:abstractNum>
  <w:abstractNum w:abstractNumId="21" w15:restartNumberingAfterBreak="0">
    <w:nsid w:val="2E8267D1"/>
    <w:multiLevelType w:val="hybridMultilevel"/>
    <w:tmpl w:val="0CA209BE"/>
    <w:lvl w:ilvl="0" w:tplc="1D000A18">
      <w:start w:val="1"/>
      <w:numFmt w:val="bullet"/>
      <w:lvlText w:val=""/>
      <w:lvlJc w:val="left"/>
      <w:pPr>
        <w:tabs>
          <w:tab w:val="num" w:pos="1080"/>
        </w:tabs>
        <w:ind w:left="720" w:hanging="360"/>
      </w:pPr>
      <w:rPr>
        <w:rFonts w:ascii="Symbol" w:hAnsi="Symbol" w:hint="default"/>
      </w:rPr>
    </w:lvl>
    <w:lvl w:ilvl="1" w:tplc="ABC2CDD4">
      <w:numFmt w:val="decimal"/>
      <w:lvlText w:val=""/>
      <w:lvlJc w:val="left"/>
    </w:lvl>
    <w:lvl w:ilvl="2" w:tplc="DFD2FD34">
      <w:numFmt w:val="decimal"/>
      <w:lvlText w:val=""/>
      <w:lvlJc w:val="left"/>
    </w:lvl>
    <w:lvl w:ilvl="3" w:tplc="3D4C13AA">
      <w:numFmt w:val="decimal"/>
      <w:lvlText w:val=""/>
      <w:lvlJc w:val="left"/>
    </w:lvl>
    <w:lvl w:ilvl="4" w:tplc="E3E09426">
      <w:numFmt w:val="decimal"/>
      <w:lvlText w:val=""/>
      <w:lvlJc w:val="left"/>
    </w:lvl>
    <w:lvl w:ilvl="5" w:tplc="1B0CFF5A">
      <w:numFmt w:val="decimal"/>
      <w:lvlText w:val=""/>
      <w:lvlJc w:val="left"/>
    </w:lvl>
    <w:lvl w:ilvl="6" w:tplc="E17E62B4">
      <w:numFmt w:val="decimal"/>
      <w:lvlText w:val=""/>
      <w:lvlJc w:val="left"/>
    </w:lvl>
    <w:lvl w:ilvl="7" w:tplc="0E9020E2">
      <w:numFmt w:val="decimal"/>
      <w:lvlText w:val=""/>
      <w:lvlJc w:val="left"/>
    </w:lvl>
    <w:lvl w:ilvl="8" w:tplc="E5242A0C">
      <w:numFmt w:val="decimal"/>
      <w:lvlText w:val=""/>
      <w:lvlJc w:val="left"/>
    </w:lvl>
  </w:abstractNum>
  <w:abstractNum w:abstractNumId="22" w15:restartNumberingAfterBreak="0">
    <w:nsid w:val="2F3A0586"/>
    <w:multiLevelType w:val="hybridMultilevel"/>
    <w:tmpl w:val="06D0DB08"/>
    <w:lvl w:ilvl="0" w:tplc="439E72E4">
      <w:start w:val="1"/>
      <w:numFmt w:val="bullet"/>
      <w:lvlText w:val=""/>
      <w:lvlJc w:val="left"/>
      <w:pPr>
        <w:tabs>
          <w:tab w:val="num" w:pos="1080"/>
        </w:tabs>
        <w:ind w:left="720" w:hanging="360"/>
      </w:pPr>
      <w:rPr>
        <w:rFonts w:ascii="Symbol" w:hAnsi="Symbol" w:hint="default"/>
      </w:rPr>
    </w:lvl>
    <w:lvl w:ilvl="1" w:tplc="2DACAE5E">
      <w:numFmt w:val="decimal"/>
      <w:lvlText w:val=""/>
      <w:lvlJc w:val="left"/>
    </w:lvl>
    <w:lvl w:ilvl="2" w:tplc="EC8EC0C0">
      <w:numFmt w:val="decimal"/>
      <w:lvlText w:val=""/>
      <w:lvlJc w:val="left"/>
    </w:lvl>
    <w:lvl w:ilvl="3" w:tplc="21FAE7F6">
      <w:numFmt w:val="decimal"/>
      <w:lvlText w:val=""/>
      <w:lvlJc w:val="left"/>
    </w:lvl>
    <w:lvl w:ilvl="4" w:tplc="4BAEA4DC">
      <w:numFmt w:val="decimal"/>
      <w:lvlText w:val=""/>
      <w:lvlJc w:val="left"/>
    </w:lvl>
    <w:lvl w:ilvl="5" w:tplc="F86C0B6E">
      <w:numFmt w:val="decimal"/>
      <w:lvlText w:val=""/>
      <w:lvlJc w:val="left"/>
    </w:lvl>
    <w:lvl w:ilvl="6" w:tplc="BF5473D8">
      <w:numFmt w:val="decimal"/>
      <w:lvlText w:val=""/>
      <w:lvlJc w:val="left"/>
    </w:lvl>
    <w:lvl w:ilvl="7" w:tplc="A16C32D6">
      <w:numFmt w:val="decimal"/>
      <w:lvlText w:val=""/>
      <w:lvlJc w:val="left"/>
    </w:lvl>
    <w:lvl w:ilvl="8" w:tplc="B90462FE">
      <w:numFmt w:val="decimal"/>
      <w:lvlText w:val=""/>
      <w:lvlJc w:val="left"/>
    </w:lvl>
  </w:abstractNum>
  <w:abstractNum w:abstractNumId="23" w15:restartNumberingAfterBreak="0">
    <w:nsid w:val="3B7402A9"/>
    <w:multiLevelType w:val="hybridMultilevel"/>
    <w:tmpl w:val="5BAC5DB0"/>
    <w:lvl w:ilvl="0" w:tplc="9050F50A">
      <w:start w:val="1"/>
      <w:numFmt w:val="bullet"/>
      <w:lvlText w:val=""/>
      <w:lvlJc w:val="left"/>
      <w:pPr>
        <w:tabs>
          <w:tab w:val="num" w:pos="1080"/>
        </w:tabs>
        <w:ind w:left="720" w:hanging="360"/>
      </w:pPr>
      <w:rPr>
        <w:rFonts w:ascii="Symbol" w:hAnsi="Symbol" w:hint="default"/>
      </w:rPr>
    </w:lvl>
    <w:lvl w:ilvl="1" w:tplc="1C48505E">
      <w:numFmt w:val="decimal"/>
      <w:lvlText w:val=""/>
      <w:lvlJc w:val="left"/>
    </w:lvl>
    <w:lvl w:ilvl="2" w:tplc="B76AE136">
      <w:numFmt w:val="decimal"/>
      <w:lvlText w:val=""/>
      <w:lvlJc w:val="left"/>
    </w:lvl>
    <w:lvl w:ilvl="3" w:tplc="98DA5AD0">
      <w:numFmt w:val="decimal"/>
      <w:lvlText w:val=""/>
      <w:lvlJc w:val="left"/>
    </w:lvl>
    <w:lvl w:ilvl="4" w:tplc="38940F28">
      <w:numFmt w:val="decimal"/>
      <w:lvlText w:val=""/>
      <w:lvlJc w:val="left"/>
    </w:lvl>
    <w:lvl w:ilvl="5" w:tplc="D0C6C682">
      <w:numFmt w:val="decimal"/>
      <w:lvlText w:val=""/>
      <w:lvlJc w:val="left"/>
    </w:lvl>
    <w:lvl w:ilvl="6" w:tplc="121AE642">
      <w:numFmt w:val="decimal"/>
      <w:lvlText w:val=""/>
      <w:lvlJc w:val="left"/>
    </w:lvl>
    <w:lvl w:ilvl="7" w:tplc="02FAABDE">
      <w:numFmt w:val="decimal"/>
      <w:lvlText w:val=""/>
      <w:lvlJc w:val="left"/>
    </w:lvl>
    <w:lvl w:ilvl="8" w:tplc="0B64631E">
      <w:numFmt w:val="decimal"/>
      <w:lvlText w:val=""/>
      <w:lvlJc w:val="left"/>
    </w:lvl>
  </w:abstractNum>
  <w:abstractNum w:abstractNumId="24" w15:restartNumberingAfterBreak="0">
    <w:nsid w:val="4184304C"/>
    <w:multiLevelType w:val="hybridMultilevel"/>
    <w:tmpl w:val="34DE7E74"/>
    <w:lvl w:ilvl="0" w:tplc="BFC0C4E8">
      <w:start w:val="1"/>
      <w:numFmt w:val="bullet"/>
      <w:lvlText w:val=""/>
      <w:lvlJc w:val="left"/>
      <w:pPr>
        <w:tabs>
          <w:tab w:val="num" w:pos="900"/>
        </w:tabs>
        <w:ind w:left="540" w:hanging="360"/>
      </w:pPr>
      <w:rPr>
        <w:rFonts w:ascii="Symbol" w:hAnsi="Symbol" w:hint="default"/>
      </w:rPr>
    </w:lvl>
    <w:lvl w:ilvl="1" w:tplc="6B541080">
      <w:numFmt w:val="decimal"/>
      <w:lvlText w:val=""/>
      <w:lvlJc w:val="left"/>
    </w:lvl>
    <w:lvl w:ilvl="2" w:tplc="462A377C">
      <w:numFmt w:val="decimal"/>
      <w:lvlText w:val=""/>
      <w:lvlJc w:val="left"/>
    </w:lvl>
    <w:lvl w:ilvl="3" w:tplc="18D62EF2">
      <w:numFmt w:val="decimal"/>
      <w:lvlText w:val=""/>
      <w:lvlJc w:val="left"/>
    </w:lvl>
    <w:lvl w:ilvl="4" w:tplc="55E6C706">
      <w:numFmt w:val="decimal"/>
      <w:lvlText w:val=""/>
      <w:lvlJc w:val="left"/>
    </w:lvl>
    <w:lvl w:ilvl="5" w:tplc="E370E9E6">
      <w:numFmt w:val="decimal"/>
      <w:lvlText w:val=""/>
      <w:lvlJc w:val="left"/>
    </w:lvl>
    <w:lvl w:ilvl="6" w:tplc="E1366400">
      <w:numFmt w:val="decimal"/>
      <w:lvlText w:val=""/>
      <w:lvlJc w:val="left"/>
    </w:lvl>
    <w:lvl w:ilvl="7" w:tplc="F30EE8DA">
      <w:numFmt w:val="decimal"/>
      <w:lvlText w:val=""/>
      <w:lvlJc w:val="left"/>
    </w:lvl>
    <w:lvl w:ilvl="8" w:tplc="AE2C769C">
      <w:numFmt w:val="decimal"/>
      <w:lvlText w:val=""/>
      <w:lvlJc w:val="left"/>
    </w:lvl>
  </w:abstractNum>
  <w:abstractNum w:abstractNumId="25" w15:restartNumberingAfterBreak="0">
    <w:nsid w:val="43427934"/>
    <w:multiLevelType w:val="hybridMultilevel"/>
    <w:tmpl w:val="012A1E26"/>
    <w:lvl w:ilvl="0" w:tplc="FCE47754">
      <w:start w:val="1"/>
      <w:numFmt w:val="bullet"/>
      <w:lvlText w:val=""/>
      <w:lvlJc w:val="left"/>
      <w:pPr>
        <w:tabs>
          <w:tab w:val="num" w:pos="1080"/>
        </w:tabs>
        <w:ind w:left="720" w:hanging="360"/>
      </w:pPr>
      <w:rPr>
        <w:rFonts w:ascii="Symbol" w:hAnsi="Symbol" w:hint="default"/>
      </w:rPr>
    </w:lvl>
    <w:lvl w:ilvl="1" w:tplc="56E87C48">
      <w:numFmt w:val="decimal"/>
      <w:lvlText w:val=""/>
      <w:lvlJc w:val="left"/>
    </w:lvl>
    <w:lvl w:ilvl="2" w:tplc="42A41B12">
      <w:numFmt w:val="decimal"/>
      <w:lvlText w:val=""/>
      <w:lvlJc w:val="left"/>
    </w:lvl>
    <w:lvl w:ilvl="3" w:tplc="DD80F2D6">
      <w:numFmt w:val="decimal"/>
      <w:lvlText w:val=""/>
      <w:lvlJc w:val="left"/>
    </w:lvl>
    <w:lvl w:ilvl="4" w:tplc="88B038A0">
      <w:numFmt w:val="decimal"/>
      <w:lvlText w:val=""/>
      <w:lvlJc w:val="left"/>
    </w:lvl>
    <w:lvl w:ilvl="5" w:tplc="DF02CC88">
      <w:numFmt w:val="decimal"/>
      <w:lvlText w:val=""/>
      <w:lvlJc w:val="left"/>
    </w:lvl>
    <w:lvl w:ilvl="6" w:tplc="3CEED400">
      <w:numFmt w:val="decimal"/>
      <w:lvlText w:val=""/>
      <w:lvlJc w:val="left"/>
    </w:lvl>
    <w:lvl w:ilvl="7" w:tplc="978A10AC">
      <w:numFmt w:val="decimal"/>
      <w:lvlText w:val=""/>
      <w:lvlJc w:val="left"/>
    </w:lvl>
    <w:lvl w:ilvl="8" w:tplc="E97E218E">
      <w:numFmt w:val="decimal"/>
      <w:lvlText w:val=""/>
      <w:lvlJc w:val="left"/>
    </w:lvl>
  </w:abstractNum>
  <w:abstractNum w:abstractNumId="26" w15:restartNumberingAfterBreak="0">
    <w:nsid w:val="43BD6434"/>
    <w:multiLevelType w:val="hybridMultilevel"/>
    <w:tmpl w:val="DB865AD2"/>
    <w:lvl w:ilvl="0" w:tplc="B914DBCC">
      <w:start w:val="1"/>
      <w:numFmt w:val="bullet"/>
      <w:lvlText w:val=""/>
      <w:lvlJc w:val="left"/>
      <w:pPr>
        <w:tabs>
          <w:tab w:val="num" w:pos="1080"/>
        </w:tabs>
        <w:ind w:left="720" w:hanging="360"/>
      </w:pPr>
      <w:rPr>
        <w:rFonts w:ascii="Symbol" w:hAnsi="Symbol" w:hint="default"/>
      </w:rPr>
    </w:lvl>
    <w:lvl w:ilvl="1" w:tplc="CF100D7E">
      <w:numFmt w:val="decimal"/>
      <w:lvlText w:val=""/>
      <w:lvlJc w:val="left"/>
    </w:lvl>
    <w:lvl w:ilvl="2" w:tplc="F440FEDA">
      <w:numFmt w:val="decimal"/>
      <w:lvlText w:val=""/>
      <w:lvlJc w:val="left"/>
    </w:lvl>
    <w:lvl w:ilvl="3" w:tplc="73DADB38">
      <w:numFmt w:val="decimal"/>
      <w:lvlText w:val=""/>
      <w:lvlJc w:val="left"/>
    </w:lvl>
    <w:lvl w:ilvl="4" w:tplc="7184543E">
      <w:numFmt w:val="decimal"/>
      <w:lvlText w:val=""/>
      <w:lvlJc w:val="left"/>
    </w:lvl>
    <w:lvl w:ilvl="5" w:tplc="67384094">
      <w:numFmt w:val="decimal"/>
      <w:lvlText w:val=""/>
      <w:lvlJc w:val="left"/>
    </w:lvl>
    <w:lvl w:ilvl="6" w:tplc="BE76477C">
      <w:numFmt w:val="decimal"/>
      <w:lvlText w:val=""/>
      <w:lvlJc w:val="left"/>
    </w:lvl>
    <w:lvl w:ilvl="7" w:tplc="EBF494AC">
      <w:numFmt w:val="decimal"/>
      <w:lvlText w:val=""/>
      <w:lvlJc w:val="left"/>
    </w:lvl>
    <w:lvl w:ilvl="8" w:tplc="17B87050">
      <w:numFmt w:val="decimal"/>
      <w:lvlText w:val=""/>
      <w:lvlJc w:val="left"/>
    </w:lvl>
  </w:abstractNum>
  <w:abstractNum w:abstractNumId="27" w15:restartNumberingAfterBreak="0">
    <w:nsid w:val="44D8514F"/>
    <w:multiLevelType w:val="hybridMultilevel"/>
    <w:tmpl w:val="1A40626E"/>
    <w:lvl w:ilvl="0" w:tplc="939440A0">
      <w:start w:val="1"/>
      <w:numFmt w:val="bullet"/>
      <w:lvlText w:val=""/>
      <w:lvlJc w:val="left"/>
      <w:pPr>
        <w:tabs>
          <w:tab w:val="num" w:pos="1080"/>
        </w:tabs>
        <w:ind w:left="720" w:hanging="360"/>
      </w:pPr>
      <w:rPr>
        <w:rFonts w:ascii="Symbol" w:hAnsi="Symbol" w:hint="default"/>
      </w:rPr>
    </w:lvl>
    <w:lvl w:ilvl="1" w:tplc="C2E666FE">
      <w:numFmt w:val="decimal"/>
      <w:lvlText w:val=""/>
      <w:lvlJc w:val="left"/>
    </w:lvl>
    <w:lvl w:ilvl="2" w:tplc="BA724AA8">
      <w:numFmt w:val="decimal"/>
      <w:lvlText w:val=""/>
      <w:lvlJc w:val="left"/>
    </w:lvl>
    <w:lvl w:ilvl="3" w:tplc="641C1D0A">
      <w:numFmt w:val="decimal"/>
      <w:lvlText w:val=""/>
      <w:lvlJc w:val="left"/>
    </w:lvl>
    <w:lvl w:ilvl="4" w:tplc="8AA6835C">
      <w:numFmt w:val="decimal"/>
      <w:lvlText w:val=""/>
      <w:lvlJc w:val="left"/>
    </w:lvl>
    <w:lvl w:ilvl="5" w:tplc="FAA64180">
      <w:numFmt w:val="decimal"/>
      <w:lvlText w:val=""/>
      <w:lvlJc w:val="left"/>
    </w:lvl>
    <w:lvl w:ilvl="6" w:tplc="44EEC26E">
      <w:numFmt w:val="decimal"/>
      <w:lvlText w:val=""/>
      <w:lvlJc w:val="left"/>
    </w:lvl>
    <w:lvl w:ilvl="7" w:tplc="886054CE">
      <w:numFmt w:val="decimal"/>
      <w:lvlText w:val=""/>
      <w:lvlJc w:val="left"/>
    </w:lvl>
    <w:lvl w:ilvl="8" w:tplc="B50AF74C">
      <w:numFmt w:val="decimal"/>
      <w:lvlText w:val=""/>
      <w:lvlJc w:val="left"/>
    </w:lvl>
  </w:abstractNum>
  <w:abstractNum w:abstractNumId="28" w15:restartNumberingAfterBreak="0">
    <w:nsid w:val="4B88677C"/>
    <w:multiLevelType w:val="hybridMultilevel"/>
    <w:tmpl w:val="93B4D518"/>
    <w:lvl w:ilvl="0" w:tplc="9A9280E2">
      <w:start w:val="1"/>
      <w:numFmt w:val="bullet"/>
      <w:lvlText w:val=""/>
      <w:lvlJc w:val="left"/>
      <w:pPr>
        <w:tabs>
          <w:tab w:val="num" w:pos="900"/>
        </w:tabs>
        <w:ind w:left="540" w:hanging="360"/>
      </w:pPr>
      <w:rPr>
        <w:rFonts w:ascii="Symbol" w:hAnsi="Symbol" w:hint="default"/>
      </w:rPr>
    </w:lvl>
    <w:lvl w:ilvl="1" w:tplc="F77AB048">
      <w:numFmt w:val="decimal"/>
      <w:lvlText w:val=""/>
      <w:lvlJc w:val="left"/>
    </w:lvl>
    <w:lvl w:ilvl="2" w:tplc="30D02772">
      <w:numFmt w:val="decimal"/>
      <w:lvlText w:val=""/>
      <w:lvlJc w:val="left"/>
    </w:lvl>
    <w:lvl w:ilvl="3" w:tplc="9F7825A4">
      <w:numFmt w:val="decimal"/>
      <w:lvlText w:val=""/>
      <w:lvlJc w:val="left"/>
    </w:lvl>
    <w:lvl w:ilvl="4" w:tplc="5518EBE2">
      <w:numFmt w:val="decimal"/>
      <w:lvlText w:val=""/>
      <w:lvlJc w:val="left"/>
    </w:lvl>
    <w:lvl w:ilvl="5" w:tplc="B9E404D6">
      <w:numFmt w:val="decimal"/>
      <w:lvlText w:val=""/>
      <w:lvlJc w:val="left"/>
    </w:lvl>
    <w:lvl w:ilvl="6" w:tplc="D3D2BC7C">
      <w:numFmt w:val="decimal"/>
      <w:lvlText w:val=""/>
      <w:lvlJc w:val="left"/>
    </w:lvl>
    <w:lvl w:ilvl="7" w:tplc="7DDE4FBE">
      <w:numFmt w:val="decimal"/>
      <w:lvlText w:val=""/>
      <w:lvlJc w:val="left"/>
    </w:lvl>
    <w:lvl w:ilvl="8" w:tplc="C5A01306">
      <w:numFmt w:val="decimal"/>
      <w:lvlText w:val=""/>
      <w:lvlJc w:val="left"/>
    </w:lvl>
  </w:abstractNum>
  <w:abstractNum w:abstractNumId="29" w15:restartNumberingAfterBreak="0">
    <w:nsid w:val="4C2B5AE3"/>
    <w:multiLevelType w:val="hybridMultilevel"/>
    <w:tmpl w:val="BD8E6C74"/>
    <w:lvl w:ilvl="0" w:tplc="108653D2">
      <w:start w:val="1"/>
      <w:numFmt w:val="bullet"/>
      <w:lvlText w:val=""/>
      <w:lvlJc w:val="left"/>
      <w:pPr>
        <w:tabs>
          <w:tab w:val="num" w:pos="900"/>
        </w:tabs>
        <w:ind w:left="540" w:hanging="360"/>
      </w:pPr>
      <w:rPr>
        <w:rFonts w:ascii="Symbol" w:hAnsi="Symbol" w:hint="default"/>
      </w:rPr>
    </w:lvl>
    <w:lvl w:ilvl="1" w:tplc="391C30AA">
      <w:numFmt w:val="decimal"/>
      <w:lvlText w:val=""/>
      <w:lvlJc w:val="left"/>
    </w:lvl>
    <w:lvl w:ilvl="2" w:tplc="7220B5E4">
      <w:numFmt w:val="decimal"/>
      <w:lvlText w:val=""/>
      <w:lvlJc w:val="left"/>
    </w:lvl>
    <w:lvl w:ilvl="3" w:tplc="9238F7EE">
      <w:numFmt w:val="decimal"/>
      <w:lvlText w:val=""/>
      <w:lvlJc w:val="left"/>
    </w:lvl>
    <w:lvl w:ilvl="4" w:tplc="E8966D22">
      <w:numFmt w:val="decimal"/>
      <w:lvlText w:val=""/>
      <w:lvlJc w:val="left"/>
    </w:lvl>
    <w:lvl w:ilvl="5" w:tplc="3FF405D0">
      <w:numFmt w:val="decimal"/>
      <w:lvlText w:val=""/>
      <w:lvlJc w:val="left"/>
    </w:lvl>
    <w:lvl w:ilvl="6" w:tplc="434ADE36">
      <w:numFmt w:val="decimal"/>
      <w:lvlText w:val=""/>
      <w:lvlJc w:val="left"/>
    </w:lvl>
    <w:lvl w:ilvl="7" w:tplc="379CB4DC">
      <w:numFmt w:val="decimal"/>
      <w:lvlText w:val=""/>
      <w:lvlJc w:val="left"/>
    </w:lvl>
    <w:lvl w:ilvl="8" w:tplc="CF5488D6">
      <w:numFmt w:val="decimal"/>
      <w:lvlText w:val=""/>
      <w:lvlJc w:val="left"/>
    </w:lvl>
  </w:abstractNum>
  <w:abstractNum w:abstractNumId="30" w15:restartNumberingAfterBreak="0">
    <w:nsid w:val="504D58C8"/>
    <w:multiLevelType w:val="hybridMultilevel"/>
    <w:tmpl w:val="9398BF16"/>
    <w:lvl w:ilvl="0" w:tplc="3B6E6890">
      <w:start w:val="1"/>
      <w:numFmt w:val="bullet"/>
      <w:lvlText w:val=""/>
      <w:lvlJc w:val="left"/>
      <w:pPr>
        <w:tabs>
          <w:tab w:val="num" w:pos="1080"/>
        </w:tabs>
        <w:ind w:left="720" w:hanging="360"/>
      </w:pPr>
      <w:rPr>
        <w:rFonts w:ascii="Symbol" w:hAnsi="Symbol" w:hint="default"/>
      </w:rPr>
    </w:lvl>
    <w:lvl w:ilvl="1" w:tplc="E1701416">
      <w:numFmt w:val="decimal"/>
      <w:lvlText w:val=""/>
      <w:lvlJc w:val="left"/>
    </w:lvl>
    <w:lvl w:ilvl="2" w:tplc="0DBE75B4">
      <w:numFmt w:val="decimal"/>
      <w:lvlText w:val=""/>
      <w:lvlJc w:val="left"/>
    </w:lvl>
    <w:lvl w:ilvl="3" w:tplc="E68411BE">
      <w:numFmt w:val="decimal"/>
      <w:lvlText w:val=""/>
      <w:lvlJc w:val="left"/>
    </w:lvl>
    <w:lvl w:ilvl="4" w:tplc="09FE9C92">
      <w:numFmt w:val="decimal"/>
      <w:lvlText w:val=""/>
      <w:lvlJc w:val="left"/>
    </w:lvl>
    <w:lvl w:ilvl="5" w:tplc="08C26A94">
      <w:numFmt w:val="decimal"/>
      <w:lvlText w:val=""/>
      <w:lvlJc w:val="left"/>
    </w:lvl>
    <w:lvl w:ilvl="6" w:tplc="1CA0A664">
      <w:numFmt w:val="decimal"/>
      <w:lvlText w:val=""/>
      <w:lvlJc w:val="left"/>
    </w:lvl>
    <w:lvl w:ilvl="7" w:tplc="C8CA8258">
      <w:numFmt w:val="decimal"/>
      <w:lvlText w:val=""/>
      <w:lvlJc w:val="left"/>
    </w:lvl>
    <w:lvl w:ilvl="8" w:tplc="CB0C3374">
      <w:numFmt w:val="decimal"/>
      <w:lvlText w:val=""/>
      <w:lvlJc w:val="left"/>
    </w:lvl>
  </w:abstractNum>
  <w:abstractNum w:abstractNumId="31" w15:restartNumberingAfterBreak="0">
    <w:nsid w:val="513D6693"/>
    <w:multiLevelType w:val="hybridMultilevel"/>
    <w:tmpl w:val="B3B22F26"/>
    <w:lvl w:ilvl="0" w:tplc="25745CF6">
      <w:start w:val="1"/>
      <w:numFmt w:val="bullet"/>
      <w:lvlText w:val=""/>
      <w:lvlJc w:val="left"/>
      <w:pPr>
        <w:tabs>
          <w:tab w:val="num" w:pos="1080"/>
        </w:tabs>
        <w:ind w:left="720" w:hanging="360"/>
      </w:pPr>
      <w:rPr>
        <w:rFonts w:ascii="Symbol" w:hAnsi="Symbol" w:hint="default"/>
      </w:rPr>
    </w:lvl>
    <w:lvl w:ilvl="1" w:tplc="AC445CBA">
      <w:numFmt w:val="decimal"/>
      <w:lvlText w:val=""/>
      <w:lvlJc w:val="left"/>
    </w:lvl>
    <w:lvl w:ilvl="2" w:tplc="9F6EECC4">
      <w:numFmt w:val="decimal"/>
      <w:lvlText w:val=""/>
      <w:lvlJc w:val="left"/>
    </w:lvl>
    <w:lvl w:ilvl="3" w:tplc="D5EE9C04">
      <w:numFmt w:val="decimal"/>
      <w:lvlText w:val=""/>
      <w:lvlJc w:val="left"/>
    </w:lvl>
    <w:lvl w:ilvl="4" w:tplc="C4EE7F18">
      <w:numFmt w:val="decimal"/>
      <w:lvlText w:val=""/>
      <w:lvlJc w:val="left"/>
    </w:lvl>
    <w:lvl w:ilvl="5" w:tplc="4B72DB06">
      <w:numFmt w:val="decimal"/>
      <w:lvlText w:val=""/>
      <w:lvlJc w:val="left"/>
    </w:lvl>
    <w:lvl w:ilvl="6" w:tplc="194012DC">
      <w:numFmt w:val="decimal"/>
      <w:lvlText w:val=""/>
      <w:lvlJc w:val="left"/>
    </w:lvl>
    <w:lvl w:ilvl="7" w:tplc="D79C33FC">
      <w:numFmt w:val="decimal"/>
      <w:lvlText w:val=""/>
      <w:lvlJc w:val="left"/>
    </w:lvl>
    <w:lvl w:ilvl="8" w:tplc="AF68DD40">
      <w:numFmt w:val="decimal"/>
      <w:lvlText w:val=""/>
      <w:lvlJc w:val="left"/>
    </w:lvl>
  </w:abstractNum>
  <w:abstractNum w:abstractNumId="32" w15:restartNumberingAfterBreak="0">
    <w:nsid w:val="55822CCB"/>
    <w:multiLevelType w:val="hybridMultilevel"/>
    <w:tmpl w:val="68760380"/>
    <w:lvl w:ilvl="0" w:tplc="8A9AA798">
      <w:start w:val="1"/>
      <w:numFmt w:val="bullet"/>
      <w:lvlText w:val=""/>
      <w:lvlJc w:val="left"/>
      <w:pPr>
        <w:tabs>
          <w:tab w:val="num" w:pos="1080"/>
        </w:tabs>
        <w:ind w:left="720" w:hanging="360"/>
      </w:pPr>
      <w:rPr>
        <w:rFonts w:ascii="Symbol" w:hAnsi="Symbol" w:hint="default"/>
      </w:rPr>
    </w:lvl>
    <w:lvl w:ilvl="1" w:tplc="FDA42F1E">
      <w:numFmt w:val="decimal"/>
      <w:lvlText w:val=""/>
      <w:lvlJc w:val="left"/>
    </w:lvl>
    <w:lvl w:ilvl="2" w:tplc="E25C958C">
      <w:numFmt w:val="decimal"/>
      <w:lvlText w:val=""/>
      <w:lvlJc w:val="left"/>
    </w:lvl>
    <w:lvl w:ilvl="3" w:tplc="A3A2FEBC">
      <w:numFmt w:val="decimal"/>
      <w:lvlText w:val=""/>
      <w:lvlJc w:val="left"/>
    </w:lvl>
    <w:lvl w:ilvl="4" w:tplc="38486D46">
      <w:numFmt w:val="decimal"/>
      <w:lvlText w:val=""/>
      <w:lvlJc w:val="left"/>
    </w:lvl>
    <w:lvl w:ilvl="5" w:tplc="84E261C8">
      <w:numFmt w:val="decimal"/>
      <w:lvlText w:val=""/>
      <w:lvlJc w:val="left"/>
    </w:lvl>
    <w:lvl w:ilvl="6" w:tplc="D4BCD8A0">
      <w:numFmt w:val="decimal"/>
      <w:lvlText w:val=""/>
      <w:lvlJc w:val="left"/>
    </w:lvl>
    <w:lvl w:ilvl="7" w:tplc="F2926D88">
      <w:numFmt w:val="decimal"/>
      <w:lvlText w:val=""/>
      <w:lvlJc w:val="left"/>
    </w:lvl>
    <w:lvl w:ilvl="8" w:tplc="552E61C6">
      <w:numFmt w:val="decimal"/>
      <w:lvlText w:val=""/>
      <w:lvlJc w:val="left"/>
    </w:lvl>
  </w:abstractNum>
  <w:abstractNum w:abstractNumId="33" w15:restartNumberingAfterBreak="0">
    <w:nsid w:val="59670EAD"/>
    <w:multiLevelType w:val="hybridMultilevel"/>
    <w:tmpl w:val="74C64D32"/>
    <w:lvl w:ilvl="0" w:tplc="09903192">
      <w:start w:val="1"/>
      <w:numFmt w:val="bullet"/>
      <w:lvlText w:val=""/>
      <w:lvlJc w:val="left"/>
      <w:pPr>
        <w:tabs>
          <w:tab w:val="num" w:pos="900"/>
        </w:tabs>
        <w:ind w:left="540" w:hanging="360"/>
      </w:pPr>
      <w:rPr>
        <w:rFonts w:ascii="Symbol" w:hAnsi="Symbol" w:hint="default"/>
      </w:rPr>
    </w:lvl>
    <w:lvl w:ilvl="1" w:tplc="0F2A0EB6">
      <w:numFmt w:val="decimal"/>
      <w:lvlText w:val=""/>
      <w:lvlJc w:val="left"/>
    </w:lvl>
    <w:lvl w:ilvl="2" w:tplc="AC3602F2">
      <w:numFmt w:val="decimal"/>
      <w:lvlText w:val=""/>
      <w:lvlJc w:val="left"/>
    </w:lvl>
    <w:lvl w:ilvl="3" w:tplc="38EE78BC">
      <w:numFmt w:val="decimal"/>
      <w:lvlText w:val=""/>
      <w:lvlJc w:val="left"/>
    </w:lvl>
    <w:lvl w:ilvl="4" w:tplc="6546ABB8">
      <w:numFmt w:val="decimal"/>
      <w:lvlText w:val=""/>
      <w:lvlJc w:val="left"/>
    </w:lvl>
    <w:lvl w:ilvl="5" w:tplc="4E322A5C">
      <w:numFmt w:val="decimal"/>
      <w:lvlText w:val=""/>
      <w:lvlJc w:val="left"/>
    </w:lvl>
    <w:lvl w:ilvl="6" w:tplc="6CCC6DBC">
      <w:numFmt w:val="decimal"/>
      <w:lvlText w:val=""/>
      <w:lvlJc w:val="left"/>
    </w:lvl>
    <w:lvl w:ilvl="7" w:tplc="578850EC">
      <w:numFmt w:val="decimal"/>
      <w:lvlText w:val=""/>
      <w:lvlJc w:val="left"/>
    </w:lvl>
    <w:lvl w:ilvl="8" w:tplc="04F227D2">
      <w:numFmt w:val="decimal"/>
      <w:lvlText w:val=""/>
      <w:lvlJc w:val="left"/>
    </w:lvl>
  </w:abstractNum>
  <w:abstractNum w:abstractNumId="34" w15:restartNumberingAfterBreak="0">
    <w:nsid w:val="5B6921B1"/>
    <w:multiLevelType w:val="hybridMultilevel"/>
    <w:tmpl w:val="71B6D8AA"/>
    <w:lvl w:ilvl="0" w:tplc="B3AAF5E0">
      <w:start w:val="1"/>
      <w:numFmt w:val="bullet"/>
      <w:lvlText w:val=""/>
      <w:lvlJc w:val="left"/>
      <w:pPr>
        <w:tabs>
          <w:tab w:val="num" w:pos="900"/>
        </w:tabs>
        <w:ind w:left="540" w:hanging="360"/>
      </w:pPr>
      <w:rPr>
        <w:rFonts w:ascii="Symbol" w:hAnsi="Symbol" w:hint="default"/>
      </w:rPr>
    </w:lvl>
    <w:lvl w:ilvl="1" w:tplc="1F86A2FC">
      <w:numFmt w:val="decimal"/>
      <w:lvlText w:val=""/>
      <w:lvlJc w:val="left"/>
    </w:lvl>
    <w:lvl w:ilvl="2" w:tplc="315C2502">
      <w:numFmt w:val="decimal"/>
      <w:lvlText w:val=""/>
      <w:lvlJc w:val="left"/>
    </w:lvl>
    <w:lvl w:ilvl="3" w:tplc="3B70C464">
      <w:numFmt w:val="decimal"/>
      <w:lvlText w:val=""/>
      <w:lvlJc w:val="left"/>
    </w:lvl>
    <w:lvl w:ilvl="4" w:tplc="DE9A7666">
      <w:numFmt w:val="decimal"/>
      <w:lvlText w:val=""/>
      <w:lvlJc w:val="left"/>
    </w:lvl>
    <w:lvl w:ilvl="5" w:tplc="CCD0E9D2">
      <w:numFmt w:val="decimal"/>
      <w:lvlText w:val=""/>
      <w:lvlJc w:val="left"/>
    </w:lvl>
    <w:lvl w:ilvl="6" w:tplc="A0767DC8">
      <w:numFmt w:val="decimal"/>
      <w:lvlText w:val=""/>
      <w:lvlJc w:val="left"/>
    </w:lvl>
    <w:lvl w:ilvl="7" w:tplc="071E5842">
      <w:numFmt w:val="decimal"/>
      <w:lvlText w:val=""/>
      <w:lvlJc w:val="left"/>
    </w:lvl>
    <w:lvl w:ilvl="8" w:tplc="2D4E6878">
      <w:numFmt w:val="decimal"/>
      <w:lvlText w:val=""/>
      <w:lvlJc w:val="left"/>
    </w:lvl>
  </w:abstractNum>
  <w:abstractNum w:abstractNumId="35" w15:restartNumberingAfterBreak="0">
    <w:nsid w:val="618C0A42"/>
    <w:multiLevelType w:val="hybridMultilevel"/>
    <w:tmpl w:val="7BB41CE4"/>
    <w:lvl w:ilvl="0" w:tplc="A6FCB14A">
      <w:start w:val="1"/>
      <w:numFmt w:val="bullet"/>
      <w:lvlText w:val=""/>
      <w:lvlJc w:val="left"/>
      <w:pPr>
        <w:tabs>
          <w:tab w:val="num" w:pos="900"/>
        </w:tabs>
        <w:ind w:left="540" w:hanging="360"/>
      </w:pPr>
      <w:rPr>
        <w:rFonts w:ascii="Symbol" w:hAnsi="Symbol" w:hint="default"/>
      </w:rPr>
    </w:lvl>
    <w:lvl w:ilvl="1" w:tplc="E9EA6190">
      <w:numFmt w:val="decimal"/>
      <w:lvlText w:val=""/>
      <w:lvlJc w:val="left"/>
    </w:lvl>
    <w:lvl w:ilvl="2" w:tplc="58EE0208">
      <w:numFmt w:val="decimal"/>
      <w:lvlText w:val=""/>
      <w:lvlJc w:val="left"/>
    </w:lvl>
    <w:lvl w:ilvl="3" w:tplc="2E1EB068">
      <w:numFmt w:val="decimal"/>
      <w:lvlText w:val=""/>
      <w:lvlJc w:val="left"/>
    </w:lvl>
    <w:lvl w:ilvl="4" w:tplc="03B453E6">
      <w:numFmt w:val="decimal"/>
      <w:lvlText w:val=""/>
      <w:lvlJc w:val="left"/>
    </w:lvl>
    <w:lvl w:ilvl="5" w:tplc="FEC226AE">
      <w:numFmt w:val="decimal"/>
      <w:lvlText w:val=""/>
      <w:lvlJc w:val="left"/>
    </w:lvl>
    <w:lvl w:ilvl="6" w:tplc="6EF2A8B4">
      <w:numFmt w:val="decimal"/>
      <w:lvlText w:val=""/>
      <w:lvlJc w:val="left"/>
    </w:lvl>
    <w:lvl w:ilvl="7" w:tplc="788E5EBC">
      <w:numFmt w:val="decimal"/>
      <w:lvlText w:val=""/>
      <w:lvlJc w:val="left"/>
    </w:lvl>
    <w:lvl w:ilvl="8" w:tplc="B8C6FABA">
      <w:numFmt w:val="decimal"/>
      <w:lvlText w:val=""/>
      <w:lvlJc w:val="left"/>
    </w:lvl>
  </w:abstractNum>
  <w:abstractNum w:abstractNumId="36" w15:restartNumberingAfterBreak="0">
    <w:nsid w:val="619968DB"/>
    <w:multiLevelType w:val="hybridMultilevel"/>
    <w:tmpl w:val="DEB0A902"/>
    <w:lvl w:ilvl="0" w:tplc="58AC12A8">
      <w:start w:val="1"/>
      <w:numFmt w:val="bullet"/>
      <w:lvlText w:val=""/>
      <w:lvlJc w:val="left"/>
      <w:pPr>
        <w:tabs>
          <w:tab w:val="num" w:pos="1080"/>
        </w:tabs>
        <w:ind w:left="720" w:hanging="360"/>
      </w:pPr>
      <w:rPr>
        <w:rFonts w:ascii="Symbol" w:hAnsi="Symbol" w:hint="default"/>
      </w:rPr>
    </w:lvl>
    <w:lvl w:ilvl="1" w:tplc="1FC4114A">
      <w:numFmt w:val="decimal"/>
      <w:lvlText w:val=""/>
      <w:lvlJc w:val="left"/>
    </w:lvl>
    <w:lvl w:ilvl="2" w:tplc="BF6E62FC">
      <w:numFmt w:val="decimal"/>
      <w:lvlText w:val=""/>
      <w:lvlJc w:val="left"/>
    </w:lvl>
    <w:lvl w:ilvl="3" w:tplc="DF681840">
      <w:numFmt w:val="decimal"/>
      <w:lvlText w:val=""/>
      <w:lvlJc w:val="left"/>
    </w:lvl>
    <w:lvl w:ilvl="4" w:tplc="97703A5E">
      <w:numFmt w:val="decimal"/>
      <w:lvlText w:val=""/>
      <w:lvlJc w:val="left"/>
    </w:lvl>
    <w:lvl w:ilvl="5" w:tplc="98A20EBC">
      <w:numFmt w:val="decimal"/>
      <w:lvlText w:val=""/>
      <w:lvlJc w:val="left"/>
    </w:lvl>
    <w:lvl w:ilvl="6" w:tplc="C396E072">
      <w:numFmt w:val="decimal"/>
      <w:lvlText w:val=""/>
      <w:lvlJc w:val="left"/>
    </w:lvl>
    <w:lvl w:ilvl="7" w:tplc="029A06AA">
      <w:numFmt w:val="decimal"/>
      <w:lvlText w:val=""/>
      <w:lvlJc w:val="left"/>
    </w:lvl>
    <w:lvl w:ilvl="8" w:tplc="E82C5CD8">
      <w:numFmt w:val="decimal"/>
      <w:lvlText w:val=""/>
      <w:lvlJc w:val="left"/>
    </w:lvl>
  </w:abstractNum>
  <w:abstractNum w:abstractNumId="37" w15:restartNumberingAfterBreak="0">
    <w:nsid w:val="689D1E6F"/>
    <w:multiLevelType w:val="hybridMultilevel"/>
    <w:tmpl w:val="5EDA2E38"/>
    <w:lvl w:ilvl="0" w:tplc="A9F22730">
      <w:start w:val="1"/>
      <w:numFmt w:val="decimal"/>
      <w:lvlText w:val="%1."/>
      <w:lvlJc w:val="left"/>
      <w:pPr>
        <w:tabs>
          <w:tab w:val="num" w:pos="1080"/>
        </w:tabs>
        <w:ind w:left="720" w:hanging="360"/>
      </w:pPr>
    </w:lvl>
    <w:lvl w:ilvl="1" w:tplc="D4A8D10C">
      <w:numFmt w:val="decimal"/>
      <w:lvlText w:val=""/>
      <w:lvlJc w:val="left"/>
    </w:lvl>
    <w:lvl w:ilvl="2" w:tplc="763C5F92">
      <w:numFmt w:val="decimal"/>
      <w:lvlText w:val=""/>
      <w:lvlJc w:val="left"/>
    </w:lvl>
    <w:lvl w:ilvl="3" w:tplc="EE2A6102">
      <w:numFmt w:val="decimal"/>
      <w:lvlText w:val=""/>
      <w:lvlJc w:val="left"/>
    </w:lvl>
    <w:lvl w:ilvl="4" w:tplc="22244330">
      <w:numFmt w:val="decimal"/>
      <w:lvlText w:val=""/>
      <w:lvlJc w:val="left"/>
    </w:lvl>
    <w:lvl w:ilvl="5" w:tplc="F2EC03CC">
      <w:numFmt w:val="decimal"/>
      <w:lvlText w:val=""/>
      <w:lvlJc w:val="left"/>
    </w:lvl>
    <w:lvl w:ilvl="6" w:tplc="F6468A94">
      <w:numFmt w:val="decimal"/>
      <w:lvlText w:val=""/>
      <w:lvlJc w:val="left"/>
    </w:lvl>
    <w:lvl w:ilvl="7" w:tplc="BF861DC0">
      <w:numFmt w:val="decimal"/>
      <w:lvlText w:val=""/>
      <w:lvlJc w:val="left"/>
    </w:lvl>
    <w:lvl w:ilvl="8" w:tplc="AB186D5E">
      <w:numFmt w:val="decimal"/>
      <w:lvlText w:val=""/>
      <w:lvlJc w:val="left"/>
    </w:lvl>
  </w:abstractNum>
  <w:abstractNum w:abstractNumId="38" w15:restartNumberingAfterBreak="0">
    <w:nsid w:val="6B8C34CD"/>
    <w:multiLevelType w:val="hybridMultilevel"/>
    <w:tmpl w:val="9DBCC62E"/>
    <w:lvl w:ilvl="0" w:tplc="7D9E9CA4">
      <w:start w:val="1"/>
      <w:numFmt w:val="bullet"/>
      <w:lvlText w:val=""/>
      <w:lvlJc w:val="left"/>
      <w:pPr>
        <w:tabs>
          <w:tab w:val="num" w:pos="1080"/>
        </w:tabs>
        <w:ind w:left="720" w:hanging="360"/>
      </w:pPr>
      <w:rPr>
        <w:rFonts w:ascii="Symbol" w:hAnsi="Symbol" w:hint="default"/>
      </w:rPr>
    </w:lvl>
    <w:lvl w:ilvl="1" w:tplc="ABB002C0">
      <w:numFmt w:val="decimal"/>
      <w:lvlText w:val=""/>
      <w:lvlJc w:val="left"/>
    </w:lvl>
    <w:lvl w:ilvl="2" w:tplc="BA60AA5E">
      <w:numFmt w:val="decimal"/>
      <w:lvlText w:val=""/>
      <w:lvlJc w:val="left"/>
    </w:lvl>
    <w:lvl w:ilvl="3" w:tplc="662640C0">
      <w:numFmt w:val="decimal"/>
      <w:lvlText w:val=""/>
      <w:lvlJc w:val="left"/>
    </w:lvl>
    <w:lvl w:ilvl="4" w:tplc="929AAA70">
      <w:numFmt w:val="decimal"/>
      <w:lvlText w:val=""/>
      <w:lvlJc w:val="left"/>
    </w:lvl>
    <w:lvl w:ilvl="5" w:tplc="27C6329E">
      <w:numFmt w:val="decimal"/>
      <w:lvlText w:val=""/>
      <w:lvlJc w:val="left"/>
    </w:lvl>
    <w:lvl w:ilvl="6" w:tplc="3962DCD6">
      <w:numFmt w:val="decimal"/>
      <w:lvlText w:val=""/>
      <w:lvlJc w:val="left"/>
    </w:lvl>
    <w:lvl w:ilvl="7" w:tplc="C09008C2">
      <w:numFmt w:val="decimal"/>
      <w:lvlText w:val=""/>
      <w:lvlJc w:val="left"/>
    </w:lvl>
    <w:lvl w:ilvl="8" w:tplc="5852984E">
      <w:numFmt w:val="decimal"/>
      <w:lvlText w:val=""/>
      <w:lvlJc w:val="left"/>
    </w:lvl>
  </w:abstractNum>
  <w:abstractNum w:abstractNumId="39" w15:restartNumberingAfterBreak="0">
    <w:nsid w:val="6BAE48B5"/>
    <w:multiLevelType w:val="hybridMultilevel"/>
    <w:tmpl w:val="176E2FA0"/>
    <w:lvl w:ilvl="0" w:tplc="688AD9E4">
      <w:start w:val="1"/>
      <w:numFmt w:val="bullet"/>
      <w:lvlText w:val=""/>
      <w:lvlJc w:val="left"/>
      <w:pPr>
        <w:tabs>
          <w:tab w:val="num" w:pos="900"/>
        </w:tabs>
        <w:ind w:left="540" w:hanging="360"/>
      </w:pPr>
      <w:rPr>
        <w:rFonts w:ascii="Symbol" w:hAnsi="Symbol" w:hint="default"/>
      </w:rPr>
    </w:lvl>
    <w:lvl w:ilvl="1" w:tplc="8146BCBC">
      <w:numFmt w:val="decimal"/>
      <w:lvlText w:val=""/>
      <w:lvlJc w:val="left"/>
    </w:lvl>
    <w:lvl w:ilvl="2" w:tplc="2AAA4900">
      <w:numFmt w:val="decimal"/>
      <w:lvlText w:val=""/>
      <w:lvlJc w:val="left"/>
    </w:lvl>
    <w:lvl w:ilvl="3" w:tplc="E8D26FCC">
      <w:numFmt w:val="decimal"/>
      <w:lvlText w:val=""/>
      <w:lvlJc w:val="left"/>
    </w:lvl>
    <w:lvl w:ilvl="4" w:tplc="536003AC">
      <w:numFmt w:val="decimal"/>
      <w:lvlText w:val=""/>
      <w:lvlJc w:val="left"/>
    </w:lvl>
    <w:lvl w:ilvl="5" w:tplc="595EE7B8">
      <w:numFmt w:val="decimal"/>
      <w:lvlText w:val=""/>
      <w:lvlJc w:val="left"/>
    </w:lvl>
    <w:lvl w:ilvl="6" w:tplc="0F0A52FC">
      <w:numFmt w:val="decimal"/>
      <w:lvlText w:val=""/>
      <w:lvlJc w:val="left"/>
    </w:lvl>
    <w:lvl w:ilvl="7" w:tplc="F802FAE4">
      <w:numFmt w:val="decimal"/>
      <w:lvlText w:val=""/>
      <w:lvlJc w:val="left"/>
    </w:lvl>
    <w:lvl w:ilvl="8" w:tplc="A2A4F14A">
      <w:numFmt w:val="decimal"/>
      <w:lvlText w:val=""/>
      <w:lvlJc w:val="left"/>
    </w:lvl>
  </w:abstractNum>
  <w:abstractNum w:abstractNumId="40" w15:restartNumberingAfterBreak="0">
    <w:nsid w:val="6BFC616A"/>
    <w:multiLevelType w:val="hybridMultilevel"/>
    <w:tmpl w:val="C5A4B2F2"/>
    <w:lvl w:ilvl="0" w:tplc="873EE87C">
      <w:start w:val="1"/>
      <w:numFmt w:val="bullet"/>
      <w:lvlText w:val=""/>
      <w:lvlJc w:val="left"/>
      <w:pPr>
        <w:tabs>
          <w:tab w:val="num" w:pos="1080"/>
        </w:tabs>
        <w:ind w:left="720" w:hanging="360"/>
      </w:pPr>
      <w:rPr>
        <w:rFonts w:ascii="Symbol" w:hAnsi="Symbol" w:hint="default"/>
      </w:rPr>
    </w:lvl>
    <w:lvl w:ilvl="1" w:tplc="A57870A2">
      <w:numFmt w:val="decimal"/>
      <w:lvlText w:val=""/>
      <w:lvlJc w:val="left"/>
    </w:lvl>
    <w:lvl w:ilvl="2" w:tplc="622A3904">
      <w:numFmt w:val="decimal"/>
      <w:lvlText w:val=""/>
      <w:lvlJc w:val="left"/>
    </w:lvl>
    <w:lvl w:ilvl="3" w:tplc="9CD66230">
      <w:numFmt w:val="decimal"/>
      <w:lvlText w:val=""/>
      <w:lvlJc w:val="left"/>
    </w:lvl>
    <w:lvl w:ilvl="4" w:tplc="30800286">
      <w:numFmt w:val="decimal"/>
      <w:lvlText w:val=""/>
      <w:lvlJc w:val="left"/>
    </w:lvl>
    <w:lvl w:ilvl="5" w:tplc="17BA99CC">
      <w:numFmt w:val="decimal"/>
      <w:lvlText w:val=""/>
      <w:lvlJc w:val="left"/>
    </w:lvl>
    <w:lvl w:ilvl="6" w:tplc="D2208FE0">
      <w:numFmt w:val="decimal"/>
      <w:lvlText w:val=""/>
      <w:lvlJc w:val="left"/>
    </w:lvl>
    <w:lvl w:ilvl="7" w:tplc="06FA20B6">
      <w:numFmt w:val="decimal"/>
      <w:lvlText w:val=""/>
      <w:lvlJc w:val="left"/>
    </w:lvl>
    <w:lvl w:ilvl="8" w:tplc="705AB1BC">
      <w:numFmt w:val="decimal"/>
      <w:lvlText w:val=""/>
      <w:lvlJc w:val="left"/>
    </w:lvl>
  </w:abstractNum>
  <w:abstractNum w:abstractNumId="41" w15:restartNumberingAfterBreak="0">
    <w:nsid w:val="6D6F1D1E"/>
    <w:multiLevelType w:val="hybridMultilevel"/>
    <w:tmpl w:val="5D2A9C06"/>
    <w:lvl w:ilvl="0" w:tplc="15E447F6">
      <w:start w:val="1"/>
      <w:numFmt w:val="bullet"/>
      <w:lvlText w:val=""/>
      <w:lvlJc w:val="left"/>
      <w:pPr>
        <w:tabs>
          <w:tab w:val="num" w:pos="900"/>
        </w:tabs>
        <w:ind w:left="540" w:hanging="360"/>
      </w:pPr>
      <w:rPr>
        <w:rFonts w:ascii="Symbol" w:hAnsi="Symbol" w:hint="default"/>
      </w:rPr>
    </w:lvl>
    <w:lvl w:ilvl="1" w:tplc="2B2EEEC0">
      <w:numFmt w:val="decimal"/>
      <w:lvlText w:val=""/>
      <w:lvlJc w:val="left"/>
    </w:lvl>
    <w:lvl w:ilvl="2" w:tplc="EE6C6896">
      <w:numFmt w:val="decimal"/>
      <w:lvlText w:val=""/>
      <w:lvlJc w:val="left"/>
    </w:lvl>
    <w:lvl w:ilvl="3" w:tplc="C0BA2204">
      <w:numFmt w:val="decimal"/>
      <w:lvlText w:val=""/>
      <w:lvlJc w:val="left"/>
    </w:lvl>
    <w:lvl w:ilvl="4" w:tplc="3F16A48C">
      <w:numFmt w:val="decimal"/>
      <w:lvlText w:val=""/>
      <w:lvlJc w:val="left"/>
    </w:lvl>
    <w:lvl w:ilvl="5" w:tplc="3F1CA7CA">
      <w:numFmt w:val="decimal"/>
      <w:lvlText w:val=""/>
      <w:lvlJc w:val="left"/>
    </w:lvl>
    <w:lvl w:ilvl="6" w:tplc="A0D47AF0">
      <w:numFmt w:val="decimal"/>
      <w:lvlText w:val=""/>
      <w:lvlJc w:val="left"/>
    </w:lvl>
    <w:lvl w:ilvl="7" w:tplc="D540B26A">
      <w:numFmt w:val="decimal"/>
      <w:lvlText w:val=""/>
      <w:lvlJc w:val="left"/>
    </w:lvl>
    <w:lvl w:ilvl="8" w:tplc="10840864">
      <w:numFmt w:val="decimal"/>
      <w:lvlText w:val=""/>
      <w:lvlJc w:val="left"/>
    </w:lvl>
  </w:abstractNum>
  <w:abstractNum w:abstractNumId="42" w15:restartNumberingAfterBreak="0">
    <w:nsid w:val="7053704D"/>
    <w:multiLevelType w:val="hybridMultilevel"/>
    <w:tmpl w:val="04487E26"/>
    <w:lvl w:ilvl="0" w:tplc="DF5C6D2C">
      <w:start w:val="1"/>
      <w:numFmt w:val="bullet"/>
      <w:lvlText w:val=""/>
      <w:lvlJc w:val="left"/>
      <w:pPr>
        <w:tabs>
          <w:tab w:val="num" w:pos="900"/>
        </w:tabs>
        <w:ind w:left="540" w:hanging="360"/>
      </w:pPr>
      <w:rPr>
        <w:rFonts w:ascii="Symbol" w:hAnsi="Symbol" w:hint="default"/>
      </w:rPr>
    </w:lvl>
    <w:lvl w:ilvl="1" w:tplc="D0D04204">
      <w:numFmt w:val="decimal"/>
      <w:lvlText w:val=""/>
      <w:lvlJc w:val="left"/>
    </w:lvl>
    <w:lvl w:ilvl="2" w:tplc="E90E4DBE">
      <w:numFmt w:val="decimal"/>
      <w:lvlText w:val=""/>
      <w:lvlJc w:val="left"/>
    </w:lvl>
    <w:lvl w:ilvl="3" w:tplc="D8D870E0">
      <w:numFmt w:val="decimal"/>
      <w:lvlText w:val=""/>
      <w:lvlJc w:val="left"/>
    </w:lvl>
    <w:lvl w:ilvl="4" w:tplc="C7FEFAB8">
      <w:numFmt w:val="decimal"/>
      <w:lvlText w:val=""/>
      <w:lvlJc w:val="left"/>
    </w:lvl>
    <w:lvl w:ilvl="5" w:tplc="186664CA">
      <w:numFmt w:val="decimal"/>
      <w:lvlText w:val=""/>
      <w:lvlJc w:val="left"/>
    </w:lvl>
    <w:lvl w:ilvl="6" w:tplc="0D26C26E">
      <w:numFmt w:val="decimal"/>
      <w:lvlText w:val=""/>
      <w:lvlJc w:val="left"/>
    </w:lvl>
    <w:lvl w:ilvl="7" w:tplc="75247A00">
      <w:numFmt w:val="decimal"/>
      <w:lvlText w:val=""/>
      <w:lvlJc w:val="left"/>
    </w:lvl>
    <w:lvl w:ilvl="8" w:tplc="BB460132">
      <w:numFmt w:val="decimal"/>
      <w:lvlText w:val=""/>
      <w:lvlJc w:val="left"/>
    </w:lvl>
  </w:abstractNum>
  <w:abstractNum w:abstractNumId="43" w15:restartNumberingAfterBreak="0">
    <w:nsid w:val="727F325A"/>
    <w:multiLevelType w:val="hybridMultilevel"/>
    <w:tmpl w:val="C450DCF4"/>
    <w:lvl w:ilvl="0" w:tplc="1C9AC4AE">
      <w:start w:val="1"/>
      <w:numFmt w:val="bullet"/>
      <w:lvlText w:val=""/>
      <w:lvlJc w:val="left"/>
      <w:pPr>
        <w:tabs>
          <w:tab w:val="num" w:pos="900"/>
        </w:tabs>
        <w:ind w:left="540" w:hanging="360"/>
      </w:pPr>
      <w:rPr>
        <w:rFonts w:ascii="Symbol" w:hAnsi="Symbol" w:hint="default"/>
      </w:rPr>
    </w:lvl>
    <w:lvl w:ilvl="1" w:tplc="E5767F9C">
      <w:numFmt w:val="decimal"/>
      <w:lvlText w:val=""/>
      <w:lvlJc w:val="left"/>
    </w:lvl>
    <w:lvl w:ilvl="2" w:tplc="FC584EA8">
      <w:numFmt w:val="decimal"/>
      <w:lvlText w:val=""/>
      <w:lvlJc w:val="left"/>
    </w:lvl>
    <w:lvl w:ilvl="3" w:tplc="F856A7F2">
      <w:numFmt w:val="decimal"/>
      <w:lvlText w:val=""/>
      <w:lvlJc w:val="left"/>
    </w:lvl>
    <w:lvl w:ilvl="4" w:tplc="A308F1FE">
      <w:numFmt w:val="decimal"/>
      <w:lvlText w:val=""/>
      <w:lvlJc w:val="left"/>
    </w:lvl>
    <w:lvl w:ilvl="5" w:tplc="1D56C71A">
      <w:numFmt w:val="decimal"/>
      <w:lvlText w:val=""/>
      <w:lvlJc w:val="left"/>
    </w:lvl>
    <w:lvl w:ilvl="6" w:tplc="B638F2F2">
      <w:numFmt w:val="decimal"/>
      <w:lvlText w:val=""/>
      <w:lvlJc w:val="left"/>
    </w:lvl>
    <w:lvl w:ilvl="7" w:tplc="AE8CC1BA">
      <w:numFmt w:val="decimal"/>
      <w:lvlText w:val=""/>
      <w:lvlJc w:val="left"/>
    </w:lvl>
    <w:lvl w:ilvl="8" w:tplc="B52E2D64">
      <w:numFmt w:val="decimal"/>
      <w:lvlText w:val=""/>
      <w:lvlJc w:val="left"/>
    </w:lvl>
  </w:abstractNum>
  <w:abstractNum w:abstractNumId="44" w15:restartNumberingAfterBreak="0">
    <w:nsid w:val="7A73503A"/>
    <w:multiLevelType w:val="hybridMultilevel"/>
    <w:tmpl w:val="EEEEA2D2"/>
    <w:lvl w:ilvl="0" w:tplc="F618B93A">
      <w:start w:val="1"/>
      <w:numFmt w:val="bullet"/>
      <w:lvlText w:val=""/>
      <w:lvlJc w:val="left"/>
      <w:pPr>
        <w:tabs>
          <w:tab w:val="num" w:pos="1080"/>
        </w:tabs>
        <w:ind w:left="720" w:hanging="360"/>
      </w:pPr>
      <w:rPr>
        <w:rFonts w:ascii="Symbol" w:hAnsi="Symbol" w:hint="default"/>
      </w:rPr>
    </w:lvl>
    <w:lvl w:ilvl="1" w:tplc="6B0AD7F6">
      <w:numFmt w:val="decimal"/>
      <w:lvlText w:val=""/>
      <w:lvlJc w:val="left"/>
    </w:lvl>
    <w:lvl w:ilvl="2" w:tplc="AF2CDFE2">
      <w:numFmt w:val="decimal"/>
      <w:lvlText w:val=""/>
      <w:lvlJc w:val="left"/>
    </w:lvl>
    <w:lvl w:ilvl="3" w:tplc="612661EC">
      <w:numFmt w:val="decimal"/>
      <w:lvlText w:val=""/>
      <w:lvlJc w:val="left"/>
    </w:lvl>
    <w:lvl w:ilvl="4" w:tplc="22E4CD9C">
      <w:numFmt w:val="decimal"/>
      <w:lvlText w:val=""/>
      <w:lvlJc w:val="left"/>
    </w:lvl>
    <w:lvl w:ilvl="5" w:tplc="6AF82B94">
      <w:numFmt w:val="decimal"/>
      <w:lvlText w:val=""/>
      <w:lvlJc w:val="left"/>
    </w:lvl>
    <w:lvl w:ilvl="6" w:tplc="1966D3FA">
      <w:numFmt w:val="decimal"/>
      <w:lvlText w:val=""/>
      <w:lvlJc w:val="left"/>
    </w:lvl>
    <w:lvl w:ilvl="7" w:tplc="A3101A02">
      <w:numFmt w:val="decimal"/>
      <w:lvlText w:val=""/>
      <w:lvlJc w:val="left"/>
    </w:lvl>
    <w:lvl w:ilvl="8" w:tplc="45D69116">
      <w:numFmt w:val="decimal"/>
      <w:lvlText w:val=""/>
      <w:lvlJc w:val="left"/>
    </w:lvl>
  </w:abstractNum>
  <w:abstractNum w:abstractNumId="45" w15:restartNumberingAfterBreak="0">
    <w:nsid w:val="7B040CD4"/>
    <w:multiLevelType w:val="hybridMultilevel"/>
    <w:tmpl w:val="96A25AAE"/>
    <w:lvl w:ilvl="0" w:tplc="2EFE459C">
      <w:start w:val="1"/>
      <w:numFmt w:val="bullet"/>
      <w:lvlText w:val=""/>
      <w:lvlJc w:val="left"/>
      <w:pPr>
        <w:tabs>
          <w:tab w:val="num" w:pos="1080"/>
        </w:tabs>
        <w:ind w:left="720" w:hanging="360"/>
      </w:pPr>
      <w:rPr>
        <w:rFonts w:ascii="Symbol" w:hAnsi="Symbol" w:hint="default"/>
      </w:rPr>
    </w:lvl>
    <w:lvl w:ilvl="1" w:tplc="E1CABB18">
      <w:numFmt w:val="decimal"/>
      <w:lvlText w:val=""/>
      <w:lvlJc w:val="left"/>
    </w:lvl>
    <w:lvl w:ilvl="2" w:tplc="2BCA4696">
      <w:numFmt w:val="decimal"/>
      <w:lvlText w:val=""/>
      <w:lvlJc w:val="left"/>
    </w:lvl>
    <w:lvl w:ilvl="3" w:tplc="6C207746">
      <w:numFmt w:val="decimal"/>
      <w:lvlText w:val=""/>
      <w:lvlJc w:val="left"/>
    </w:lvl>
    <w:lvl w:ilvl="4" w:tplc="2B327526">
      <w:numFmt w:val="decimal"/>
      <w:lvlText w:val=""/>
      <w:lvlJc w:val="left"/>
    </w:lvl>
    <w:lvl w:ilvl="5" w:tplc="8F0894A8">
      <w:numFmt w:val="decimal"/>
      <w:lvlText w:val=""/>
      <w:lvlJc w:val="left"/>
    </w:lvl>
    <w:lvl w:ilvl="6" w:tplc="859881C8">
      <w:numFmt w:val="decimal"/>
      <w:lvlText w:val=""/>
      <w:lvlJc w:val="left"/>
    </w:lvl>
    <w:lvl w:ilvl="7" w:tplc="545001EC">
      <w:numFmt w:val="decimal"/>
      <w:lvlText w:val=""/>
      <w:lvlJc w:val="left"/>
    </w:lvl>
    <w:lvl w:ilvl="8" w:tplc="330252B6">
      <w:numFmt w:val="decimal"/>
      <w:lvlText w:val=""/>
      <w:lvlJc w:val="left"/>
    </w:lvl>
  </w:abstractNum>
  <w:num w:numId="1" w16cid:durableId="1446540273">
    <w:abstractNumId w:val="29"/>
  </w:num>
  <w:num w:numId="2" w16cid:durableId="1968972567">
    <w:abstractNumId w:val="34"/>
  </w:num>
  <w:num w:numId="3" w16cid:durableId="1896156488">
    <w:abstractNumId w:val="42"/>
  </w:num>
  <w:num w:numId="4" w16cid:durableId="955672100">
    <w:abstractNumId w:val="35"/>
  </w:num>
  <w:num w:numId="5" w16cid:durableId="641498744">
    <w:abstractNumId w:val="43"/>
  </w:num>
  <w:num w:numId="6" w16cid:durableId="1152597828">
    <w:abstractNumId w:val="24"/>
  </w:num>
  <w:num w:numId="7" w16cid:durableId="1673026746">
    <w:abstractNumId w:val="3"/>
  </w:num>
  <w:num w:numId="8" w16cid:durableId="1699968163">
    <w:abstractNumId w:val="39"/>
  </w:num>
  <w:num w:numId="9" w16cid:durableId="687408603">
    <w:abstractNumId w:val="15"/>
  </w:num>
  <w:num w:numId="10" w16cid:durableId="450630264">
    <w:abstractNumId w:val="18"/>
  </w:num>
  <w:num w:numId="11" w16cid:durableId="2087995293">
    <w:abstractNumId w:val="8"/>
  </w:num>
  <w:num w:numId="12" w16cid:durableId="581183743">
    <w:abstractNumId w:val="33"/>
  </w:num>
  <w:num w:numId="13" w16cid:durableId="1810004784">
    <w:abstractNumId w:val="5"/>
  </w:num>
  <w:num w:numId="14" w16cid:durableId="1000503016">
    <w:abstractNumId w:val="10"/>
  </w:num>
  <w:num w:numId="15" w16cid:durableId="1986347448">
    <w:abstractNumId w:val="0"/>
  </w:num>
  <w:num w:numId="16" w16cid:durableId="416680438">
    <w:abstractNumId w:val="13"/>
  </w:num>
  <w:num w:numId="17" w16cid:durableId="763108983">
    <w:abstractNumId w:val="41"/>
  </w:num>
  <w:num w:numId="18" w16cid:durableId="502009181">
    <w:abstractNumId w:val="9"/>
  </w:num>
  <w:num w:numId="19" w16cid:durableId="1560556530">
    <w:abstractNumId w:val="14"/>
  </w:num>
  <w:num w:numId="20" w16cid:durableId="795369727">
    <w:abstractNumId w:val="7"/>
  </w:num>
  <w:num w:numId="21" w16cid:durableId="98991987">
    <w:abstractNumId w:val="28"/>
  </w:num>
  <w:num w:numId="22" w16cid:durableId="668798277">
    <w:abstractNumId w:val="6"/>
  </w:num>
  <w:num w:numId="23" w16cid:durableId="1415589341">
    <w:abstractNumId w:val="2"/>
  </w:num>
  <w:num w:numId="24" w16cid:durableId="822812639">
    <w:abstractNumId w:val="38"/>
  </w:num>
  <w:num w:numId="25" w16cid:durableId="310983420">
    <w:abstractNumId w:val="37"/>
  </w:num>
  <w:num w:numId="26" w16cid:durableId="871386226">
    <w:abstractNumId w:val="40"/>
  </w:num>
  <w:num w:numId="27" w16cid:durableId="484008975">
    <w:abstractNumId w:val="32"/>
  </w:num>
  <w:num w:numId="28" w16cid:durableId="667365193">
    <w:abstractNumId w:val="45"/>
  </w:num>
  <w:num w:numId="29" w16cid:durableId="257368661">
    <w:abstractNumId w:val="1"/>
  </w:num>
  <w:num w:numId="30" w16cid:durableId="210926686">
    <w:abstractNumId w:val="11"/>
  </w:num>
  <w:num w:numId="31" w16cid:durableId="1986859481">
    <w:abstractNumId w:val="31"/>
  </w:num>
  <w:num w:numId="32" w16cid:durableId="1093013085">
    <w:abstractNumId w:val="22"/>
  </w:num>
  <w:num w:numId="33" w16cid:durableId="1659963200">
    <w:abstractNumId w:val="30"/>
  </w:num>
  <w:num w:numId="34" w16cid:durableId="1454136036">
    <w:abstractNumId w:val="44"/>
  </w:num>
  <w:num w:numId="35" w16cid:durableId="1080296865">
    <w:abstractNumId w:val="27"/>
  </w:num>
  <w:num w:numId="36" w16cid:durableId="972250470">
    <w:abstractNumId w:val="36"/>
  </w:num>
  <w:num w:numId="37" w16cid:durableId="1958246740">
    <w:abstractNumId w:val="19"/>
  </w:num>
  <w:num w:numId="38" w16cid:durableId="2033456125">
    <w:abstractNumId w:val="12"/>
  </w:num>
  <w:num w:numId="39" w16cid:durableId="381907064">
    <w:abstractNumId w:val="23"/>
  </w:num>
  <w:num w:numId="40" w16cid:durableId="1730113084">
    <w:abstractNumId w:val="20"/>
  </w:num>
  <w:num w:numId="41" w16cid:durableId="1057779102">
    <w:abstractNumId w:val="25"/>
  </w:num>
  <w:num w:numId="42" w16cid:durableId="1023631341">
    <w:abstractNumId w:val="26"/>
  </w:num>
  <w:num w:numId="43" w16cid:durableId="938563141">
    <w:abstractNumId w:val="21"/>
  </w:num>
  <w:num w:numId="44" w16cid:durableId="1661230066">
    <w:abstractNumId w:val="17"/>
  </w:num>
  <w:num w:numId="45" w16cid:durableId="1199781871">
    <w:abstractNumId w:val="16"/>
  </w:num>
  <w:num w:numId="46" w16cid:durableId="1529218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896"/>
    <w:rsid w:val="005E7A89"/>
    <w:rsid w:val="006F7CDE"/>
    <w:rsid w:val="007F7663"/>
    <w:rsid w:val="00B05DFD"/>
    <w:rsid w:val="00C30896"/>
    <w:rsid w:val="00F64BB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80AD9E0"/>
  <w15:docId w15:val="{256F36F3-CECA-40F1-BF18-4C7EB8D31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BB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64BB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F64BB2"/>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F64BB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F64BB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F64BB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F64BB2"/>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F64BB2"/>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9230</Words>
  <Characters>52611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Kwan, Iven FD</cp:lastModifiedBy>
  <cp:revision>2</cp:revision>
  <dcterms:created xsi:type="dcterms:W3CDTF">2026-04-13T14:53:00Z</dcterms:created>
  <dcterms:modified xsi:type="dcterms:W3CDTF">2026-04-13T14:53:00Z</dcterms:modified>
</cp:coreProperties>
</file>