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B474D"/>
            <w:tcBorders>
              <w:top w:val="single" w:sz="4" w:color="1B474D"/>
              <w:left w:val="single" w:sz="4" w:color="1B474D"/>
              <w:bottom w:val="single" w:sz="4" w:color="1B474D"/>
              <w:right w:val="single" w:sz="4" w:color="1B474D"/>
            </w:tcBorders>
          </w:tcPr>
          <w:p>
            <w:pPr>
              <w:jc w:val="center"/>
              <w:spacing w:before="240" w:after="80"/>
            </w:pPr>
            <w:r>
              <w:rPr>
                <w:rFonts w:ascii="Calibri" w:hAnsi="Calibri"/>
                <w:b/>
                <w:color w:val="FFFFFF"/>
                <w:sz w:val="44"/>
              </w:rPr>
              <w:t>Agentic AI Governance Policy</w:t>
            </w:r>
          </w:p>
          <w:p>
            <w:pPr>
              <w:jc w:val="center"/>
              <w:spacing w:before="0" w:after="80"/>
            </w:pPr>
            <w:r>
              <w:rPr>
                <w:rFonts w:ascii="Calibri" w:hAnsi="Calibri"/>
                <w:color w:val="BCE2E7"/>
                <w:sz w:val="22"/>
              </w:rPr>
              <w:t>Controls for Local LLMs, Coding Agents, Browser Automation &amp; Approval Workflows</w:t>
            </w:r>
          </w:p>
          <w:p>
            <w:pPr>
              <w:jc w:val="center"/>
              <w:spacing w:before="0" w:after="240"/>
            </w:pPr>
            <w:r>
              <w:rPr>
                <w:rFonts w:ascii="Calibri" w:hAnsi="Calibri"/>
                <w:i/>
                <w:color w:val="BCE2E7"/>
                <w:sz w:val="18"/>
              </w:rPr>
              <w:t>Version 1.0  |  April 2026  |  Confidential — Board &amp; Senior Management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/>
          <w:b/>
          <w:color w:val="1B474D"/>
          <w:sz w:val="32"/>
        </w:rPr>
        <w:t>1. Executive Summary</w:t>
      </w:r>
    </w:p>
    <w:p>
      <w:pPr>
        <w:spacing w:after="80"/>
      </w:pPr>
      <w:r>
        <w:rPr>
          <w:rFonts w:ascii="Calibri" w:hAnsi="Calibri"/>
          <w:b w:val="0"/>
          <w:color w:val="28251D"/>
          <w:sz w:val="20"/>
        </w:rPr>
        <w:t>The organisation is deploying AI agents — including local large language models (LLMs), automated coding assistants, and browser automation tools — to accelerate development and compliance workflows. These systems introduce material risks to data confidentiality, operational integrity, and regulatory compliance that require explicit governance controls aligned with our existing information security frameworks.</w:t>
      </w:r>
    </w:p>
    <w:p>
      <w:pPr>
        <w:spacing w:after="80"/>
      </w:pPr>
      <w:r>
        <w:rPr>
          <w:rFonts w:ascii="Calibri" w:hAnsi="Calibri"/>
          <w:b w:val="0"/>
          <w:color w:val="28251D"/>
          <w:sz w:val="20"/>
        </w:rPr>
        <w:t>This policy establishes the minimum-acceptable controls for agentic AI systems, mapped to ISO 27001:2022 and ISO/IEC 38505-1:2022 (Governance of Data). It defines six control domains, 38 specific controls, a technical implementation checklist, and a RACI assignment table for enterprise rollout.</w:t>
      </w:r>
    </w:p>
    <w:p>
      <w:pPr>
        <w:spacing w:after="80"/>
      </w:pPr>
      <w:r>
        <w:rPr>
          <w:rFonts w:ascii="Calibri" w:hAnsi="Calibri"/>
          <w:b/>
          <w:color w:val="28251D"/>
          <w:sz w:val="20"/>
        </w:rPr>
        <w:t>Key risk areas addressed: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Data exfiltration via LLM inference endpoints and prompt logs (relevant to PDPO, AMLO, HKMA TRM)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Supply-chain compromise of model weights and agent dependencies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Prompt injection and adversarial misuse of deployed agents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Unauthorized agent actions without human oversight or audit trail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Model drift and bias in consequential decision support (AML, KYC scoring)</w:t>
      </w:r>
    </w:p>
    <w:p/>
    <w:p>
      <w:pPr>
        <w:pStyle w:val="Heading1"/>
        <w:spacing w:before="240" w:after="80"/>
      </w:pPr>
      <w:r>
        <w:rPr>
          <w:rFonts w:ascii="Calibri" w:hAnsi="Calibri"/>
          <w:b/>
          <w:color w:val="1B474D"/>
          <w:sz w:val="32"/>
        </w:rPr>
        <w:t>2. Scope &amp; Applicability</w:t>
      </w:r>
    </w:p>
    <w:p>
      <w:pPr>
        <w:spacing w:after="80"/>
      </w:pPr>
      <w:r>
        <w:rPr>
          <w:rFonts w:ascii="Calibri" w:hAnsi="Calibri"/>
          <w:b w:val="0"/>
          <w:color w:val="28251D"/>
          <w:sz w:val="20"/>
        </w:rPr>
        <w:t>This policy applies to all agentic AI systems operated by or on behalf of the organisation, including third-party systems accessing organisational data or infrastructure.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System Type</w:t>
            </w:r>
          </w:p>
        </w:tc>
        <w:tc>
          <w:tcPr>
            <w:tcW w:type="dxa" w:w="3024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3024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Regulatory Touchpoints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Local LLMs (Ollama, vLLM, llama.cpp)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Yes — all deployments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PDPO Cap 486C, HKMA TRM §3.4</w:t>
            </w:r>
          </w:p>
        </w:tc>
      </w:tr>
      <w:tr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Cloud LLM APIs (OpenAI, Anthropic, Gemini)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Yes — when processing internal data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PDPO, AMLO Cap 615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Coding Agents (Roo Code, Continue, Copilot)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Yes — all IDE and CI/CD integrations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ISO 27001 A.8.25, A.8.28</w:t>
            </w:r>
          </w:p>
        </w:tc>
      </w:tr>
      <w:tr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Browser Automation (Playwright, Selenium)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Yes — all automated web interactions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PDPO, fraud control requirements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Prompt Logging &amp; Monitoring Infrastructure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Yes — all log pipelines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PDPO data minimisation, AMLO record-keeping</w:t>
            </w:r>
          </w:p>
        </w:tc>
      </w:tr>
      <w:tr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Model Evaluation &amp; Drift Monitoring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Yes — all production models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HKMA Model Risk MG-014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/>
          <w:b/>
          <w:color w:val="1B474D"/>
          <w:sz w:val="32"/>
        </w:rPr>
        <w:t>3. Governance Framework Alignment</w:t>
      </w:r>
    </w:p>
    <w:p>
      <w:pPr>
        <w:spacing w:after="80"/>
      </w:pPr>
      <w:r>
        <w:rPr>
          <w:rFonts w:ascii="Calibri" w:hAnsi="Calibri"/>
          <w:b w:val="0"/>
          <w:color w:val="28251D"/>
          <w:sz w:val="20"/>
        </w:rPr>
        <w:t>Controls in this policy are anchored to two international standards, ensuring compatibility with existing ISMS certification programmes and board-level data governance obligations.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Relevance to Agentic AI</w:t>
            </w:r>
          </w:p>
        </w:tc>
        <w:tc>
          <w:tcPr>
            <w:tcW w:type="dxa" w:w="3024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Primary Controls Mapped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ISO/IEC 27001:2022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>Information security management — provides the control framework for protecting AI systems, data inputs/outputs, access controls, logging, and incident response.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>A.5 Org Controls (policies, roles, SoD)</w:t>
              <w:br/>
              <w:t>A.8 Tech Controls (access, SAST, logging, DLP, capacity)</w:t>
              <w:br/>
              <w:t>A.5.33 Record protection</w:t>
            </w:r>
          </w:p>
        </w:tc>
      </w:tr>
      <w:tr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ISO/IEC 38505-1:2022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>Governance of data by the organisation — ensures board-level accountability for data used by and generated by AI systems, with explicit focus on data quality, accountability, and lifecycle.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>§6 Accountability (asset register, audit trail)</w:t>
              <w:br/>
              <w:t>§7 Evaluate (risk, trustworthiness, fitness)</w:t>
              <w:br/>
              <w:t>§8 Direct (lifecycle, oversight, escalation)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/>
          <w:b/>
          <w:color w:val="1B474D"/>
          <w:sz w:val="32"/>
        </w:rPr>
        <w:t>4. Control Domains</w:t>
      </w:r>
    </w:p>
    <w:p>
      <w:pPr>
        <w:spacing w:after="80"/>
      </w:pPr>
      <w:r>
        <w:rPr>
          <w:rFonts w:ascii="Calibri" w:hAnsi="Calibri"/>
          <w:b w:val="0"/>
          <w:color w:val="28251D"/>
          <w:sz w:val="20"/>
        </w:rPr>
        <w:t>The policy organises controls into six domains, each aligned to a specific category of agentic AI capability. Each domain carries a risk summary and the number of mandatory controls.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1B474D"/>
          <w:sz w:val="26"/>
        </w:rPr>
        <w:t>Domain 1: Local LLM Deployment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A1354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 Level: Critical</w:t>
            </w:r>
          </w:p>
        </w:tc>
        <w:tc>
          <w:tcPr>
            <w:tcW w:type="dxa" w:w="1417"/>
            <w:shd w:val="clear" w:color="auto" w:fill="20808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6 controls</w:t>
            </w:r>
          </w:p>
        </w:tc>
        <w:tc>
          <w:tcPr>
            <w:tcW w:type="dxa" w:w="5102"/>
            <w:shd w:val="clear" w:color="auto" w:fill="FFFFFF"/>
          </w:tcPr>
          <w:p>
            <w:r/>
          </w:p>
        </w:tc>
      </w:tr>
    </w:tbl>
    <w:p/>
    <w:p>
      <w:pPr>
        <w:spacing w:after="80"/>
      </w:pPr>
      <w:r>
        <w:rPr>
          <w:rFonts w:ascii="Calibri" w:hAnsi="Calibri"/>
          <w:b w:val="0"/>
          <w:color w:val="28251D"/>
          <w:sz w:val="20"/>
        </w:rPr>
        <w:t>LLMs running locally (Ollama, vLLM) process internal data without the contractual safeguards of cloud providers. Key risks: model weight tampering, data exfiltration through inference APIs, uncontrolled resource consumption.</w:t>
      </w:r>
    </w:p>
    <w:p>
      <w:pPr>
        <w:spacing w:after="80"/>
      </w:pPr>
      <w:r>
        <w:rPr>
          <w:rFonts w:ascii="Calibri" w:hAnsi="Calibri"/>
          <w:b/>
          <w:color w:val="28251D"/>
          <w:sz w:val="20"/>
        </w:rPr>
        <w:t>Mandatory requirements: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Maintain a signed model inventory with use-case classification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Network-isolate all inference workloads by default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Validate model integrity via cryptographic checksums at startup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Apply DLP controls to prevent regulated data submission to any internet-connected model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Enforce rate limits and token quotas per service identity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Maintain and enforce a model deprecation lifecycle</w:t>
      </w:r>
    </w:p>
    <w:p/>
    <w:p>
      <w:pPr>
        <w:pStyle w:val="Heading2"/>
        <w:spacing w:before="160" w:after="80"/>
      </w:pPr>
      <w:r>
        <w:rPr>
          <w:rFonts w:ascii="Calibri" w:hAnsi="Calibri"/>
          <w:b/>
          <w:color w:val="1B474D"/>
          <w:sz w:val="26"/>
        </w:rPr>
        <w:t>Domain 2: Coding Agents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A1354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 Level: Critical</w:t>
            </w:r>
          </w:p>
        </w:tc>
        <w:tc>
          <w:tcPr>
            <w:tcW w:type="dxa" w:w="1417"/>
            <w:shd w:val="clear" w:color="auto" w:fill="20808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6 controls</w:t>
            </w:r>
          </w:p>
        </w:tc>
        <w:tc>
          <w:tcPr>
            <w:tcW w:type="dxa" w:w="5102"/>
            <w:shd w:val="clear" w:color="auto" w:fill="FFFFFF"/>
          </w:tcPr>
          <w:p>
            <w:r/>
          </w:p>
        </w:tc>
      </w:tr>
    </w:tbl>
    <w:p/>
    <w:p>
      <w:pPr>
        <w:spacing w:after="80"/>
      </w:pPr>
      <w:r>
        <w:rPr>
          <w:rFonts w:ascii="Calibri" w:hAnsi="Calibri"/>
          <w:b w:val="0"/>
          <w:color w:val="28251D"/>
          <w:sz w:val="20"/>
        </w:rPr>
        <w:t>Coding agents with access to source code, configuration files, and CI/CD pipelines can introduce vulnerabilities, exfiltrate secrets, or execute malicious dependencies if not properly constrained.</w:t>
      </w:r>
    </w:p>
    <w:p>
      <w:pPr>
        <w:spacing w:after="80"/>
      </w:pPr>
      <w:r>
        <w:rPr>
          <w:rFonts w:ascii="Calibri" w:hAnsi="Calibri"/>
          <w:b/>
          <w:color w:val="28251D"/>
          <w:sz w:val="20"/>
        </w:rPr>
        <w:t>Mandatory requirements: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Assign dedicated service accounts with minimal filesystem and API permissions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Require SAST as a mandatory CI gate for all agent-generated code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Block agent access to credential files; enforce pre-commit secret scanning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Implement tool-call allowlisting to prevent arbitrary shell execution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Use ephemeral session credentials with maximum time-to-live limits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Scan all agent-suggested dependencies for CVEs and typosquatting</w:t>
      </w:r>
    </w:p>
    <w:p/>
    <w:p>
      <w:pPr>
        <w:pStyle w:val="Heading2"/>
        <w:spacing w:before="160" w:after="80"/>
      </w:pPr>
      <w:r>
        <w:rPr>
          <w:rFonts w:ascii="Calibri" w:hAnsi="Calibri"/>
          <w:b/>
          <w:color w:val="1B474D"/>
          <w:sz w:val="26"/>
        </w:rPr>
        <w:t>Domain 3: Browser Automation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9642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 Level: High</w:t>
            </w:r>
          </w:p>
        </w:tc>
        <w:tc>
          <w:tcPr>
            <w:tcW w:type="dxa" w:w="1417"/>
            <w:shd w:val="clear" w:color="auto" w:fill="20808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5 controls</w:t>
            </w:r>
          </w:p>
        </w:tc>
        <w:tc>
          <w:tcPr>
            <w:tcW w:type="dxa" w:w="5102"/>
            <w:shd w:val="clear" w:color="auto" w:fill="FFFFFF"/>
          </w:tcPr>
          <w:p>
            <w:r/>
          </w:p>
        </w:tc>
      </w:tr>
    </w:tbl>
    <w:p/>
    <w:p>
      <w:pPr>
        <w:spacing w:after="80"/>
      </w:pPr>
      <w:r>
        <w:rPr>
          <w:rFonts w:ascii="Calibri" w:hAnsi="Calibri"/>
          <w:b w:val="0"/>
          <w:color w:val="28251D"/>
          <w:sz w:val="20"/>
        </w:rPr>
        <w:t>Browser automation agents that interact with external systems, submit data, or execute financial transactions require strong containment and explicit human oversight for high-risk actions.</w:t>
      </w:r>
    </w:p>
    <w:p>
      <w:pPr>
        <w:spacing w:after="80"/>
      </w:pPr>
      <w:r>
        <w:rPr>
          <w:rFonts w:ascii="Calibri" w:hAnsi="Calibri"/>
          <w:b/>
          <w:color w:val="28251D"/>
          <w:sz w:val="20"/>
        </w:rPr>
        <w:t>Mandatory requirements: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Run all browser agents in ephemeral, network-isolated containers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Enforce a domain allowlist with proxy-level enforcement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Inject credentials from secrets manager at runtime; never hardcode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Log all browser actions (URL, element, action type) to immutable storage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Require human approval before any High or Critical risk browser action</w:t>
      </w:r>
    </w:p>
    <w:p/>
    <w:p>
      <w:pPr>
        <w:pStyle w:val="Heading2"/>
        <w:spacing w:before="160" w:after="80"/>
      </w:pPr>
      <w:r>
        <w:rPr>
          <w:rFonts w:ascii="Calibri" w:hAnsi="Calibri"/>
          <w:b/>
          <w:color w:val="1B474D"/>
          <w:sz w:val="26"/>
        </w:rPr>
        <w:t>Domain 4: Prompt Logging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9642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 Level: High</w:t>
            </w:r>
          </w:p>
        </w:tc>
        <w:tc>
          <w:tcPr>
            <w:tcW w:type="dxa" w:w="1417"/>
            <w:shd w:val="clear" w:color="auto" w:fill="20808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5 controls</w:t>
            </w:r>
          </w:p>
        </w:tc>
        <w:tc>
          <w:tcPr>
            <w:tcW w:type="dxa" w:w="5102"/>
            <w:shd w:val="clear" w:color="auto" w:fill="FFFFFF"/>
          </w:tcPr>
          <w:p>
            <w:r/>
          </w:p>
        </w:tc>
      </w:tr>
    </w:tbl>
    <w:p/>
    <w:p>
      <w:pPr>
        <w:spacing w:after="80"/>
      </w:pPr>
      <w:r>
        <w:rPr>
          <w:rFonts w:ascii="Calibri" w:hAnsi="Calibri"/>
          <w:b w:val="0"/>
          <w:color w:val="28251D"/>
          <w:sz w:val="20"/>
        </w:rPr>
        <w:t>Prompt and completion logs may contain sensitive personal data, commercially sensitive information, or AML case details. Their storage, access, and lifecycle must meet the same standards as production data.</w:t>
      </w:r>
    </w:p>
    <w:p>
      <w:pPr>
        <w:spacing w:after="80"/>
      </w:pPr>
      <w:r>
        <w:rPr>
          <w:rFonts w:ascii="Calibri" w:hAnsi="Calibri"/>
          <w:b/>
          <w:color w:val="28251D"/>
          <w:sz w:val="20"/>
        </w:rPr>
        <w:t>Mandatory requirements: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Publish and enforce a retention schedule aligned to AMLO and PDPO obligations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Redact PII and case-sensitive data before log storage using automated pipeline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Store logs in tamper-evident, append-only infrastructure with hash-chain integrity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Apply RBAC — developers must not access production prompt logs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Monitor log streams for jailbreak attempts, injection signatures, and exfiltration patterns</w:t>
      </w:r>
    </w:p>
    <w:p/>
    <w:p>
      <w:pPr>
        <w:pStyle w:val="Heading2"/>
        <w:spacing w:before="160" w:after="80"/>
      </w:pPr>
      <w:r>
        <w:rPr>
          <w:rFonts w:ascii="Calibri" w:hAnsi="Calibri"/>
          <w:b/>
          <w:color w:val="1B474D"/>
          <w:sz w:val="26"/>
        </w:rPr>
        <w:t>Domain 5: Model Evaluation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9642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 Level: High</w:t>
            </w:r>
          </w:p>
        </w:tc>
        <w:tc>
          <w:tcPr>
            <w:tcW w:type="dxa" w:w="1417"/>
            <w:shd w:val="clear" w:color="auto" w:fill="20808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5 controls</w:t>
            </w:r>
          </w:p>
        </w:tc>
        <w:tc>
          <w:tcPr>
            <w:tcW w:type="dxa" w:w="5102"/>
            <w:shd w:val="clear" w:color="auto" w:fill="FFFFFF"/>
          </w:tcPr>
          <w:p>
            <w:r/>
          </w:p>
        </w:tc>
      </w:tr>
    </w:tbl>
    <w:p/>
    <w:p>
      <w:pPr>
        <w:spacing w:after="80"/>
      </w:pPr>
      <w:r>
        <w:rPr>
          <w:rFonts w:ascii="Calibri" w:hAnsi="Calibri"/>
          <w:b w:val="0"/>
          <w:color w:val="28251D"/>
          <w:sz w:val="20"/>
        </w:rPr>
        <w:t>Models deployed in consequential workflows (AML scoring, KYC, credit) must be continuously evaluated for accuracy, safety, bias, and behavioral drift. Ad-hoc or undocumented evaluation is not acceptable.</w:t>
      </w:r>
    </w:p>
    <w:p>
      <w:pPr>
        <w:spacing w:after="80"/>
      </w:pPr>
      <w:r>
        <w:rPr>
          <w:rFonts w:ascii="Calibri" w:hAnsi="Calibri"/>
          <w:b/>
          <w:color w:val="28251D"/>
          <w:sz w:val="20"/>
        </w:rPr>
        <w:t>Mandatory requirements: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Define minimum-threshold evaluation scorecard before any model deployment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Monitor production models for performance drift on a weekly automated cadence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Conduct annual structured red-team exercises using OWASP LLM Top 10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Complete bias and fairness audits annually for consequential AI models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Version-control all evaluation datasets, benchmarks, and reports</w:t>
      </w:r>
    </w:p>
    <w:p/>
    <w:p>
      <w:pPr>
        <w:pStyle w:val="Heading2"/>
        <w:spacing w:before="160" w:after="80"/>
      </w:pPr>
      <w:r>
        <w:rPr>
          <w:rFonts w:ascii="Calibri" w:hAnsi="Calibri"/>
          <w:b/>
          <w:color w:val="1B474D"/>
          <w:sz w:val="26"/>
        </w:rPr>
        <w:t>Domain 6: Approval Workflows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A1354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 Level: Critical</w:t>
            </w:r>
          </w:p>
        </w:tc>
        <w:tc>
          <w:tcPr>
            <w:tcW w:type="dxa" w:w="1417"/>
            <w:shd w:val="clear" w:color="auto" w:fill="20808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7 controls</w:t>
            </w:r>
          </w:p>
        </w:tc>
        <w:tc>
          <w:tcPr>
            <w:tcW w:type="dxa" w:w="5102"/>
            <w:shd w:val="clear" w:color="auto" w:fill="FFFFFF"/>
          </w:tcPr>
          <w:p>
            <w:r/>
          </w:p>
        </w:tc>
      </w:tr>
    </w:tbl>
    <w:p/>
    <w:p>
      <w:pPr>
        <w:spacing w:after="80"/>
      </w:pPr>
      <w:r>
        <w:rPr>
          <w:rFonts w:ascii="Calibri" w:hAnsi="Calibri"/>
          <w:b w:val="0"/>
          <w:color w:val="28251D"/>
          <w:sz w:val="20"/>
        </w:rPr>
        <w:t>Without explicit approval gates, agents can take consequential actions (writing to production, submitting external data, executing transactions) without human oversight. Approval workflows must be risk-calibrated, logged, and enforced at the infrastructure level.</w:t>
      </w:r>
    </w:p>
    <w:p>
      <w:pPr>
        <w:spacing w:after="80"/>
      </w:pPr>
      <w:r>
        <w:rPr>
          <w:rFonts w:ascii="Calibri" w:hAnsi="Calibri"/>
          <w:b/>
          <w:color w:val="28251D"/>
          <w:sz w:val="20"/>
        </w:rPr>
        <w:t>Mandatory requirements: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Publish an action risk taxonomy classifying all agent actions as Low/Medium/High/Critical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Configure approval chains per risk tier (Low=auto, Critical=CISO+committee)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Maintain immutable, 5-year approval audit logs for regulated workflows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Enforce fail-closed behaviour on approval timeout — never auto-approve on expiry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Enforce segregation of duties — initiators cannot self-approve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Maintain and test rollback procedures for all High and Critical actions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Define escalation triggers that notify CISO within 2 hours and board committee within 24 hours</w:t>
      </w:r>
    </w:p>
    <w:p/>
    <w:p>
      <w:pPr>
        <w:pStyle w:val="Heading1"/>
        <w:spacing w:before="240" w:after="80"/>
      </w:pPr>
      <w:r>
        <w:rPr>
          <w:rFonts w:ascii="Calibri" w:hAnsi="Calibri"/>
          <w:b/>
          <w:color w:val="1B474D"/>
          <w:sz w:val="32"/>
        </w:rPr>
        <w:t>5. Risk Register Summary</w:t>
      </w:r>
    </w:p>
    <w:p>
      <w:pPr>
        <w:spacing w:after="80"/>
      </w:pPr>
      <w:r>
        <w:rPr>
          <w:rFonts w:ascii="Calibri" w:hAnsi="Calibri"/>
          <w:b w:val="0"/>
          <w:color w:val="28251D"/>
          <w:sz w:val="20"/>
        </w:rPr>
        <w:t>The following table summarises the top 10 residual risk items in the absence of these controls, mapped to their primary ISO reference and the control that mitigates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814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14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Inherent Likelihood</w:t>
            </w:r>
          </w:p>
        </w:tc>
        <w:tc>
          <w:tcPr>
            <w:tcW w:type="dxa" w:w="1814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ISO Reference</w:t>
            </w:r>
          </w:p>
        </w:tc>
        <w:tc>
          <w:tcPr>
            <w:tcW w:type="dxa" w:w="1814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Mitigating Control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Regulated data exfiltration via LLM prompt API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Data Protection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A13544"/>
                <w:sz w:val="18"/>
              </w:rPr>
              <w:t>High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ISO 27001 A.8.12; PDPO §4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LLM-04 — DLP policy enforcement</w:t>
            </w:r>
          </w:p>
        </w:tc>
      </w:tr>
      <w:tr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Model weight tampering (supply chain attack)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Integrity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964219"/>
                <w:sz w:val="18"/>
              </w:rPr>
              <w:t>Medium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ISO 27001 A.8.8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LLM-03 — Checksum validation at startup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Coding agent commits credentials to source repo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Credential Security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A13544"/>
                <w:sz w:val="18"/>
              </w:rPr>
              <w:t>High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ISO 27001 A.8.25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COD-03 — Pre-commit secret scanning</w:t>
            </w:r>
          </w:p>
        </w:tc>
      </w:tr>
      <w:tr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Prompt injection via malicious code comments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Adversarial Attack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A13544"/>
                <w:sz w:val="18"/>
              </w:rPr>
              <w:t>High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ISO 27001 A.8.28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COD-04 — Input sanitisation + tool allowlist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Browser agent executes unauthorized transaction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Operational Risk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964219"/>
                <w:sz w:val="18"/>
              </w:rPr>
              <w:t>Medium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ISO 38505-1 §8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BRW-05 — Human-in-the-loop approval gate</w:t>
            </w:r>
          </w:p>
        </w:tc>
      </w:tr>
      <w:tr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AML case data retained in prompt logs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Regulatory Compliance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A13544"/>
                <w:sz w:val="18"/>
              </w:rPr>
              <w:t>High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AMLO Cap 615; PDPO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LOG-01/02 — Retention policy + PII redaction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Model drift degrades AML detection accuracy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Model Risk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A13544"/>
                <w:sz w:val="18"/>
              </w:rPr>
              <w:t>High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HKMA MG-014; ISO 38505-1 §7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EVL-02 — Weekly drift monitoring</w:t>
            </w:r>
          </w:p>
        </w:tc>
      </w:tr>
      <w:tr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Agent initiator self-approves high-risk action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Governance Failure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964219"/>
                <w:sz w:val="18"/>
              </w:rPr>
              <w:t>Medium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ISO 27001 A.5.3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APW-05 — SoD enforcement in workflow tooling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Approval timeout results in unauthorized action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Process Risk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964219"/>
                <w:sz w:val="18"/>
              </w:rPr>
              <w:t>Medium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ISO 38505-1 §8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APW-04 — Fail-closed timeout policy</w:t>
            </w:r>
          </w:p>
        </w:tc>
      </w:tr>
      <w:tr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Bias in AI-assisted KYC decisions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Regulatory / Fairness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964219"/>
                <w:sz w:val="18"/>
              </w:rPr>
              <w:t>Medium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SFC Code of Conduct; ISO 38505-1 §7</w:t>
            </w:r>
          </w:p>
        </w:tc>
        <w:tc>
          <w:tcPr>
            <w:tcW w:type="dxa" w:w="181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EVL-04 — Annual bias &amp; fairness audit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/>
          <w:b/>
          <w:color w:val="1B474D"/>
          <w:sz w:val="32"/>
        </w:rPr>
        <w:t>6. Roles &amp; Accountability</w:t>
      </w:r>
    </w:p>
    <w:p>
      <w:pPr>
        <w:spacing w:after="80"/>
      </w:pPr>
      <w:r>
        <w:rPr>
          <w:rFonts w:ascii="Calibri" w:hAnsi="Calibri"/>
          <w:b w:val="0"/>
          <w:color w:val="28251D"/>
          <w:sz w:val="20"/>
        </w:rPr>
        <w:t>Accountability for agentic AI governance is distributed across the following roles. The detailed RACI assignment is provided in the accompanying Excel workbook (RACI Table sheet).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024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Primary Accountability</w:t>
            </w:r>
          </w:p>
        </w:tc>
        <w:tc>
          <w:tcPr>
            <w:tcW w:type="dxa" w:w="3024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Governance Obligation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Board / Risk Committee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Approve AI risk appetite; receive escalations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Quarterly AI risk report; annual policy sign-off</w:t>
            </w:r>
          </w:p>
        </w:tc>
      </w:tr>
      <w:tr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CISO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Own this policy; approve exceptions; receive critical escalations within 2h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Annual control effectiveness review; ISO 27001 ISMS integration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CTO / CIO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Accountable for AI infrastructure strategy and risk acceptance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Annual technology risk sign-off; budget for controls</w:t>
            </w:r>
          </w:p>
        </w:tc>
      </w:tr>
      <w:tr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Enterprise Architect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Design control architecture; approve system boundaries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Architecture review for new AI deployments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Security Architect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Implement technical controls; lead red-team exercises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Quarterly security control testing; red-team report</w:t>
            </w:r>
          </w:p>
        </w:tc>
      </w:tr>
      <w:tr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ML Engineer / MLOps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Model lifecycle; evaluation; drift monitoring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Weekly drift reports; evaluation scorecard sign-off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DevOps / Platform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Compute isolation; CI/CD security; log infrastructure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Monthly infrastructure compliance check</w:t>
            </w:r>
          </w:p>
        </w:tc>
      </w:tr>
      <w:tr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DevSecOps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SAST, secret scanning, dependency checks in pipelines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Weekly pipeline security report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Compliance / Legal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Interpret regulatory obligations; sign off retention policies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Annual regulatory mapping review</w:t>
            </w:r>
          </w:p>
        </w:tc>
      </w:tr>
      <w:tr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Risk Manager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Maintain risk register; coordinate assessments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Quarterly risk report to board committee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Process Owner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Define workflows; configure approval chains; train operators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Quarterly workflow effectiveness review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/>
          <w:b/>
          <w:color w:val="1B474D"/>
          <w:sz w:val="32"/>
        </w:rPr>
        <w:t>7. Compliance, Exceptions &amp; Review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B474D"/>
          <w:sz w:val="22"/>
        </w:rPr>
        <w:t>7.1 Compliance Obligations</w:t>
      </w:r>
    </w:p>
    <w:p>
      <w:pPr>
        <w:spacing w:after="80"/>
      </w:pPr>
      <w:r>
        <w:rPr>
          <w:rFonts w:ascii="Calibri" w:hAnsi="Calibri"/>
          <w:b w:val="0"/>
          <w:color w:val="28251D"/>
          <w:sz w:val="20"/>
        </w:rPr>
        <w:t>All controls in this policy are mandatory for in-scope systems. Non-compliance must be logged as a risk exception and accepted in writing by the CISO within 30 days of identification. Unaccepted exceptions escalate to the Risk Committee after 30 days.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B474D"/>
          <w:sz w:val="22"/>
        </w:rPr>
        <w:t>7.2 Exception Process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Submit exception request to CISO via risk register (include: control ID, system name, justification, proposed compensating control, target remediation date)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CISO reviews within 10 business days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Exceptions accepted for &gt;6 months require Risk Committee sign-off</w:t>
      </w:r>
    </w:p>
    <w:p>
      <w:pPr>
        <w:pStyle w:val="ListBullet"/>
        <w:spacing w:after="40"/>
      </w:pPr>
      <w:r>
        <w:rPr>
          <w:rFonts w:ascii="Calibri" w:hAnsi="Calibri"/>
          <w:color w:val="28251D"/>
          <w:sz w:val="20"/>
        </w:rPr>
        <w:t>All active exceptions must appear in the quarterly AI risk report to the board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B474D"/>
          <w:sz w:val="22"/>
        </w:rPr>
        <w:t>7.3 Policy Review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Review Type</w:t>
            </w:r>
          </w:p>
        </w:tc>
        <w:tc>
          <w:tcPr>
            <w:tcW w:type="dxa" w:w="3024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3024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Full policy review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Annual (or after material AI deployment)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CISO</w:t>
            </w:r>
          </w:p>
        </w:tc>
      </w:tr>
      <w:tr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Control effectiveness testing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Quarterly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Security Architect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RACI roster review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Quarterly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Risk Manager</w:t>
            </w:r>
          </w:p>
        </w:tc>
      </w:tr>
      <w:tr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Red team exercise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Annual minimum</w:t>
            </w:r>
          </w:p>
        </w:tc>
        <w:tc>
          <w:tcPr>
            <w:tcW w:type="dxa" w:w="3024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Security Architect + third party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/>
          <w:b/>
          <w:color w:val="1B474D"/>
          <w:sz w:val="32"/>
        </w:rPr>
        <w:t>8. Key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4536"/>
            <w:shd w:val="clear" w:color="auto" w:fill="1B47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Agentic AI System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An AI deployment that autonomously executes multi-step tasks, calls external tools, browses the web, or writes and runs code, with or without human intervention.</w:t>
            </w:r>
          </w:p>
        </w:tc>
      </w:tr>
      <w:tr>
        <w:tc>
          <w:tcPr>
            <w:tcW w:type="dxa" w:w="4536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Local LLM</w:t>
            </w:r>
          </w:p>
        </w:tc>
        <w:tc>
          <w:tcPr>
            <w:tcW w:type="dxa" w:w="4536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 large language model running on organisation-controlled infrastructure, not accessed via a third-party cloud API.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Coding Agent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An AI assistant integrated into an IDE or CI/CD pipeline that generates, modifies, or reviews source code autonomously.</w:t>
            </w:r>
          </w:p>
        </w:tc>
      </w:tr>
      <w:tr>
        <w:tc>
          <w:tcPr>
            <w:tcW w:type="dxa" w:w="4536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Prompt Injection</w:t>
            </w:r>
          </w:p>
        </w:tc>
        <w:tc>
          <w:tcPr>
            <w:tcW w:type="dxa" w:w="4536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An adversarial technique where malicious content in the agent's input overrides its instructions or causes unintended actions.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Model Drift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Degradation in model performance or behavioral consistency over time, caused by distributional shift in input data or environmental changes.</w:t>
            </w:r>
          </w:p>
        </w:tc>
      </w:tr>
      <w:tr>
        <w:tc>
          <w:tcPr>
            <w:tcW w:type="dxa" w:w="4536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Fail-Closed</w:t>
            </w:r>
          </w:p>
        </w:tc>
        <w:tc>
          <w:tcPr>
            <w:tcW w:type="dxa" w:w="4536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 control design principle where, in the absence of an explicit approval, the default action is denial — not authorization.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AMLO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Anti-Money Laundering and Counter-Terrorist Financing Ordinance (Cap. 615, Laws of Hong Kong).</w:t>
            </w:r>
          </w:p>
        </w:tc>
      </w:tr>
      <w:tr>
        <w:tc>
          <w:tcPr>
            <w:tcW w:type="dxa" w:w="4536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PDPO</w:t>
            </w:r>
          </w:p>
        </w:tc>
        <w:tc>
          <w:tcPr>
            <w:tcW w:type="dxa" w:w="4536"/>
            <w:shd w:val="clear" w:color="auto" w:fill="F2F8F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Personal Data (Privacy) Ordinance (Cap. 486, Laws of Hong Kong).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sz w:val="18"/>
              </w:rPr>
              <w:t>HKMA TRM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sz w:val="18"/>
              </w:rPr>
              <w:t>Hong Kong Monetary Authority Technology Risk Management Guidelines.</w:t>
            </w:r>
          </w:p>
        </w:tc>
      </w:tr>
    </w:tbl>
    <w:p/>
    <w:p>
      <w:pPr>
        <w:jc w:val="center"/>
      </w:pPr>
      <w:r>
        <w:rPr>
          <w:i/>
          <w:color w:val="7A7974"/>
          <w:sz w:val="16"/>
        </w:rPr>
        <w:t>CONFIDENTIAL — For Board and Senior Management Use  |  Classification: Restricted  |  Generated: 2026-04-18  |  ISO 27001:2022 × ISO 38505-1:2022 — Agentic AI Control Framework v1.0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51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