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33.8582677165355" w:firstLine="0"/>
        <w:rPr>
          <w:sz w:val="24"/>
          <w:szCs w:val="24"/>
        </w:rPr>
      </w:pPr>
      <w:r w:rsidDel="00000000" w:rsidR="00000000" w:rsidRPr="00000000">
        <w:rPr>
          <w:sz w:val="24"/>
          <w:szCs w:val="24"/>
          <w:rtl w:val="0"/>
        </w:rPr>
        <w:t xml:space="preserve">Задание 2.1</w:t>
      </w:r>
    </w:p>
    <w:p w:rsidR="00000000" w:rsidDel="00000000" w:rsidP="00000000" w:rsidRDefault="00000000" w:rsidRPr="00000000" w14:paraId="00000002">
      <w:pPr>
        <w:ind w:left="-1133.8582677165355" w:firstLine="0"/>
        <w:rPr>
          <w:sz w:val="24"/>
          <w:szCs w:val="24"/>
        </w:rPr>
      </w:pPr>
      <w:r w:rsidDel="00000000" w:rsidR="00000000" w:rsidRPr="00000000">
        <w:rPr>
          <w:rtl w:val="0"/>
        </w:rPr>
      </w:r>
    </w:p>
    <w:p w:rsidR="00000000" w:rsidDel="00000000" w:rsidP="00000000" w:rsidRDefault="00000000" w:rsidRPr="00000000" w14:paraId="00000003">
      <w:pPr>
        <w:ind w:left="-1133.8582677165355" w:firstLine="0"/>
        <w:jc w:val="center"/>
        <w:rPr>
          <w:sz w:val="28"/>
          <w:szCs w:val="28"/>
        </w:rPr>
      </w:pPr>
      <w:r w:rsidDel="00000000" w:rsidR="00000000" w:rsidRPr="00000000">
        <w:rPr>
          <w:color w:val="555555"/>
          <w:sz w:val="20"/>
          <w:szCs w:val="20"/>
          <w:highlight w:val="white"/>
          <w:rtl w:val="0"/>
        </w:rPr>
        <w:t xml:space="preserve"> </w:t>
      </w:r>
      <w:r w:rsidDel="00000000" w:rsidR="00000000" w:rsidRPr="00000000">
        <w:rPr>
          <w:sz w:val="28"/>
          <w:szCs w:val="28"/>
          <w:rtl w:val="0"/>
        </w:rPr>
        <w:t xml:space="preserve">Эргономика рабочего места программиста</w:t>
      </w:r>
      <w:r w:rsidDel="00000000" w:rsidR="00000000" w:rsidRPr="00000000">
        <w:rPr>
          <w:rtl w:val="0"/>
        </w:rPr>
      </w:r>
    </w:p>
    <w:p w:rsidR="00000000" w:rsidDel="00000000" w:rsidP="00000000" w:rsidRDefault="00000000" w:rsidRPr="00000000" w14:paraId="00000004">
      <w:pPr>
        <w:ind w:left="-1133.8582677165355" w:firstLine="0"/>
        <w:rPr>
          <w:sz w:val="24"/>
          <w:szCs w:val="24"/>
        </w:rPr>
      </w:pPr>
      <w:r w:rsidDel="00000000" w:rsidR="00000000" w:rsidRPr="00000000">
        <w:rPr>
          <w:rtl w:val="0"/>
        </w:rPr>
      </w:r>
    </w:p>
    <w:tbl>
      <w:tblPr>
        <w:tblStyle w:val="Table1"/>
        <w:tblW w:w="11160.0" w:type="dxa"/>
        <w:jc w:val="left"/>
        <w:tblInd w:w="-1033.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7860"/>
        <w:tblGridChange w:id="0">
          <w:tblGrid>
            <w:gridCol w:w="3300"/>
            <w:gridCol w:w="7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Параметр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4"/>
                <w:szCs w:val="24"/>
                <w:highlight w:val="white"/>
                <w:rtl w:val="0"/>
              </w:rPr>
              <w:t xml:space="preserve">М</w:t>
            </w:r>
            <w:r w:rsidDel="00000000" w:rsidR="00000000" w:rsidRPr="00000000">
              <w:rPr>
                <w:sz w:val="24"/>
                <w:szCs w:val="24"/>
                <w:highlight w:val="white"/>
                <w:rtl w:val="0"/>
              </w:rPr>
              <w:t xml:space="preserve">икроклимат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4829175" cy="9048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29175" cy="9048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0"/>
                <w:szCs w:val="20"/>
                <w:highlight w:val="white"/>
              </w:rPr>
            </w:pPr>
            <w:r w:rsidDel="00000000" w:rsidR="00000000" w:rsidRPr="00000000">
              <w:rPr>
                <w:sz w:val="24"/>
                <w:szCs w:val="24"/>
                <w:highlight w:val="white"/>
                <w:rtl w:val="0"/>
              </w:rPr>
              <w:t xml:space="preserve">Освещение. Расчет освещенности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Рабочие столы следует размещать таким образом, чтобы видеодисплейные терминалы были ориентированы боковой стороной к световым проемам, а естественный свет падал преимущественно слева.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Искусственное освещение в помещениях для эксплуатации ПЭВМ должно осуществляться системой общего равномерного освещения. В производственных и административно-общественных помещениях, в случаях преимущественной работы с документами, следует применять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Освещенность на поверхности стола в зоне размещения рабочего документа должна быть 300 - 500 лк. Освещение не должно создавать бликов на поверхности экрана. Освещенность поверхности экрана не должна быть более 300 лк.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Следует ограничивать прямую блесткость от источников освещения, при этом яркость светящихся поверхностей (окна, светильники и др.), находящихся в поле зрения, должна быть не более 200 кд/м 2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Следует ограничивать отраженную блесткость на рабочих поверхностях (экран, стол, клавиатура и др.) за счет правильного выбора типов светильников и расположения рабочих мест по отношению к источникам естественного и искусственного освещения, при этом яркость бликов на экране ПЭВМ не должна превышать 40 кд/м 2 и яркость потолка не должна превышать 200 кд/м 2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Показатель ослепленности для источников общего искусственного освещения в производственных помещениях должен быть не более 20. Показатель дискомфорта в административно-общественных помещениях не более 40, в дошкольных и учебных помещениях не более 15.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 Яркость светильников общего освещения в зоне углов излучения от 50 до 90° с вертикалью в продольной и поперечной плоскостях должна составлять не более 200 кд/м 2 , защитный угол светильников должен быть не менее 40°.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Светильники местного освещения должны иметь непросвечивающий отражатель с защитным углом не менее 40°.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 Следует ограничивать неравномерность распределения яркости в поле зрения пользователя ПЭВМ, при этом соотношение яркости между рабочими поверхностями не должно превышать 3 : 1 - 5 : 1, а между рабочими поверхностями и поверхностями стен и оборудования 10 :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В качестве источников света при искусственном освещении следует применять преимущественно люминесцентные лампы типа ЛБ и компактные люминесцентные лампы (КЛЛ). При устройстве отраженного освещения в производственных и административно-общественных помещениях допускается применение металлогалогенных ламп. В светильниках местного освещения допускается применение ламп накаливания, в т.ч. галогенных.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 Для освещения помещений с ПЭВМ следует применять светильники с зеркальными параболическими решетками, укомплектованными электронными пуско-регулирующими аппаратами (ЭПРА). Допускается использование многоламповых светильников с ЭПРА, состоящими из равного числа опережающих и отстающих ветвей. Применение светильников без рассеивателей и экранирующих решеток не допускается. При отсутствии светильников с ЭПРА лампы многоламповых светильников или рядом расположенные светильники общего освещения следует включать на разные фазы трехфазной сети.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 Общее освещение при использовании люминесцентных светильников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видеодисплейных терминалов. При периметральном расположении компьютеров линии светильников должны располагаться локализовано над рабочим столом ближе к его переднему краю, обращенному к оператору.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 Коэффициент запаса (Кз) для осветительных установок общего освещения должен приниматься равным 1,4.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 Коэффициент пульсации не должен превышать 5 %.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 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 проводить своевременную замену перегоревших ламп.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white"/>
                <w:rtl w:val="0"/>
              </w:rPr>
              <w:t xml:space="preserve">Ш</w:t>
            </w:r>
            <w:r w:rsidDel="00000000" w:rsidR="00000000" w:rsidRPr="00000000">
              <w:rPr>
                <w:sz w:val="24"/>
                <w:szCs w:val="24"/>
                <w:highlight w:val="white"/>
                <w:rtl w:val="0"/>
              </w:rPr>
              <w:t xml:space="preserve">ум и вибрация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В производственных помещениях при выполнении основных или вспомогательных работ с использованием ПЭВМ уровни шума на рабочих местах не должны превышать предельно допустимых значений, установленных для данных видов работ в соответствии с действующими санитарно-эпидемиологическими нормативами.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В помещениях всех образовательных и культурно-развлекательных учреждений для детей и подростков, где расположены ПЭВМ, уровни шума не должны превышать допустимых значений, установленных для жилых и общественных зданий.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При выполнении работ с использованием ПЭВМ в производственных помещениях уровень вибрации не должен превышать допустимых значений вибрации для рабочих мест (категория 3, тип «в») в соответствии с действующими санитарно-эпидемиологическими нормативами. В помещениях всех типов образовательных и культурно-развлекательных учреждений, в которых эксплуатируются ПЭВМ, уровень вибрации не должен превышать допустимых значений для жилых и общественных зданий в соответствии с действующими санитарно-эпидемиологическими нормативами.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Шумящее оборудование (печатающие устройства, серверы и т.п.), уровни шума которого превышают нормативные, должно размещаться вне помещений с ПЭВМ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white"/>
                <w:rtl w:val="0"/>
              </w:rPr>
              <w:t xml:space="preserve">Э</w:t>
            </w:r>
            <w:r w:rsidDel="00000000" w:rsidR="00000000" w:rsidRPr="00000000">
              <w:rPr>
                <w:sz w:val="24"/>
                <w:szCs w:val="24"/>
                <w:highlight w:val="white"/>
                <w:rtl w:val="0"/>
              </w:rPr>
              <w:t xml:space="preserve">лектромагнитное и ионизирующее излучения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4772025" cy="14859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720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4762500" cy="21145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62500" cy="21145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white"/>
                <w:rtl w:val="0"/>
              </w:rPr>
              <w:t xml:space="preserve">Э</w:t>
            </w:r>
            <w:r w:rsidDel="00000000" w:rsidR="00000000" w:rsidRPr="00000000">
              <w:rPr>
                <w:sz w:val="24"/>
                <w:szCs w:val="24"/>
                <w:highlight w:val="white"/>
                <w:rtl w:val="0"/>
              </w:rPr>
              <w:t xml:space="preserve">ргономические требования к рабочему месту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При размещении рабочих мест с ПЭВМ расстояние между рабочими столами с видеомониторами (в направлении тыла поверхности одного видеомонитора и экрана другого видеомонитора), должно быть не менее 2,0 м, а расстояние между боковыми поверхностями видеомониторов - не менее 1,2 м.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Рабочие места с ПЭВМ в помещениях с источниками вредных производственных факторов должны размещаться в изолированных кабинах с организованным воздухообменом.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Рабочие места с ПЭВМ при выполнении творческой работы, требующей значительного умственного напряжения или высокой концентрации внимания, рекомендуется изолировать друг от друга перегородками высотой 1,5 - 2,0 м.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Экран видеомонитора должен находиться от глаз пользователя на расстоянии 600 - 700 мм, но не ближе 500 мм с учетом размеров алфавитно-цифровых знаков и символов.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 При этом допускается использование рабочих столов различных конструкций, отвечающих современным требованиям эргономики. Поверхность рабочего стола должна иметь коэффициент отражения 0,5 - 0,7.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Конструкция рабочего стула (кресла) должна обеспечивать поддержание рациональной рабочей позы при работе на ПЭВМ, позволять изменять позу с целью снижения статического напряжения мышц шейно-плечевой области и спины для предупреждения развития утомления. Тип рабочего стула (кресла) следует выбирать с учетом роста пользователя, характера и продолжительности работы с ПЭВМ. Рабочий стул (кресло) должен быть подъемно-поворотным,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 Поверхность сиденья, спинки и других элементов стула (кресла) должна быть полумягкой, с нескользящим, слабо электризующимся и воздухопроницаемым покрытием, обеспечивающим легкую очистку от загрязнений.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white"/>
                <w:rtl w:val="0"/>
              </w:rPr>
              <w:t xml:space="preserve">Р</w:t>
            </w:r>
            <w:r w:rsidDel="00000000" w:rsidR="00000000" w:rsidRPr="00000000">
              <w:rPr>
                <w:sz w:val="24"/>
                <w:szCs w:val="24"/>
                <w:highlight w:val="white"/>
                <w:rtl w:val="0"/>
              </w:rPr>
              <w:t xml:space="preserve">ежим труда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Рабочее место программиста является основным звеном трудового процесса, где сосредоточены материально-технические элементы производства и осуществляется его трудовая деятельность. Помещения, в которых работают программисты, оборудованы ЭВМ, поэтому их площадь, объем, выбираются в соответствии с количеством работающих и размещенном в них оборудованием. Для обеспечения нормальных условий труда в санитарных нормах устанавливают на одного работающего объем производственного помещения не менее 20 м3. Площадь помещения должна быть: высота зала до подвесного потолка 3-3,5 метра; расстояние между подвесным и основным потолком при этом 0,5-0,8 метра. Площадь на одно рабочее место с дисплеем на базе электронно-лучевой трубки должна составлять не менее 6 м2, а для плоских жидкокристаллических экранов - не менее 4,5 м2. Рабочие места с ЭВМ следует изолировать друг от друга вертикальными перегородками высотой 1,5-2 м.</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Условия труда программистов характеризуются возможностью воздействия на них следующих опасных и вредных производственных факторов: шума и вибрации; тепловыделений, причем вред организму могут нанести не только высокие, но и низкие температуры (обморожения); ионизирующих и неионизирующих излучений: рентгеновское, электромагнитное излучение ВЧ и СВЧ диапазона, инфракрасного; статического электричества; недостаточной освещенности; визуальные факторы: яркость, контрастность, мерцание изображения, блики и т.д.</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0"/>
                <w:szCs w:val="20"/>
                <w:highlight w:val="white"/>
              </w:rPr>
            </w:pPr>
            <w:r w:rsidDel="00000000" w:rsidR="00000000" w:rsidRPr="00000000">
              <w:rPr>
                <w:sz w:val="24"/>
                <w:szCs w:val="24"/>
                <w:highlight w:val="white"/>
                <w:rtl w:val="0"/>
              </w:rPr>
              <w:t xml:space="preserve">Расчет уровня шума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20" w:before="240" w:line="240" w:lineRule="auto"/>
              <w:rPr>
                <w:rFonts w:ascii="Roboto" w:cs="Roboto" w:eastAsia="Roboto" w:hAnsi="Roboto"/>
                <w:color w:val="646464"/>
                <w:sz w:val="23"/>
                <w:szCs w:val="23"/>
              </w:rPr>
            </w:pPr>
            <w:r w:rsidDel="00000000" w:rsidR="00000000" w:rsidRPr="00000000">
              <w:rPr>
                <w:sz w:val="24"/>
                <w:szCs w:val="24"/>
                <w:rtl w:val="0"/>
              </w:rPr>
              <w:t xml:space="preserve">Уровень шума, возникающий от нескольких некогерентных источников, работающих одновременно, подсчитывается на основании принципа энергетического суммирования излучений отдельных источников:</w:t>
            </w:r>
            <w:r w:rsidDel="00000000" w:rsidR="00000000" w:rsidRPr="00000000">
              <w:rPr>
                <w:rtl w:val="0"/>
              </w:rPr>
            </w:r>
          </w:p>
          <w:p w:rsidR="00000000" w:rsidDel="00000000" w:rsidP="00000000" w:rsidRDefault="00000000" w:rsidRPr="00000000" w14:paraId="0000002F">
            <w:pPr>
              <w:widowControl w:val="0"/>
              <w:spacing w:lin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Pr>
              <w:drawing>
                <wp:inline distB="114300" distT="114300" distL="114300" distR="114300">
                  <wp:extent cx="1381125" cy="4762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811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где </w:t>
            </w:r>
            <w:r w:rsidDel="00000000" w:rsidR="00000000" w:rsidRPr="00000000">
              <w:rPr>
                <w:sz w:val="24"/>
                <w:szCs w:val="24"/>
                <w:rtl w:val="0"/>
              </w:rPr>
              <w:t xml:space="preserve">Li </w:t>
            </w:r>
            <w:r w:rsidDel="00000000" w:rsidR="00000000" w:rsidRPr="00000000">
              <w:rPr>
                <w:sz w:val="24"/>
                <w:szCs w:val="24"/>
                <w:rtl w:val="0"/>
              </w:rPr>
              <w:t xml:space="preserve">- уровень звукового давления i-го источника шума;</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 - количество источников шума.</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Полученные результаты расчета сравнивается с допустимым значением уровня шума для данного рабочего места. Если результаты расчета выше допустимого значения уровня шума, то необходимы специальные меры по снижению шума. К ним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r w:rsidDel="00000000" w:rsidR="00000000" w:rsidRPr="00000000">
              <w:rPr>
                <w:rtl w:val="0"/>
              </w:rPr>
            </w:r>
          </w:p>
        </w:tc>
      </w:tr>
    </w:tbl>
    <w:p w:rsidR="00000000" w:rsidDel="00000000" w:rsidP="00000000" w:rsidRDefault="00000000" w:rsidRPr="00000000" w14:paraId="00000033">
      <w:pPr>
        <w:ind w:left="-1133.8582677165355" w:firstLine="0"/>
        <w:rPr>
          <w:sz w:val="24"/>
          <w:szCs w:val="24"/>
        </w:rPr>
      </w:pPr>
      <w:r w:rsidDel="00000000" w:rsidR="00000000" w:rsidRPr="00000000">
        <w:rPr>
          <w:rtl w:val="0"/>
        </w:rPr>
      </w:r>
    </w:p>
    <w:p w:rsidR="00000000" w:rsidDel="00000000" w:rsidP="00000000" w:rsidRDefault="00000000" w:rsidRPr="00000000" w14:paraId="00000034">
      <w:pPr>
        <w:ind w:left="-1133.8582677165355" w:firstLine="0"/>
        <w:rPr>
          <w:sz w:val="24"/>
          <w:szCs w:val="24"/>
        </w:rPr>
      </w:pPr>
      <w:r w:rsidDel="00000000" w:rsidR="00000000" w:rsidRPr="00000000">
        <w:rPr>
          <w:rtl w:val="0"/>
        </w:rPr>
      </w:r>
    </w:p>
    <w:sectPr>
      <w:pgSz w:h="16834" w:w="11909" w:orient="portrait"/>
      <w:pgMar w:bottom="1440" w:top="283.46456692913387" w:left="1440" w:right="407.007874015749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