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Teyleten nRF52840 Firmware Brief</w:t>
      </w:r>
    </w:p>
    <w:p>
      <w:pPr>
        <w:pStyle w:val="Subtitle"/>
      </w:pPr>
      <w:r>
        <w:t>Battery operation and RTC timekeeping</w:t>
      </w:r>
    </w:p>
    <w:p>
      <w:pPr>
        <w:spacing w:after="180"/>
      </w:pPr>
      <w:r>
        <w:rPr>
          <w:sz w:val="18"/>
        </w:rPr>
        <w:t>Implementation handoff  |  27 October 2026</w:t>
      </w:r>
    </w:p>
    <w:p>
      <w:r>
        <w:t>Develop firmware that maintains time and wakes on a programmable schedule while minimizing battery current. Use the 32.768 kHz crystal, an RTC peripheral and System ON sleep. Microamp standby is feasible for this board family, but the actual Teyleten sample requires measurement. [1–4, 7–9]</w:t>
      </w:r>
    </w:p>
    <w:p>
      <w:pPr>
        <w:pStyle w:val="Heading1"/>
      </w:pPr>
      <w:r>
        <w:t>Hardware findings</w:t>
      </w:r>
    </w:p>
    <w:p>
      <w:r>
        <w:t>Teyleten appears to supply the common nice!nano compatible ProMicro or SuperMini design. The documented design accepts a single 3.7 V nominal Li-ion cell at B+ and B−. Nordic GPIO P0.13 LOW disables the external 3.3 V or VCC rail. Verify the board revision and framework pin mapping; Arduino pin 13 is not universally P0.13. [1, 2]</w:t>
      </w:r>
    </w:p>
    <w:p>
      <w:r>
        <w:t>The manufacturer lists approximately 20 µA standby. Firsthand testing of this board family reports about 4 µA with external VCC disabled, and about 60 µA on specimens with a leaky power-path diode. These are reference observations, not an acceptance specification for the proposed firmware. [2, 3]</w:t>
      </w:r>
    </w:p>
    <w:p>
      <w:r>
        <w:t>Some early boards have a 5.6 kΩ pull-up on the external regulator control line. Driving it LOW draws about 0.66 mA at 3.7 V. The documented correction is replacement with 10 MΩ, or removal with startup behavior checked. Identify the component against the schematic before modification. [4]</w:t>
      </w:r>
    </w:p>
    <w:p>
      <w:pPr>
        <w:pStyle w:val="Heading1"/>
      </w:pPr>
      <w:r>
        <w:t>RTC power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60"/>
        <w:gridCol w:w="2520"/>
      </w:tblGrid>
      <w:tr>
        <w:trPr>
          <w:cantSplit/>
          <w:tblHeader/>
        </w:trPr>
        <w:tc>
          <w:tcPr>
            <w:tcW w:type="dxa" w:w="7560"/>
            <w:vAlign w:val="center"/>
            <w:tcMar>
              <w:top w:w="65" w:type="dxa"/>
              <w:bottom w:w="65" w:type="dxa"/>
              <w:left w:w="100" w:type="dxa"/>
              <w:right w:w="100" w:type="dxa"/>
            </w:tcMar>
            <w:shd w:fill="E8EEF4"/>
          </w:tcPr>
          <w:p>
            <w:pPr>
              <w:spacing w:after="0" w:line="240" w:lineRule="auto"/>
            </w:pPr>
            <w:r>
              <w:rPr>
                <w:b/>
                <w:sz w:val="21"/>
              </w:rPr>
              <w:t>Function or operating state</w:t>
            </w:r>
          </w:p>
        </w:tc>
        <w:tc>
          <w:tcPr>
            <w:tcW w:type="dxa" w:w="2520"/>
            <w:vAlign w:val="center"/>
            <w:tcMar>
              <w:top w:w="65" w:type="dxa"/>
              <w:bottom w:w="65" w:type="dxa"/>
              <w:left w:w="100" w:type="dxa"/>
              <w:right w:w="100" w:type="dxa"/>
            </w:tcMar>
            <w:shd w:fill="E8EEF4"/>
          </w:tcPr>
          <w:p>
            <w:pPr>
              <w:spacing w:after="0" w:line="240" w:lineRule="auto"/>
              <w:jc w:val="center"/>
            </w:pPr>
            <w:r>
              <w:rPr>
                <w:b/>
                <w:sz w:val="21"/>
              </w:rPr>
              <w:t>Typical chip current</w:t>
            </w:r>
          </w:p>
        </w:tc>
      </w:tr>
      <w:tr>
        <w:trPr>
          <w:cantSplit/>
        </w:trPr>
        <w:tc>
          <w:tcPr>
            <w:tcW w:type="dxa" w:w="7560"/>
            <w:vAlign w:val="center"/>
            <w:tcMar>
              <w:top w:w="65" w:type="dxa"/>
              <w:bottom w:w="65" w:type="dxa"/>
              <w:left w:w="100" w:type="dxa"/>
              <w:right w:w="100" w:type="dxa"/>
            </w:tcMar>
            <w:shd w:fill="FFFFFF"/>
          </w:tcPr>
          <w:p>
            <w:pPr>
              <w:spacing w:after="0" w:line="240" w:lineRule="auto"/>
            </w:pPr>
            <w:r>
              <w:rPr>
                <w:b w:val="0"/>
                <w:sz w:val="21"/>
              </w:rPr>
              <w:t>32.768 kHz crystal oscillator</w:t>
            </w:r>
          </w:p>
        </w:tc>
        <w:tc>
          <w:tcPr>
            <w:tcW w:type="dxa" w:w="2520"/>
            <w:vAlign w:val="center"/>
            <w:tcMar>
              <w:top w:w="65" w:type="dxa"/>
              <w:bottom w:w="65" w:type="dxa"/>
              <w:left w:w="100" w:type="dxa"/>
              <w:right w:w="100" w:type="dxa"/>
            </w:tcMar>
            <w:shd w:fill="FFFFFF"/>
          </w:tcPr>
          <w:p>
            <w:pPr>
              <w:spacing w:after="0" w:line="240" w:lineRule="auto"/>
              <w:jc w:val="center"/>
            </w:pPr>
            <w:r>
              <w:rPr>
                <w:b w:val="0"/>
                <w:sz w:val="21"/>
              </w:rPr>
              <w:t>0.23 µA</w:t>
            </w:r>
          </w:p>
        </w:tc>
      </w:tr>
      <w:tr>
        <w:trPr>
          <w:cantSplit/>
        </w:trPr>
        <w:tc>
          <w:tcPr>
            <w:tcW w:type="dxa" w:w="7560"/>
            <w:vAlign w:val="center"/>
            <w:tcMar>
              <w:top w:w="65" w:type="dxa"/>
              <w:bottom w:w="65" w:type="dxa"/>
              <w:left w:w="100" w:type="dxa"/>
              <w:right w:w="100" w:type="dxa"/>
            </w:tcMar>
            <w:shd w:fill="FFFFFF"/>
          </w:tcPr>
          <w:p>
            <w:pPr>
              <w:spacing w:after="0" w:line="240" w:lineRule="auto"/>
            </w:pPr>
            <w:r>
              <w:rPr>
                <w:b w:val="0"/>
                <w:sz w:val="21"/>
              </w:rPr>
              <w:t>One RTC counter</w:t>
            </w:r>
          </w:p>
        </w:tc>
        <w:tc>
          <w:tcPr>
            <w:tcW w:type="dxa" w:w="2520"/>
            <w:vAlign w:val="center"/>
            <w:tcMar>
              <w:top w:w="65" w:type="dxa"/>
              <w:bottom w:w="65" w:type="dxa"/>
              <w:left w:w="100" w:type="dxa"/>
              <w:right w:w="100" w:type="dxa"/>
            </w:tcMar>
            <w:shd w:fill="FFFFFF"/>
          </w:tcPr>
          <w:p>
            <w:pPr>
              <w:spacing w:after="0" w:line="240" w:lineRule="auto"/>
              <w:jc w:val="center"/>
            </w:pPr>
            <w:r>
              <w:rPr>
                <w:b w:val="0"/>
                <w:sz w:val="21"/>
              </w:rPr>
              <w:t>0.10 µA</w:t>
            </w:r>
          </w:p>
        </w:tc>
      </w:tr>
      <w:tr>
        <w:trPr>
          <w:cantSplit/>
        </w:trPr>
        <w:tc>
          <w:tcPr>
            <w:tcW w:type="dxa" w:w="7560"/>
            <w:vAlign w:val="center"/>
            <w:tcMar>
              <w:top w:w="65" w:type="dxa"/>
              <w:bottom w:w="65" w:type="dxa"/>
              <w:left w:w="100" w:type="dxa"/>
              <w:right w:w="100" w:type="dxa"/>
            </w:tcMar>
            <w:shd w:fill="FFFFFF"/>
          </w:tcPr>
          <w:p>
            <w:pPr>
              <w:spacing w:after="0" w:line="240" w:lineRule="auto"/>
            </w:pPr>
            <w:r>
              <w:rPr>
                <w:b w:val="0"/>
                <w:sz w:val="21"/>
              </w:rPr>
              <w:t>Oscillator plus RTC incremental overhead</w:t>
            </w:r>
          </w:p>
        </w:tc>
        <w:tc>
          <w:tcPr>
            <w:tcW w:type="dxa" w:w="2520"/>
            <w:vAlign w:val="center"/>
            <w:tcMar>
              <w:top w:w="65" w:type="dxa"/>
              <w:bottom w:w="65" w:type="dxa"/>
              <w:left w:w="100" w:type="dxa"/>
              <w:right w:w="100" w:type="dxa"/>
            </w:tcMar>
            <w:shd w:fill="FFFFFF"/>
          </w:tcPr>
          <w:p>
            <w:pPr>
              <w:spacing w:after="0" w:line="240" w:lineRule="auto"/>
              <w:jc w:val="center"/>
            </w:pPr>
            <w:r>
              <w:rPr>
                <w:b w:val="0"/>
                <w:sz w:val="21"/>
              </w:rPr>
              <w:t>~0.33 µA</w:t>
            </w:r>
          </w:p>
        </w:tc>
      </w:tr>
      <w:tr>
        <w:trPr>
          <w:cantSplit/>
        </w:trPr>
        <w:tc>
          <w:tcPr>
            <w:tcW w:type="dxa" w:w="7560"/>
            <w:vAlign w:val="center"/>
            <w:tcMar>
              <w:top w:w="65" w:type="dxa"/>
              <w:bottom w:w="65" w:type="dxa"/>
              <w:left w:w="100" w:type="dxa"/>
              <w:right w:w="100" w:type="dxa"/>
            </w:tcMar>
            <w:shd w:fill="FFFFFF"/>
          </w:tcPr>
          <w:p>
            <w:pPr>
              <w:spacing w:after="0" w:line="240" w:lineRule="auto"/>
            </w:pPr>
            <w:r>
              <w:rPr>
                <w:b w:val="0"/>
                <w:sz w:val="21"/>
              </w:rPr>
              <w:t>System ON with full RAM retained and crystal RTC running</w:t>
            </w:r>
          </w:p>
        </w:tc>
        <w:tc>
          <w:tcPr>
            <w:tcW w:type="dxa" w:w="2520"/>
            <w:vAlign w:val="center"/>
            <w:tcMar>
              <w:top w:w="65" w:type="dxa"/>
              <w:bottom w:w="65" w:type="dxa"/>
              <w:left w:w="100" w:type="dxa"/>
              <w:right w:w="100" w:type="dxa"/>
            </w:tcMar>
            <w:shd w:fill="FFFFFF"/>
          </w:tcPr>
          <w:p>
            <w:pPr>
              <w:spacing w:after="0" w:line="240" w:lineRule="auto"/>
              <w:jc w:val="center"/>
            </w:pPr>
            <w:r>
              <w:rPr>
                <w:b w:val="0"/>
                <w:sz w:val="21"/>
              </w:rPr>
              <w:t>~2.7 µA estimated</w:t>
            </w:r>
          </w:p>
        </w:tc>
      </w:tr>
    </w:tbl>
    <w:p>
      <w:pPr>
        <w:spacing w:after="20" w:before="0" w:line="48" w:lineRule="auto"/>
      </w:pPr>
      <w:r>
        <w:rPr>
          <w:sz w:val="4"/>
        </w:rPr>
      </w:r>
    </w:p>
    <w:p>
      <w:r>
        <w:t>The 0.33 µA is an incremental budget within System ON, assuming the clock was not already running. The total estimate replaces the RC oscillator in Nordic’s 3.16 µA sleep figure with the crystal oscillator: subtract 0.70 µA and add 0.23 µA. These typical silicon figures use a 3 V normal-voltage supply; battery-input current also includes the board power path and wake activity. [5, 6, 9]</w:t>
      </w:r>
    </w:p>
    <w:p>
      <w:pPr>
        <w:pStyle w:val="Heading1"/>
      </w:pPr>
      <w:r>
        <w:t>Timekeeping and timed wakeup</w:t>
      </w:r>
    </w:p>
    <w:p>
      <w:r>
        <w:t>The RTC runs from LFCLK while the CPU sleeps. System OFF stops LFCLK and the RTC. Hardware provides a 24-bit counter, a 12-bit prescaler and compare interrupts; firmware maintains calendar time and extends the count across rollover. [7–9]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04"/>
        <w:gridCol w:w="2304"/>
        <w:gridCol w:w="3672"/>
      </w:tblGrid>
      <w:tr>
        <w:trPr>
          <w:cantSplit/>
          <w:tblHeader/>
        </w:trPr>
        <w:tc>
          <w:tcPr>
            <w:tcW w:type="dxa" w:w="1800"/>
            <w:vAlign w:val="center"/>
            <w:tcMar>
              <w:top w:w="65" w:type="dxa"/>
              <w:bottom w:w="65" w:type="dxa"/>
              <w:left w:w="100" w:type="dxa"/>
              <w:right w:w="100" w:type="dxa"/>
            </w:tcMar>
            <w:shd w:fill="E8EEF4"/>
          </w:tcPr>
          <w:p>
            <w:pPr>
              <w:spacing w:after="0" w:line="240" w:lineRule="auto"/>
            </w:pPr>
            <w:r>
              <w:rPr>
                <w:b/>
                <w:sz w:val="21"/>
              </w:rPr>
              <w:t>Prescaler</w:t>
            </w:r>
          </w:p>
        </w:tc>
        <w:tc>
          <w:tcPr>
            <w:tcW w:type="dxa" w:w="2304"/>
            <w:vAlign w:val="center"/>
            <w:tcMar>
              <w:top w:w="65" w:type="dxa"/>
              <w:bottom w:w="65" w:type="dxa"/>
              <w:left w:w="100" w:type="dxa"/>
              <w:right w:w="100" w:type="dxa"/>
            </w:tcMar>
            <w:shd w:fill="E8EEF4"/>
          </w:tcPr>
          <w:p>
            <w:pPr>
              <w:spacing w:after="0" w:line="240" w:lineRule="auto"/>
              <w:jc w:val="center"/>
            </w:pPr>
            <w:r>
              <w:rPr>
                <w:b/>
                <w:sz w:val="21"/>
              </w:rPr>
              <w:t>Counter rate</w:t>
            </w:r>
          </w:p>
        </w:tc>
        <w:tc>
          <w:tcPr>
            <w:tcW w:type="dxa" w:w="2304"/>
            <w:vAlign w:val="center"/>
            <w:tcMar>
              <w:top w:w="65" w:type="dxa"/>
              <w:bottom w:w="65" w:type="dxa"/>
              <w:left w:w="100" w:type="dxa"/>
              <w:right w:w="100" w:type="dxa"/>
            </w:tcMar>
            <w:shd w:fill="E8EEF4"/>
          </w:tcPr>
          <w:p>
            <w:pPr>
              <w:spacing w:after="0" w:line="240" w:lineRule="auto"/>
              <w:jc w:val="center"/>
            </w:pPr>
            <w:r>
              <w:rPr>
                <w:b/>
                <w:sz w:val="21"/>
              </w:rPr>
              <w:t>Resolution</w:t>
            </w:r>
          </w:p>
        </w:tc>
        <w:tc>
          <w:tcPr>
            <w:tcW w:type="dxa" w:w="3672"/>
            <w:vAlign w:val="center"/>
            <w:tcMar>
              <w:top w:w="65" w:type="dxa"/>
              <w:bottom w:w="65" w:type="dxa"/>
              <w:left w:w="100" w:type="dxa"/>
              <w:right w:w="100" w:type="dxa"/>
            </w:tcMar>
            <w:shd w:fill="E8EEF4"/>
          </w:tcPr>
          <w:p>
            <w:pPr>
              <w:spacing w:after="0" w:line="240" w:lineRule="auto"/>
              <w:jc w:val="center"/>
            </w:pPr>
            <w:r>
              <w:rPr>
                <w:b/>
                <w:sz w:val="21"/>
              </w:rPr>
              <w:t>Wrap interval</w:t>
            </w:r>
          </w:p>
        </w:tc>
      </w:tr>
      <w:tr>
        <w:trPr>
          <w:cantSplit/>
        </w:trPr>
        <w:tc>
          <w:tcPr>
            <w:tcW w:type="dxa" w:w="1800"/>
            <w:vAlign w:val="center"/>
            <w:tcMar>
              <w:top w:w="65" w:type="dxa"/>
              <w:bottom w:w="65" w:type="dxa"/>
              <w:left w:w="100" w:type="dxa"/>
              <w:right w:w="100" w:type="dxa"/>
            </w:tcMar>
            <w:shd w:fill="FFFFFF"/>
          </w:tcPr>
          <w:p>
            <w:pPr>
              <w:spacing w:after="0" w:line="240" w:lineRule="auto"/>
            </w:pPr>
            <w:r>
              <w:rPr>
                <w:b w:val="0"/>
                <w:sz w:val="21"/>
              </w:rPr>
              <w:t>0</w:t>
            </w:r>
          </w:p>
        </w:tc>
        <w:tc>
          <w:tcPr>
            <w:tcW w:type="dxa" w:w="2304"/>
            <w:vAlign w:val="center"/>
            <w:tcMar>
              <w:top w:w="65" w:type="dxa"/>
              <w:bottom w:w="65" w:type="dxa"/>
              <w:left w:w="100" w:type="dxa"/>
              <w:right w:w="100" w:type="dxa"/>
            </w:tcMar>
            <w:shd w:fill="FFFFFF"/>
          </w:tcPr>
          <w:p>
            <w:pPr>
              <w:spacing w:after="0" w:line="240" w:lineRule="auto"/>
              <w:jc w:val="center"/>
            </w:pPr>
            <w:r>
              <w:rPr>
                <w:b w:val="0"/>
                <w:sz w:val="21"/>
              </w:rPr>
              <w:t>32768 Hz</w:t>
            </w:r>
          </w:p>
        </w:tc>
        <w:tc>
          <w:tcPr>
            <w:tcW w:type="dxa" w:w="2304"/>
            <w:vAlign w:val="center"/>
            <w:tcMar>
              <w:top w:w="65" w:type="dxa"/>
              <w:bottom w:w="65" w:type="dxa"/>
              <w:left w:w="100" w:type="dxa"/>
              <w:right w:w="100" w:type="dxa"/>
            </w:tcMar>
            <w:shd w:fill="FFFFFF"/>
          </w:tcPr>
          <w:p>
            <w:pPr>
              <w:spacing w:after="0" w:line="240" w:lineRule="auto"/>
              <w:jc w:val="center"/>
            </w:pPr>
            <w:r>
              <w:rPr>
                <w:b w:val="0"/>
                <w:sz w:val="21"/>
              </w:rPr>
              <w:t>30.5 µs</w:t>
            </w:r>
          </w:p>
        </w:tc>
        <w:tc>
          <w:tcPr>
            <w:tcW w:type="dxa" w:w="3672"/>
            <w:vAlign w:val="center"/>
            <w:tcMar>
              <w:top w:w="65" w:type="dxa"/>
              <w:bottom w:w="65" w:type="dxa"/>
              <w:left w:w="100" w:type="dxa"/>
              <w:right w:w="100" w:type="dxa"/>
            </w:tcMar>
            <w:shd w:fill="FFFFFF"/>
          </w:tcPr>
          <w:p>
            <w:pPr>
              <w:spacing w:after="0" w:line="240" w:lineRule="auto"/>
              <w:jc w:val="center"/>
            </w:pPr>
            <w:r>
              <w:rPr>
                <w:b w:val="0"/>
                <w:sz w:val="21"/>
              </w:rPr>
              <w:t>512 seconds</w:t>
            </w:r>
          </w:p>
        </w:tc>
      </w:tr>
      <w:tr>
        <w:trPr>
          <w:cantSplit/>
        </w:trPr>
        <w:tc>
          <w:tcPr>
            <w:tcW w:type="dxa" w:w="1800"/>
            <w:vAlign w:val="center"/>
            <w:tcMar>
              <w:top w:w="65" w:type="dxa"/>
              <w:bottom w:w="65" w:type="dxa"/>
              <w:left w:w="100" w:type="dxa"/>
              <w:right w:w="100" w:type="dxa"/>
            </w:tcMar>
            <w:shd w:fill="FFFFFF"/>
          </w:tcPr>
          <w:p>
            <w:pPr>
              <w:spacing w:after="0" w:line="240" w:lineRule="auto"/>
            </w:pPr>
            <w:r>
              <w:rPr>
                <w:b w:val="0"/>
                <w:sz w:val="21"/>
              </w:rPr>
              <w:t>4095</w:t>
            </w:r>
          </w:p>
        </w:tc>
        <w:tc>
          <w:tcPr>
            <w:tcW w:type="dxa" w:w="2304"/>
            <w:vAlign w:val="center"/>
            <w:tcMar>
              <w:top w:w="65" w:type="dxa"/>
              <w:bottom w:w="65" w:type="dxa"/>
              <w:left w:w="100" w:type="dxa"/>
              <w:right w:w="100" w:type="dxa"/>
            </w:tcMar>
            <w:shd w:fill="FFFFFF"/>
          </w:tcPr>
          <w:p>
            <w:pPr>
              <w:spacing w:after="0" w:line="240" w:lineRule="auto"/>
              <w:jc w:val="center"/>
            </w:pPr>
            <w:r>
              <w:rPr>
                <w:b w:val="0"/>
                <w:sz w:val="21"/>
              </w:rPr>
              <w:t>8 Hz</w:t>
            </w:r>
          </w:p>
        </w:tc>
        <w:tc>
          <w:tcPr>
            <w:tcW w:type="dxa" w:w="2304"/>
            <w:vAlign w:val="center"/>
            <w:tcMar>
              <w:top w:w="65" w:type="dxa"/>
              <w:bottom w:w="65" w:type="dxa"/>
              <w:left w:w="100" w:type="dxa"/>
              <w:right w:w="100" w:type="dxa"/>
            </w:tcMar>
            <w:shd w:fill="FFFFFF"/>
          </w:tcPr>
          <w:p>
            <w:pPr>
              <w:spacing w:after="0" w:line="240" w:lineRule="auto"/>
              <w:jc w:val="center"/>
            </w:pPr>
            <w:r>
              <w:rPr>
                <w:b w:val="0"/>
                <w:sz w:val="21"/>
              </w:rPr>
              <w:t>125 ms</w:t>
            </w:r>
          </w:p>
        </w:tc>
        <w:tc>
          <w:tcPr>
            <w:tcW w:type="dxa" w:w="3672"/>
            <w:vAlign w:val="center"/>
            <w:tcMar>
              <w:top w:w="65" w:type="dxa"/>
              <w:bottom w:w="65" w:type="dxa"/>
              <w:left w:w="100" w:type="dxa"/>
              <w:right w:w="100" w:type="dxa"/>
            </w:tcMar>
            <w:shd w:fill="FFFFFF"/>
          </w:tcPr>
          <w:p>
            <w:pPr>
              <w:spacing w:after="0" w:line="240" w:lineRule="auto"/>
              <w:jc w:val="center"/>
            </w:pPr>
            <w:r>
              <w:rPr>
                <w:b w:val="0"/>
                <w:sz w:val="21"/>
              </w:rPr>
              <w:t>24.27 days</w:t>
            </w:r>
          </w:p>
        </w:tc>
      </w:tr>
    </w:tbl>
    <w:p>
      <w:pPr>
        <w:spacing w:after="20" w:before="0" w:line="48" w:lineRule="auto"/>
      </w:pPr>
      <w:r>
        <w:rPr>
          <w:sz w:val="4"/>
        </w:rPr>
      </w:r>
    </w:p>
    <w:p>
      <w:r>
        <w:t>At 8 Hz, a compare 480 counts ahead gives a 60-second alarm. No interrupt is needed on each tick. RTC0 has three compare channels; RTC1 and RTC2 have four each. [7]</w:t>
      </w:r>
    </w:p>
    <w:p>
      <w:r>
        <w:br w:type="page"/>
      </w:r>
    </w:p>
    <w:p>
      <w:pPr>
        <w:pStyle w:val="Heading1"/>
      </w:pPr>
      <w:r>
        <w:t>Firmware implementation</w:t>
      </w:r>
    </w:p>
    <w:p>
      <w:pPr>
        <w:pStyle w:val="ListBullet"/>
      </w:pPr>
      <w:r>
        <w:rPr>
          <w:b/>
        </w:rPr>
        <w:t xml:space="preserve">Establish the build. </w:t>
      </w:r>
      <w:r>
        <w:t>Select the SDK and board definition; record versions, GPIO mapping and flashing procedure. Preserve bootloader recovery. Keep the alarm interval configurable; use 60 seconds for the initial demonstration.</w:t>
      </w:r>
    </w:p>
    <w:p>
      <w:pPr>
        <w:pStyle w:val="ListBullet"/>
      </w:pPr>
      <w:r>
        <w:rPr>
          <w:b/>
        </w:rPr>
        <w:t xml:space="preserve">Allocate clock and RTC resources. </w:t>
      </w:r>
      <w:r>
        <w:t>Check which instances the RTOS, Bluetooth stack and framework own. Use supported timer APIs or an unallocated RTC. Do not change a shared prescaler. Select LFXO through clock management and verify successful startup and source selection.</w:t>
      </w:r>
    </w:p>
    <w:p>
      <w:pPr>
        <w:pStyle w:val="ListBullet"/>
      </w:pPr>
      <w:r>
        <w:rPr>
          <w:b/>
        </w:rPr>
        <w:t xml:space="preserve">Enter low power correctly. </w:t>
      </w:r>
      <w:r>
        <w:t>Use the framework’s System ON idle path. Disable the user LED, unused peripherals and external VCC. Avoid back-powering external devices through GPIO. Disable unused tick events and periodic logging; use a radio-off baseline. [1, 2, 7, 8]</w:t>
      </w:r>
    </w:p>
    <w:p>
      <w:pPr>
        <w:pStyle w:val="ListBullet"/>
      </w:pPr>
      <w:r>
        <w:rPr>
          <w:b/>
        </w:rPr>
        <w:t xml:space="preserve">Schedule robust alarms. </w:t>
      </w:r>
      <w:r>
        <w:t>Use compare interrupts. Advance periodic deadlines from the previous deadline to avoid latency drift; define how missed deadlines are handled. Respect compare lead time: a raw write at least two ticks ahead is guaranteed by the peripheral; an SDK may impose more margin. [7]</w:t>
      </w:r>
    </w:p>
    <w:p>
      <w:pPr>
        <w:pStyle w:val="ListBullet"/>
      </w:pPr>
      <w:r>
        <w:rPr>
          <w:b/>
        </w:rPr>
        <w:t xml:space="preserve">Maintain time explicitly. </w:t>
      </w:r>
      <w:r>
        <w:t>Extend the 24-bit count and handle concurrent rollover reads. Define a time-setting API and a time-valid flag. After reset or loss of power, resynchronize time; saving a timestamp cannot account for an unpowered interval. Choose the required resolution, accuracy and synchronization source before finalizing the design.</w:t>
      </w:r>
    </w:p>
    <w:p>
      <w:pPr>
        <w:pStyle w:val="Heading1"/>
      </w:pPr>
      <w:r>
        <w:t>Hardware validation and handoff</w:t>
      </w:r>
    </w:p>
    <w:p>
      <w:r>
        <w:t>Measure at the battery input with USB and the debugger disconnected, after a power cycle. Record supply voltage, board revision, firmware configuration, steady sleep current and average current including wakeups. Compare System ON idle, crystal RTC operation and repeated alarms under the same configuration.</w:t>
      </w:r>
    </w:p>
    <w:p>
      <w:r>
        <w:t>Verify interval accuracy against an independent reference, repeated alarms, late-deadline handling and rollover. Use the RTC overflow test facility or a shortened software test rather than waiting 24 days. Check time validity after reset. Investigate the pull-up and diode if the measured floor is high. [3, 4, 7]</w:t>
      </w:r>
    </w:p>
    <w:p>
      <w:r>
        <w:t>Return reproducible source and build instructions, configuration and resource ownership, a measurement table and the test results. Treat roughly 4–20 µA as feasibility evidence for good boards; agree the final acceptance threshold from measurements of the actual sample. Report any hardware changes separately.</w:t>
      </w:r>
    </w:p>
    <w:p>
      <w:pPr>
        <w:pStyle w:val="Heading1"/>
      </w:pPr>
      <w:r>
        <w:t>Sources</w:t>
      </w:r>
    </w:p>
    <w:p>
      <w:pPr>
        <w:spacing w:after="20" w:line="240" w:lineRule="auto"/>
      </w:pPr>
      <w:r>
        <w:rPr>
          <w:sz w:val="20"/>
        </w:rPr>
        <w:t xml:space="preserve">[1] </w:t>
      </w:r>
      <w:hyperlink r:id="rId9">
        <w:r>
          <w:rPr>
            <w:color w:val="175579"/>
            <w:sz w:val="20"/>
          </w:rPr>
          <w:t>Teyleten specific pin testing</w:t>
        </w:r>
      </w:hyperlink>
    </w:p>
    <w:p>
      <w:pPr>
        <w:spacing w:after="20" w:line="240" w:lineRule="auto"/>
      </w:pPr>
      <w:r>
        <w:rPr>
          <w:sz w:val="20"/>
        </w:rPr>
        <w:t xml:space="preserve">[2] </w:t>
      </w:r>
      <w:hyperlink r:id="rId10">
        <w:r>
          <w:rPr>
            <w:color w:val="175579"/>
            <w:sz w:val="20"/>
          </w:rPr>
          <w:t>NoLogo ProMicro manufacturer documentation</w:t>
        </w:r>
      </w:hyperlink>
    </w:p>
    <w:p>
      <w:pPr>
        <w:spacing w:after="20" w:line="240" w:lineRule="auto"/>
      </w:pPr>
      <w:r>
        <w:rPr>
          <w:sz w:val="20"/>
        </w:rPr>
        <w:t xml:space="preserve">[3] </w:t>
      </w:r>
      <w:hyperlink r:id="rId11">
        <w:r>
          <w:rPr>
            <w:color w:val="175579"/>
            <w:sz w:val="20"/>
          </w:rPr>
          <w:t>SuperMini reverse engineering and measured sleep currents</w:t>
        </w:r>
      </w:hyperlink>
    </w:p>
    <w:p>
      <w:pPr>
        <w:spacing w:after="20" w:line="240" w:lineRule="auto"/>
      </w:pPr>
      <w:r>
        <w:rPr>
          <w:sz w:val="20"/>
        </w:rPr>
        <w:t xml:space="preserve">[4] </w:t>
      </w:r>
      <w:hyperlink r:id="rId12">
        <w:r>
          <w:rPr>
            <w:color w:val="175579"/>
            <w:sz w:val="20"/>
          </w:rPr>
          <w:t>nRFMicro engineering notes on the pull-up correction</w:t>
        </w:r>
      </w:hyperlink>
    </w:p>
    <w:p>
      <w:pPr>
        <w:spacing w:after="20" w:line="240" w:lineRule="auto"/>
      </w:pPr>
      <w:r>
        <w:rPr>
          <w:sz w:val="20"/>
        </w:rPr>
        <w:t xml:space="preserve">[5] </w:t>
      </w:r>
      <w:hyperlink r:id="rId13">
        <w:r>
          <w:rPr>
            <w:color w:val="175579"/>
            <w:sz w:val="20"/>
          </w:rPr>
          <w:t>Nordic nRF52840 CLOCK specification</w:t>
        </w:r>
      </w:hyperlink>
    </w:p>
    <w:p>
      <w:pPr>
        <w:spacing w:after="20" w:line="240" w:lineRule="auto"/>
      </w:pPr>
      <w:r>
        <w:rPr>
          <w:sz w:val="20"/>
        </w:rPr>
        <w:t xml:space="preserve">[6] </w:t>
      </w:r>
      <w:hyperlink r:id="rId14">
        <w:r>
          <w:rPr>
            <w:color w:val="175579"/>
            <w:sz w:val="20"/>
          </w:rPr>
          <w:t>Nordic nRF52840 sleep current specification</w:t>
        </w:r>
      </w:hyperlink>
    </w:p>
    <w:p>
      <w:pPr>
        <w:spacing w:after="20" w:line="240" w:lineRule="auto"/>
      </w:pPr>
      <w:r>
        <w:rPr>
          <w:sz w:val="20"/>
        </w:rPr>
        <w:t xml:space="preserve">[7] </w:t>
      </w:r>
      <w:hyperlink r:id="rId15">
        <w:r>
          <w:rPr>
            <w:color w:val="175579"/>
            <w:sz w:val="20"/>
          </w:rPr>
          <w:t>Nordic nRF52840 RTC specification</w:t>
        </w:r>
      </w:hyperlink>
    </w:p>
    <w:p>
      <w:pPr>
        <w:spacing w:after="20" w:line="240" w:lineRule="auto"/>
      </w:pPr>
      <w:r>
        <w:rPr>
          <w:sz w:val="20"/>
        </w:rPr>
        <w:t xml:space="preserve">[8] </w:t>
      </w:r>
      <w:hyperlink r:id="rId16">
        <w:r>
          <w:rPr>
            <w:color w:val="175579"/>
            <w:sz w:val="20"/>
          </w:rPr>
          <w:t>Nordic nRF52840 POWER specification</w:t>
        </w:r>
      </w:hyperlink>
    </w:p>
    <w:p>
      <w:pPr>
        <w:spacing w:after="20" w:line="240" w:lineRule="auto"/>
      </w:pPr>
      <w:r>
        <w:rPr>
          <w:sz w:val="20"/>
        </w:rPr>
        <w:t xml:space="preserve">[9] </w:t>
      </w:r>
      <w:hyperlink r:id="rId17">
        <w:r>
          <w:rPr>
            <w:color w:val="175579"/>
            <w:sz w:val="20"/>
          </w:rPr>
          <w:t>Nordic support on RTC wakeup and incremental current</w:t>
        </w:r>
      </w:hyperlink>
    </w:p>
    <w:sectPr w:rsidR="00FC693F" w:rsidRPr="0006063C" w:rsidSect="00034616">
      <w:footerReference w:type="default" r:id="rId18"/>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5"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longrackslabs/teyleten-nrf52840-pinout" TargetMode="External"/><Relationship Id="rId10" Type="http://schemas.openxmlformats.org/officeDocument/2006/relationships/hyperlink" Target="https://www.nologo.tech/product/otherboard/NRF52840.html" TargetMode="External"/><Relationship Id="rId11" Type="http://schemas.openxmlformats.org/officeDocument/2006/relationships/hyperlink" Target="https://github.com/sasodoma/nrf52840-promicro" TargetMode="External"/><Relationship Id="rId12" Type="http://schemas.openxmlformats.org/officeDocument/2006/relationships/hyperlink" Target="https://github.com/joric/nrfmicro/wiki/Alternatives" TargetMode="External"/><Relationship Id="rId13" Type="http://schemas.openxmlformats.org/officeDocument/2006/relationships/hyperlink" Target="https://docs.nordicsemi.com/r/bundle/ps_nrf52840/page/clock.html" TargetMode="External"/><Relationship Id="rId14" Type="http://schemas.openxmlformats.org/officeDocument/2006/relationships/hyperlink" Target="https://docs.nordicsemi.com/r/bundle/ps_nrf52840/page/_tmp/nrf52840/autodita/current/parameters.i_sleep.html" TargetMode="External"/><Relationship Id="rId15" Type="http://schemas.openxmlformats.org/officeDocument/2006/relationships/hyperlink" Target="https://docs.nordicsemi.com/r/bundle/ps_nrf52840/page/rtc.html?contentId=AYZZQfaaQjHsMR876fLrMQ" TargetMode="External"/><Relationship Id="rId16" Type="http://schemas.openxmlformats.org/officeDocument/2006/relationships/hyperlink" Target="https://docs.nordicsemi.com/r/bundle/ps_nrf52840/page/power.html" TargetMode="External"/><Relationship Id="rId17" Type="http://schemas.openxmlformats.org/officeDocument/2006/relationships/hyperlink" Target="https://devzone.nordicsemi.com/f/nordic-q-a/19276/deep-sleep-with-rtc-wakeup/74705"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Teyleten nRF52840 Firmware Brief</dc:title>
  <dc:subject>Battery operation and RTC timekeeping</dc:subject>
  <dc:creator>John Ivey</dc:creator>
  <cp:keywords>nRF52840, Teyleten, ProMicro, low power, RTC, firmware</cp:keywords>
  <dc:description>generated by python-docx</dc:description>
  <cp:lastModifiedBy/>
  <cp:revision>1</cp:revision>
  <dcterms:created xsi:type="dcterms:W3CDTF">2013-12-23T23:15:00Z</dcterms:created>
  <dcterms:modified xsi:type="dcterms:W3CDTF">2013-12-23T23:15:00Z</dcterms:modified>
  <cp:category/>
</cp:coreProperties>
</file>