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#50 — Traiter nos goulots résiduels</w:t>
      </w:r>
    </w:p>
    <w:p>
      <w:pPr>
        <w:pBdr>
          <w:bottom w:val="single" w:color="2E75B6" w:sz="6" w:space="1"/>
        </w:pBdr>
        <w:spacing w:after="200"/>
      </w:pPr>
      <w:r>
        <w:rPr>
          <w:i/>
          <w:iCs/>
          <w:color w:val="666666"/>
        </w:rPr>
        <w:t xml:space="preserve">Axe · Culture &amp; Rituels — Question C10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Êtes-vous maître de votre calendrier de livraison (hors frozen zone)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Largement autonome, quelques goulots résiduels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Délai prêt → livré, fréquence de déploiement (gain d'autonomie)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Matrice de priorisation impact/effort + mesure avant/après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Contraintes traitées, négociées, contournées</w:t>
            </w:r>
          </w:p>
        </w:tc>
      </w:tr>
    </w:tbl>
    <w:p>
      <w:pPr>
        <w:pStyle w:val="Heading2"/>
      </w:pPr>
      <w:r>
        <w:t xml:space="preserve">Problématique</w:t>
      </w:r>
    </w:p>
    <w:p>
      <w:pPr>
        <w:spacing w:after="120"/>
      </w:pPr>
      <w:r>
        <w:t xml:space="preserve">La squad a fait le gros du chemin : elle a cartographié ses contraintes, négocié des SLA, automatisé des validations, documenté ses contournements. Elle est largement maîtresse de son calendrier — mais il reste des goulots résiduels : ces derniers points de blocage, souvent isolés, qui grippent encore la livraison de temps en temps. À ce stade, l'enjeu n'est plus de tout réformer mais de finir le travail : traiter ces goulots un par un, méthodiquement, et surtout mesurer le gain d'autonomie obtenu à chaque fois pour confirmer qu'on progresse réellement. Le sujet de cet atelier est de prioriser ces goulots résiduels et de les attaquer méthodiquement, en mesurant l'effet sur le délai de livraison.</w:t>
      </w:r>
    </w:p>
    <w:p>
      <w:pPr>
        <w:pStyle w:val="Heading2"/>
      </w:pPr>
      <w:r>
        <w:t xml:space="preserve">Pourquoi traiter les goulots un par un et mesurer (réponse à porter)</w:t>
      </w:r>
    </w:p>
    <w:p>
      <w:pPr>
        <w:pStyle w:val="ListParagraph"/>
        <w:numPr>
          <w:ilvl w:val="0"/>
          <w:numId w:val="2"/>
        </w:numPr>
      </w:pPr>
      <w:r>
        <w:t xml:space="preserve">À ce stade, le gain est dans les derniers détails, pas dans une grande réforme : les contraintes majeures sont traitées. Ce qui reste, ce sont des goulots isolés. Les attaquer un par un, méthodiquement, est plus efficace qu'une énième remise à plat globale — on cible chirurgicalement ce qui freine encore.</w:t>
      </w:r>
    </w:p>
    <w:p>
      <w:pPr>
        <w:pStyle w:val="ListParagraph"/>
        <w:numPr>
          <w:ilvl w:val="0"/>
          <w:numId w:val="2"/>
        </w:numPr>
      </w:pPr>
      <w:r>
        <w:t xml:space="preserve">Un goulot résiduel ignoré annule une partie du gain : la livraison va aussi vite que son point le plus lent. Tant qu'un goulot subsiste, il plafonne l'autonomie acquise par tout le reste. Traiter le dernier maillon lent débloque le bénéfice de tous les efforts précédents.</w:t>
      </w:r>
    </w:p>
    <w:p>
      <w:pPr>
        <w:pStyle w:val="ListParagraph"/>
        <w:numPr>
          <w:ilvl w:val="0"/>
          <w:numId w:val="2"/>
        </w:numPr>
      </w:pPr>
      <w:r>
        <w:t xml:space="preserve">Mesurer le gain confirme qu'on progresse vraiment : sans mesure avant/après, on croit améliorer sans savoir. En mesurant le délai prêt → livré avant et après chaque action sur un goulot, on prouve l'effet — ou on découvre qu'un goulot n'était pas le vrai problème, et on réoriente.</w:t>
      </w:r>
    </w:p>
    <w:p>
      <w:pPr>
        <w:pStyle w:val="ListParagraph"/>
        <w:numPr>
          <w:ilvl w:val="0"/>
          <w:numId w:val="2"/>
        </w:numPr>
      </w:pPr>
      <w:r>
        <w:t xml:space="preserve">La mesure du gain d'autonomie entretient la dynamique : voir le délai de livraison baisser concrètement à chaque goulot traité motive à finir le travail. Le chiffre rend visible une autonomie qui, sinon, resterait un ressenti.</w:t>
      </w:r>
    </w:p>
    <w:p>
      <w:pPr>
        <w:pStyle w:val="Heading2"/>
      </w:pPr>
      <w:r>
        <w:t xml:space="preserve">Comment traiter les goulots résiduels (leviers concrets)</w:t>
      </w:r>
    </w:p>
    <w:p>
      <w:pPr>
        <w:pStyle w:val="ListParagraph"/>
        <w:numPr>
          <w:ilvl w:val="0"/>
          <w:numId w:val="2"/>
        </w:numPr>
      </w:pPr>
      <w:r>
        <w:t xml:space="preserve">Prioriser sur une matrice impact (gain de délai) × effort (coût du traitement) : on attaque d'abord les goulots à fort gain et faible effort. La matrice évite de se disperser sur un goulot coûteux à traiter pour un gain marginal.</w:t>
      </w:r>
    </w:p>
    <w:p>
      <w:pPr>
        <w:pStyle w:val="ListParagraph"/>
        <w:numPr>
          <w:ilvl w:val="0"/>
          <w:numId w:val="2"/>
        </w:numPr>
      </w:pPr>
      <w:r>
        <w:t xml:space="preserve">Mesurer le délai avant de traiter, puis après : pour chaque goulot, relever le délai prêt → livré (ou la fréquence de déploiement) avant l'action, puis après, pour quantifier le gain réel. La mesure avant/après est ce qui transforme l'impression en preuve.</w:t>
      </w:r>
    </w:p>
    <w:p>
      <w:pPr>
        <w:pStyle w:val="ListParagraph"/>
        <w:numPr>
          <w:ilvl w:val="0"/>
          <w:numId w:val="2"/>
        </w:numPr>
      </w:pPr>
      <w:r>
        <w:t xml:space="preserve">Traiter un goulot à la fois, jusqu'au bout : plutôt que d'attaquer cinq goulots en parallèle sans en finir aucun, on en prend un, on le traite, on mesure, on passe au suivant. Le traitement séquentiel garantit qu'on solde réellement chaque point.</w:t>
      </w:r>
    </w:p>
    <w:p>
      <w:pPr>
        <w:pStyle w:val="ListParagraph"/>
        <w:numPr>
          <w:ilvl w:val="0"/>
          <w:numId w:val="2"/>
        </w:numPr>
      </w:pPr>
      <w:r>
        <w:t xml:space="preserve">Réinterroger les contraintes jugées incompressibles : à ce niveau de maturité, certaines contraintes notées « incompressibles » avec leur fiche de contournement peuvent peut-être être levées. Les goulots résiduels sont l'occasion de retenter ce qu'on avait renoncé à lever.</w:t>
      </w:r>
    </w:p>
    <w:p>
      <w:pPr>
        <w:pStyle w:val="Heading2"/>
      </w:pPr>
      <w:r>
        <w:t xml:space="preserve">Le format — matrice de priorisation + mesure avant/après</w:t>
      </w:r>
    </w:p>
    <w:p>
      <w:pPr>
        <w:spacing w:after="120"/>
      </w:pPr>
      <w:r>
        <w:t xml:space="preserve">L'animation s'appuie sur une matrice de priorisation, pas sur un brainstorm. On place les goulots résiduels selon leur impact et leur effort, puis on suit un cycle mesurer → traiter → re-mesurer.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Faible effort</w:t>
            </w:r>
          </w:p>
        </w:tc>
        <w:tc>
          <w:tcPr>
            <w:tcW w:type="dxa" w:w="312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Fort effort</w:t>
            </w:r>
          </w:p>
        </w:tc>
      </w:tr>
      <w:tr>
        <w:tc>
          <w:tcPr>
            <w:tcW w:type="dxa" w:w="312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Fort impact (gain de délai)</w:t>
            </w:r>
          </w:p>
        </w:tc>
        <w:tc>
          <w:tcPr>
            <w:tcW w:type="dxa" w:w="312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t xml:space="preserve">À FAIRE D'ABORD — gros gain, peu coûteux</w:t>
            </w:r>
          </w:p>
        </w:tc>
        <w:tc>
          <w:tcPr>
            <w:tcW w:type="dxa" w:w="3120"/>
            <w:tcBorders>
              <w:top w:val="single" w:color="CCCCCC" w:sz="1"/>
              <w:left w:val="single" w:color="CCCCCC" w:sz="1"/>
              <w:bottom w:val="single" w:color="CCCCCC" w:sz="1"/>
              <w:right w:val="single" w:color="CCCCCC" w:sz="1"/>
            </w:tcBorders>
            <w:shd w:fill="FFF8E1" w:val="clear"/>
            <w:tcMar>
              <w:top w:type="dxa" w:w="70"/>
              <w:left w:type="dxa" w:w="110"/>
              <w:bottom w:type="dxa" w:w="70"/>
              <w:right w:type="dxa" w:w="110"/>
            </w:tcMar>
          </w:tcPr>
          <w:p>
            <w:r>
              <w:t xml:space="preserve">À planifier — gros gain mais coûteux</w:t>
            </w:r>
          </w:p>
        </w:tc>
      </w:tr>
      <w:tr>
        <w:tc>
          <w:tcPr>
            <w:tcW w:type="dxa" w:w="312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Faible impact</w:t>
            </w:r>
          </w:p>
        </w:tc>
        <w:tc>
          <w:tcPr>
            <w:tcW w:type="dxa" w:w="3120"/>
            <w:tcBorders>
              <w:top w:val="single" w:color="CCCCCC" w:sz="1"/>
              <w:left w:val="single" w:color="CCCCCC" w:sz="1"/>
              <w:bottom w:val="single" w:color="CCCCCC" w:sz="1"/>
              <w:right w:val="single" w:color="CCCCCC" w:sz="1"/>
            </w:tcBorders>
            <w:shd w:fill="FFF8E1" w:val="clear"/>
            <w:tcMar>
              <w:top w:type="dxa" w:w="70"/>
              <w:left w:type="dxa" w:w="110"/>
              <w:bottom w:type="dxa" w:w="70"/>
              <w:right w:type="dxa" w:w="110"/>
            </w:tcMar>
          </w:tcPr>
          <w:p>
            <w:r>
              <w:t xml:space="preserve">Si on a le temps — petit gain facile</w:t>
            </w:r>
          </w:p>
        </w:tc>
        <w:tc>
          <w:tcPr>
            <w:tcW w:type="dxa" w:w="3120"/>
            <w:tcBorders>
              <w:top w:val="single" w:color="CCCCCC" w:sz="1"/>
              <w:left w:val="single" w:color="CCCCCC" w:sz="1"/>
              <w:bottom w:val="single" w:color="CCCCCC" w:sz="1"/>
              <w:right w:val="single" w:color="CCCCCC" w:sz="1"/>
            </w:tcBorders>
            <w:shd w:fill="FFEBEE" w:val="clear"/>
            <w:tcMar>
              <w:top w:type="dxa" w:w="70"/>
              <w:left w:type="dxa" w:w="110"/>
              <w:bottom w:type="dxa" w:w="70"/>
              <w:right w:type="dxa" w:w="110"/>
            </w:tcMar>
          </w:tcPr>
          <w:p>
            <w:r>
              <w:t xml:space="preserve">À éviter — petit gain, gros coût</w:t>
            </w:r>
          </w:p>
        </w:tc>
      </w:tr>
    </w:tbl>
    <w:p>
      <w:pPr>
        <w:pStyle w:val="Heading2"/>
      </w:pPr>
      <w:r>
        <w:t xml:space="preserve">Objectif de l'atelier</w:t>
      </w:r>
    </w:p>
    <w:p>
      <w:pPr>
        <w:spacing w:after="120"/>
      </w:pPr>
      <w:r>
        <w:t xml:space="preserve">À la sortie, la squad a recensé ses goulots résiduels, les a placés sur une matrice impact/effort, et a défini un plan de traitement séquentiel (un goulot à la fois) avec une mesure du délai prêt → livré avant et après chaque action. Elle traite méthodiquement les derniers points de blocage et quantifie le gain d'autonomie obtenu. La squad finit de devenir maîtresse de son calendrier, preuves à l'appui.</w:t>
      </w:r>
    </w:p>
    <w:p>
      <w:pPr>
        <w:pStyle w:val="Heading2"/>
      </w:pPr>
      <w:r>
        <w:t xml:space="preserve">Board Klaxoon</w:t>
      </w:r>
    </w:p>
    <w:p>
      <w:pPr>
        <w:spacing w:after="120"/>
      </w:pPr>
      <w:r>
        <w:rPr>
          <w:b/>
          <w:bCs/>
        </w:rPr>
        <w:t xml:space="preserve">Template recommandé : </w:t>
      </w:r>
      <w:r>
        <w:t xml:space="preserve">Matrice impact/effort + tableau de mesure.</w:t>
      </w:r>
    </w:p>
    <w:p>
      <w:pPr>
        <w:spacing w:after="120"/>
      </w:pPr>
      <w:r>
        <w:t xml:space="preserve">Zones à créer sur le board :</w:t>
      </w:r>
    </w:p>
    <w:p>
      <w:pPr>
        <w:pStyle w:val="ListParagraph"/>
        <w:numPr>
          <w:ilvl w:val="0"/>
          <w:numId w:val="2"/>
        </w:numPr>
      </w:pPr>
      <w:r>
        <w:t xml:space="preserve">Matrice « Impact × Effort » — les goulots résiduels placés selon le gain de délai attendu et le coût du traitement (cf. modèle ci-dessus).</w:t>
      </w:r>
    </w:p>
    <w:p>
      <w:pPr>
        <w:pStyle w:val="ListParagraph"/>
        <w:numPr>
          <w:ilvl w:val="0"/>
          <w:numId w:val="2"/>
        </w:numPr>
      </w:pPr>
      <w:r>
        <w:t xml:space="preserve">Tableau « Mesure avant/après » — pour chaque goulot traité : délai prêt → livré avant, action menée, délai après, gain.</w:t>
      </w:r>
    </w:p>
    <w:p>
      <w:pPr>
        <w:pStyle w:val="ListParagraph"/>
        <w:numPr>
          <w:ilvl w:val="0"/>
          <w:numId w:val="2"/>
        </w:numPr>
      </w:pPr>
      <w:r>
        <w:t xml:space="preserve">Zone « Plan séquentiel » — l'ordre de traitement (un goulot à la fois), responsable et échéance.</w:t>
      </w:r>
    </w:p>
    <w:p>
      <w:pPr>
        <w:pStyle w:val="ListParagraph"/>
        <w:numPr>
          <w:ilvl w:val="0"/>
          <w:numId w:val="2"/>
        </w:numPr>
      </w:pPr>
      <w:r>
        <w:t xml:space="preserve">Zone « Incompressibles à réinterroger » — les contraintes du documenter nos contournements qu'on pourrait retenter de lever à ce stade.</w:t>
      </w:r>
    </w:p>
    <w:p>
      <w:pPr>
        <w:pStyle w:val="Heading2"/>
      </w:pPr>
      <w:r>
        <w:t xml:space="preserve">Déroulé minuté</w:t>
      </w:r>
    </w:p>
    <w:p>
      <w:pPr>
        <w:pStyle w:val="ListParagraph"/>
        <w:numPr>
          <w:ilvl w:val="0"/>
          <w:numId w:val="3"/>
        </w:numPr>
      </w:pPr>
      <w:r>
        <w:t xml:space="preserve">(5 min) Cadrage — l'animateur pose l'objectif : finir le travail sur les derniers goulots, et mesurer le gain pour le prouver. Présentation de la matrice.</w:t>
      </w:r>
    </w:p>
    <w:p>
      <w:pPr>
        <w:pStyle w:val="ListParagraph"/>
        <w:numPr>
          <w:ilvl w:val="0"/>
          <w:numId w:val="3"/>
        </w:numPr>
      </w:pPr>
      <w:r>
        <w:t xml:space="preserve">(10 min) Recenser les goulots résiduels — l'équipe liste les derniers points qui grippent encore la livraison (et réinterroge les incompressibles du documenter nos contournements).</w:t>
      </w:r>
    </w:p>
    <w:p>
      <w:pPr>
        <w:pStyle w:val="ListParagraph"/>
        <w:numPr>
          <w:ilvl w:val="0"/>
          <w:numId w:val="3"/>
        </w:numPr>
      </w:pPr>
      <w:r>
        <w:t xml:space="preserve">(15 min) Placer sur la matrice — on positionne chaque goulot selon impact (gain de délai) et effort. Le quadrant fort impact / faible effort donne les premiers à traiter.</w:t>
      </w:r>
    </w:p>
    <w:p>
      <w:pPr>
        <w:pStyle w:val="ListParagraph"/>
        <w:numPr>
          <w:ilvl w:val="0"/>
          <w:numId w:val="3"/>
        </w:numPr>
      </w:pPr>
      <w:r>
        <w:t xml:space="preserve">(10 min) Définir le plan séquentiel + mesure — on ordonne le traitement (un à la fois) et on fixe, pour chacun, la mesure du délai avant/après à relever.</w:t>
      </w:r>
    </w:p>
    <w:p>
      <w:pPr>
        <w:pStyle w:val="ListParagraph"/>
        <w:numPr>
          <w:ilvl w:val="0"/>
          <w:numId w:val="3"/>
        </w:numPr>
      </w:pPr>
      <w:r>
        <w:t xml:space="preserve">(5 min) Engager — on assigne le premier goulot avec responsable, échéance, et la mesure initiale à relever dès maintenant.</w:t>
      </w:r>
    </w:p>
    <w:p>
      <w:pPr>
        <w:pStyle w:val="Heading2"/>
      </w:pPr>
      <w:r>
        <w:t xml:space="preserve">Livrable de l'atelier</w:t>
      </w:r>
    </w:p>
    <w:p>
      <w:pPr>
        <w:pStyle w:val="ListParagraph"/>
        <w:numPr>
          <w:ilvl w:val="0"/>
          <w:numId w:val="2"/>
        </w:numPr>
      </w:pPr>
      <w:r>
        <w:t xml:space="preserve">Matrice impact/effort des goulots résiduels.</w:t>
      </w:r>
    </w:p>
    <w:p>
      <w:pPr>
        <w:pStyle w:val="ListParagraph"/>
        <w:numPr>
          <w:ilvl w:val="0"/>
          <w:numId w:val="2"/>
        </w:numPr>
      </w:pPr>
      <w:r>
        <w:t xml:space="preserve">Plan de traitement séquentiel (un goulot à la fois) avec responsables et échéances.</w:t>
      </w:r>
    </w:p>
    <w:p>
      <w:pPr>
        <w:pStyle w:val="ListParagraph"/>
        <w:numPr>
          <w:ilvl w:val="0"/>
          <w:numId w:val="2"/>
        </w:numPr>
      </w:pPr>
      <w:r>
        <w:t xml:space="preserve">Dispositif de mesure avant/après du délai prêt → livré pour quantifier le gain.</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traite ses goulots résiduels un par un selon la matrice, et mesure pour chacun le gain sur le délai prêt → livré. Au fil des traitements, le délai diminue de façon mesurée et la fréquence de déploiement augmente : le gain d'autonomie est prouvé, pas supposé. La squad est devenue maîtresse de son calendrier de livraison hors frozen zone, et certaines contraintes jadis jugées incompressibles ont peut-être été levées.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2026-06-09T09:05:47.460Z</dcterms:created>
  <dcterms:modified xsi:type="dcterms:W3CDTF">2026-06-09T09:05:47.461Z</dcterms:modified>
</cp:coreProperties>
</file>

<file path=docProps/custom.xml><?xml version="1.0" encoding="utf-8"?>
<Properties xmlns="http://schemas.openxmlformats.org/officeDocument/2006/custom-properties" xmlns:vt="http://schemas.openxmlformats.org/officeDocument/2006/docPropsVTypes"/>
</file>