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#87 — L’audit des écosystèmes : aucun trou dans la couverture</w:t>
      </w:r>
    </w:p>
    <w:p>
      <w:pPr>
        <w:spacing w:after="160"/>
      </w:pPr>
      <w:r>
        <w:rPr>
          <w:i/>
          <w:iCs/>
        </w:rPr>
        <w:t xml:space="preserve">Axe Hygiène &amp; Gouvernance — Question H02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fichiers de lock de dépendances sont-ils versionnés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Lock files partiels : couvrir tous les écosystèmes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arborescence complète du dépôt ouverte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 files (couverture complète : chaque écosystème a le sien)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recensement exhaustif des écosystèmes + complétion des manquants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Geste lock files acquis, capsule lue</w:t>
            </w:r>
          </w:p>
        </w:tc>
      </w:tr>
    </w:tbl>
    <w:p>
      <w:pPr>
        <w:pStyle w:val="Heading2"/>
      </w:pPr>
      <w:r>
        <w:t xml:space="preserve">Problématique</w:t>
      </w:r>
    </w:p>
    <w:p>
      <w:pPr>
        <w:spacing w:after="120"/>
      </w:pPr>
      <w:r>
        <w:t xml:space="preserve">Le geste est acquis : générer un lock, le commiter, le faire respecter par le pipeline. Mais un projet réel est rarement mono-technologie. Un même dépôt peut mêler du Node pour le front, du Python pour des scripts ou de la data, du Java pour le back, du Go pour un outil, parfois un Dockerfile avec ses propres dépendances système. Et il suffit qu’UN écosystème passe sous le radar — celui qu’on utilise peu, le script utilitaire, le sous-module oublié — pour qu’une porte reste ouverte à la non-reproductibilité, précisément là où on ne regarde jamais. Le sujet de cet atelier n’est pas de réapprendre à faire un lock (c’était le mettre en place nos lock files), mais de garantir qu’AUCUN écosystème n’est oublié : recenser méthodiquement tout ce que le projet embarque, vérifier que chacun a son lock versionné et respecté, et compléter les trous. On passe du geste ponctuel à la couverture exhaustive.</w:t>
      </w:r>
    </w:p>
    <w:p>
      <w:pPr>
        <w:pStyle w:val="Heading2"/>
      </w:pPr>
      <w:r>
        <w:t xml:space="preserve">Pourquoi un audit, et pas juste « refaire le mettre en place nos lock files » (réponse à porter)</w:t>
      </w:r>
    </w:p>
    <w:p>
      <w:pPr>
        <w:pStyle w:val="ListParagraph"/>
        <w:numPr>
          <w:ilvl w:val="0"/>
          <w:numId w:val="2"/>
        </w:numPr>
        <w:spacing w:after="80"/>
      </w:pPr>
      <w:r>
        <w:t xml:space="preserve">Le trou est toujours là où on ne regarde pas : on sécurise spontanément l’écosystème principal — le back qu’on touche tous les jours. Ce sont les écosystèmes secondaires (un script Python isolé, un petit outil Go) qui échappent, justement parce qu’on y pense peu. L’audit force le regard sur l’angle mort : il liste TOUT, pas seulement l’évident.</w:t>
      </w:r>
    </w:p>
    <w:p>
      <w:pPr>
        <w:pStyle w:val="ListParagraph"/>
        <w:numPr>
          <w:ilvl w:val="0"/>
          <w:numId w:val="2"/>
        </w:numPr>
        <w:spacing w:after="80"/>
      </w:pPr>
      <w:r>
        <w:t xml:space="preserve">Un seul écosystème non couvert annule la garantie sur sa partie : la reproductibilité n’est pas globale, elle est par écosystème. Le back peut être parfaitement verrouillé pendant que le script de migration Python tire des versions au hasard. Le « ça marche chez moi » resurgit sur la partie oubliée. La couverture doit être complète pour que la garantie le soit.</w:t>
      </w:r>
    </w:p>
    <w:p>
      <w:pPr>
        <w:pStyle w:val="ListParagraph"/>
        <w:numPr>
          <w:ilvl w:val="0"/>
          <w:numId w:val="2"/>
        </w:numPr>
        <w:spacing w:after="80"/>
      </w:pPr>
      <w:r>
        <w:t xml:space="preserve">Recenser systématiquement vaut mieux que se fier à la mémoire : « je crois qu’on a tout » n’est pas un audit. Parcourir l’arborescence à la recherche de chaque manifeste (package.json, requirements.txt, go.mod, pom.xml…) est un balayage objectif qui ne dépend pas de ce dont l’équipe se souvient. On cherche les manifestes, ils révèlent les écosystèmes.</w:t>
      </w:r>
    </w:p>
    <w:p>
      <w:pPr>
        <w:pStyle w:val="ListParagraph"/>
        <w:numPr>
          <w:ilvl w:val="0"/>
          <w:numId w:val="2"/>
        </w:numPr>
        <w:spacing w:after="80"/>
      </w:pPr>
      <w:r>
        <w:t xml:space="preserve">L’audit est aussi l’occasion de vérifier le respect, pas que la présence : pour chaque écosystème trouvé, on ne se contente pas de constater « il y a un lock » — on vérifie qu’il est commité ET que le pipeline l’utilise (le piège du mettre en place nos lock files). L’audit consolide les trois conditions sur l’ensemble du projet, d’un coup.</w:t>
      </w:r>
    </w:p>
    <w:p>
      <w:pPr>
        <w:pStyle w:val="Heading2"/>
      </w:pPr>
      <w:r>
        <w:t xml:space="preserve">La méthode d’audit (leviers concrets)</w:t>
      </w:r>
    </w:p>
    <w:p>
      <w:pPr>
        <w:pStyle w:val="ListParagraph"/>
        <w:numPr>
          <w:ilvl w:val="0"/>
          <w:numId w:val="2"/>
        </w:numPr>
        <w:spacing w:after="80"/>
      </w:pPr>
      <w:r>
        <w:t xml:space="preserve">Balayer l’arborescence à la recherche des manifestes : parcourir tout le dépôt — pas seulement la racine — pour repérer chaque fichier qui déclare des dépendances. Chaque manifeste trouvé = un écosystème à couvrir. Les sous-dossiers, les outils annexes, les Dockerfiles sont les cachettes habituelles.</w:t>
      </w:r>
    </w:p>
    <w:p>
      <w:pPr>
        <w:pStyle w:val="ListParagraph"/>
        <w:numPr>
          <w:ilvl w:val="0"/>
          <w:numId w:val="2"/>
        </w:numPr>
        <w:spacing w:after="80"/>
      </w:pPr>
      <w:r>
        <w:t xml:space="preserve">Pour chaque écosystème, vérifier les trois conditions : lock présent ? commité (pas dans le.gitignore) ? respecté par le pipeline (commande « ci ») ? Un écosystème n’est « vert » que si les trois sont remplies. On note l’état de chacun dans la grille.</w:t>
      </w:r>
    </w:p>
    <w:p>
      <w:pPr>
        <w:pStyle w:val="ListParagraph"/>
        <w:numPr>
          <w:ilvl w:val="0"/>
          <w:numId w:val="2"/>
        </w:numPr>
        <w:spacing w:after="80"/>
      </w:pPr>
      <w:r>
        <w:t xml:space="preserve">Compléter les manquants en réappliquant le geste du mettre en place nos lock files : pour chaque écosystème non couvert, dérouler les trois gestes (générer, commiter, faire respecter). Pas de nouvelle théorie — juste l’application du geste connu là où il manquait.</w:t>
      </w:r>
    </w:p>
    <w:p>
      <w:pPr>
        <w:pStyle w:val="ListParagraph"/>
        <w:numPr>
          <w:ilvl w:val="0"/>
          <w:numId w:val="2"/>
        </w:numPr>
        <w:spacing w:after="80"/>
      </w:pPr>
      <w:r>
        <w:t xml:space="preserve">Conclure par une vue d’ensemble : la grille remplie donne une carte claire — tous les écosystèmes, tous verts. C’est le livrable qui prouve la couverture complète et sert de référence pour les futurs ajouts (un nouvel écosystème = une nouvelle ligne à verdir).</w:t>
      </w:r>
    </w:p>
    <w:p>
      <w:pPr>
        <w:pStyle w:val="Heading2"/>
      </w:pPr>
      <w:r>
        <w:t xml:space="preserve">Grille d’audit (à remplir en séance)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AUDIT DES ÉCOSYSTÈMES — couverture lock files</w:t>
            </w:r>
          </w:p>
          <w:p>
            <w:r>
              <w:rPr>
                <w:rFonts w:ascii="Consolas" w:cs="Consolas" w:eastAsia="Consolas" w:hAnsi="Consolas"/>
                <w:sz w:val="18"/>
                <w:szCs w:val="18"/>
              </w:rPr>
              <w:t xml:space="preserve"> </w:t>
            </w:r>
          </w:p>
          <w:p>
            <w:r>
              <w:rPr>
                <w:rFonts w:ascii="Consolas" w:cs="Consolas" w:eastAsia="Consolas" w:hAnsi="Consolas"/>
                <w:sz w:val="18"/>
                <w:szCs w:val="18"/>
              </w:rPr>
              <w:t xml:space="preserve"> Écosystème Manifeste Lock Commité Pipeline</w:t>
            </w:r>
          </w:p>
          <w:p>
            <w:r>
              <w:rPr>
                <w:rFonts w:ascii="Consolas" w:cs="Consolas" w:eastAsia="Consolas" w:hAnsi="Consolas"/>
                <w:sz w:val="18"/>
                <w:szCs w:val="18"/>
              </w:rPr>
              <w:t xml:space="preserve"> (où ?) trouvé présent ?(gitig.) respecte?</w:t>
            </w:r>
          </w:p>
          <w:p>
            <w:r>
              <w:rPr>
                <w:rFonts w:ascii="Consolas" w:cs="Consolas" w:eastAsia="Consolas" w:hAnsi="Consolas"/>
                <w:sz w:val="18"/>
                <w:szCs w:val="18"/>
              </w:rPr>
              <w:t xml:space="preserve"> ────────── ─────────── ───── ─────── ────────</w:t>
            </w:r>
          </w:p>
          <w:p>
            <w:r>
              <w:rPr>
                <w:rFonts w:ascii="Consolas" w:cs="Consolas" w:eastAsia="Consolas" w:hAnsi="Consolas"/>
                <w:sz w:val="18"/>
                <w:szCs w:val="18"/>
              </w:rPr>
              <w:t xml:space="preserve"> Node (front) package.json [ ] [ ] [ ]</w:t>
            </w:r>
          </w:p>
          <w:p>
            <w:r>
              <w:rPr>
                <w:rFonts w:ascii="Consolas" w:cs="Consolas" w:eastAsia="Consolas" w:hAnsi="Consolas"/>
                <w:sz w:val="18"/>
                <w:szCs w:val="18"/>
              </w:rPr>
              <w:t xml:space="preserve"> Python (scr) requirements.txt [ ] [ ] [ ]</w:t>
            </w:r>
          </w:p>
          <w:p>
            <w:r>
              <w:rPr>
                <w:rFonts w:ascii="Consolas" w:cs="Consolas" w:eastAsia="Consolas" w:hAnsi="Consolas"/>
                <w:sz w:val="18"/>
                <w:szCs w:val="18"/>
              </w:rPr>
              <w:t xml:space="preserve"> Java (back) pom.xml [ ] [ ] [ ]</w:t>
            </w:r>
          </w:p>
          <w:p>
            <w:r>
              <w:rPr>
                <w:rFonts w:ascii="Consolas" w:cs="Consolas" w:eastAsia="Consolas" w:hAnsi="Consolas"/>
                <w:sz w:val="18"/>
                <w:szCs w:val="18"/>
              </w:rPr>
              <w:t xml:space="preserve"> Go (outil) go.mod [ ] [ ] [ ]</w:t>
            </w:r>
          </w:p>
          <w:p>
            <w:r>
              <w:rPr>
                <w:rFonts w:ascii="Consolas" w:cs="Consolas" w:eastAsia="Consolas" w:hAnsi="Consolas"/>
                <w:sz w:val="18"/>
                <w:szCs w:val="18"/>
              </w:rPr>
              <w:t xml:space="preserve">...... [ ] [ ] [ ]</w:t>
            </w:r>
          </w:p>
          <w:p>
            <w:r>
              <w:rPr>
                <w:rFonts w:ascii="Consolas" w:cs="Consolas" w:eastAsia="Consolas" w:hAnsi="Consolas"/>
                <w:sz w:val="18"/>
                <w:szCs w:val="18"/>
              </w:rPr>
              <w:t xml:space="preserve"> </w:t>
            </w:r>
          </w:p>
          <w:p>
            <w:r>
              <w:rPr>
                <w:rFonts w:ascii="Consolas" w:cs="Consolas" w:eastAsia="Consolas" w:hAnsi="Consolas"/>
                <w:sz w:val="18"/>
                <w:szCs w:val="18"/>
              </w:rPr>
              <w:t xml:space="preserve"> Un écosystème est VERT seulement si les 3 cases sont OK.</w:t>
            </w:r>
          </w:p>
          <w:p>
            <w:r>
              <w:rPr>
                <w:rFonts w:ascii="Consolas" w:cs="Consolas" w:eastAsia="Consolas" w:hAnsi="Consolas"/>
                <w:sz w:val="18"/>
                <w:szCs w:val="18"/>
              </w:rPr>
              <w:t xml:space="preserve"> Tout écosystème non vert -&gt; compléter (geste).</w:t>
            </w:r>
          </w:p>
          <w:p>
            <w:r>
              <w:rPr>
                <w:rFonts w:ascii="Consolas" w:cs="Consolas" w:eastAsia="Consolas" w:hAnsi="Consolas"/>
                <w:sz w:val="18"/>
                <w:szCs w:val="18"/>
              </w:rPr>
              <w:t xml:space="preserve"> Objectif : zéro écosystème non couvert.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La différence avec le mettre en place nos lock files (anti-doublon)</w:t>
            </w:r>
          </w:p>
          <w:p>
            <w:pPr>
              <w:spacing w:after="60"/>
            </w:pPr>
            <w:r>
              <w:t xml:space="preserve">Le mettre en place nos lock files apprend et pose le geste sur le projet (générer, commiter, faire respecter un lock). Le #87 ne réapprend pas le geste — il garantit qu’il a été appliqué PARTOUT : c’est un balayage exhaustif des écosystèmes, une checklist de couverture, qui complète les trous. Le mettre en place nos lock files répond à « sait-on faire un lock ? » ; le #87 répond à « n’en avons-nous oublié aucun ? ». L’un est le geste, l’autre est la garantie d’exhaustivité.</w:t>
            </w:r>
          </w:p>
        </w:tc>
      </w:tr>
    </w:tbl>
    <w:p>
      <w:pPr>
        <w:pStyle w:val="Heading2"/>
      </w:pPr>
      <w:r>
        <w:t xml:space="preserve">Objectif de l’atelier</w:t>
      </w:r>
    </w:p>
    <w:p>
      <w:pPr>
        <w:spacing w:after="120"/>
      </w:pPr>
      <w:r>
        <w:t xml:space="preserve">À la sortie, tous les écosystèmes du projet ont été recensés méthodiquement par balayage de l’arborescence, et chacun a son lock file présent, commité et respecté par le pipeline. Les écosystèmes qui passaient sous le radar — le script isolé, l’outil annexe — sont désormais couverts comme le principal. La grille d’audit donne une carte complète qui prouve qu’aucun trou ne subsiste. La reproductibilité du mettre en place nos lock files n’est plus partielle : elle est garantie sur l’ensemble du projet, pas seulement sur la partie qu’on regarde tous les jours.</w:t>
      </w:r>
    </w:p>
    <w:p>
      <w:pPr>
        <w:pStyle w:val="Heading2"/>
      </w:pPr>
      <w:r>
        <w:t xml:space="preserve">Board Klaxoon</w:t>
      </w:r>
    </w:p>
    <w:p>
      <w:pPr>
        <w:spacing w:after="120"/>
      </w:pPr>
      <w:r>
        <w:rPr>
          <w:b w:val="false"/>
          <w:bCs w:val="false"/>
        </w:rPr>
        <w:t xml:space="preserve">Template recommandé : Grille d’audit des écosystèmes (balayage exhaustif du dépôt).</w:t>
      </w:r>
    </w:p>
    <w:p>
      <w:pPr>
        <w:pStyle w:val="ListParagraph"/>
        <w:numPr>
          <w:ilvl w:val="0"/>
          <w:numId w:val="2"/>
        </w:numPr>
        <w:spacing w:after="80"/>
      </w:pPr>
      <w:r>
        <w:t xml:space="preserve">Zone « Écosystèmes recensés » — tous les manifestes trouvés dans l’arborescence, racine et sous-dossiers.</w:t>
      </w:r>
    </w:p>
    <w:p>
      <w:pPr>
        <w:pStyle w:val="ListParagraph"/>
        <w:numPr>
          <w:ilvl w:val="0"/>
          <w:numId w:val="2"/>
        </w:numPr>
        <w:spacing w:after="80"/>
      </w:pPr>
      <w:r>
        <w:t xml:space="preserve">Zone « État par écosystème » — pour chacun : lock présent / commité / respecté (les trois conditions).</w:t>
      </w:r>
    </w:p>
    <w:p>
      <w:pPr>
        <w:pStyle w:val="ListParagraph"/>
        <w:numPr>
          <w:ilvl w:val="0"/>
          <w:numId w:val="2"/>
        </w:numPr>
        <w:spacing w:after="80"/>
      </w:pPr>
      <w:r>
        <w:t xml:space="preserve">Zone « Trous comblés » — les écosystèmes qui manquaient, désormais couverts.</w:t>
      </w:r>
    </w:p>
    <w:p>
      <w:pPr>
        <w:pStyle w:val="ListParagraph"/>
        <w:numPr>
          <w:ilvl w:val="0"/>
          <w:numId w:val="2"/>
        </w:numPr>
        <w:spacing w:after="80"/>
      </w:pPr>
      <w:r>
        <w:t xml:space="preserve">Zone « Carte finale » — la vue d’ensemble : tous verts, couverture complète.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l’enjeu : on sait faire un lock, aujourd’hui on s’assure de n’en avoir oublié aucun. Le trou est là où on ne regarde pas.</w:t>
      </w:r>
    </w:p>
    <w:p>
      <w:pPr>
        <w:pStyle w:val="ListParagraph"/>
        <w:numPr>
          <w:ilvl w:val="0"/>
          <w:numId w:val="2"/>
        </w:numPr>
        <w:spacing w:after="80"/>
      </w:pPr>
      <w:r>
        <w:rPr>
          <w:b/>
          <w:bCs/>
        </w:rPr>
        <w:t xml:space="preserve">(12 min) Balayer l’arborescence</w:t>
      </w:r>
      <w:r>
        <w:t xml:space="preserve"> — parcourir tout le dépôt à la recherche des manifestes ; chaque manifeste révèle un écosystème à inscrire dans la grille.</w:t>
      </w:r>
    </w:p>
    <w:p>
      <w:pPr>
        <w:pStyle w:val="ListParagraph"/>
        <w:numPr>
          <w:ilvl w:val="0"/>
          <w:numId w:val="2"/>
        </w:numPr>
        <w:spacing w:after="80"/>
      </w:pPr>
      <w:r>
        <w:rPr>
          <w:b/>
          <w:bCs/>
        </w:rPr>
        <w:t xml:space="preserve">(13 min) Vérifier les trois conditions</w:t>
      </w:r>
      <w:r>
        <w:t xml:space="preserve"> — pour chaque écosystème : lock présent ? commité ? respecté par le pipeline ? Remplir la grille.</w:t>
      </w:r>
    </w:p>
    <w:p>
      <w:pPr>
        <w:pStyle w:val="ListParagraph"/>
        <w:numPr>
          <w:ilvl w:val="0"/>
          <w:numId w:val="2"/>
        </w:numPr>
        <w:spacing w:after="80"/>
      </w:pPr>
      <w:r>
        <w:rPr>
          <w:b/>
          <w:bCs/>
        </w:rPr>
        <w:t xml:space="preserve">(10 min) Combler les trous</w:t>
      </w:r>
      <w:r>
        <w:t xml:space="preserve"> — pour chaque écosystème non vert, appliquer le geste du mettre en place nos lock files jusqu’à le verdir.</w:t>
      </w:r>
    </w:p>
    <w:p>
      <w:pPr>
        <w:pStyle w:val="ListParagraph"/>
        <w:numPr>
          <w:ilvl w:val="0"/>
          <w:numId w:val="2"/>
        </w:numPr>
        <w:spacing w:after="80"/>
      </w:pPr>
      <w:r>
        <w:rPr>
          <w:b/>
          <w:bCs/>
        </w:rPr>
        <w:t xml:space="preserve">(5 min) Vue d’ensemble</w:t>
      </w:r>
      <w:r>
        <w:t xml:space="preserve"> — confirmer que tous les écosystèmes sont couverts ; la carte finale prouve l’exhaustivité.</w:t>
      </w:r>
    </w:p>
    <w:p>
      <w:pPr>
        <w:pStyle w:val="Heading2"/>
      </w:pPr>
      <w:r>
        <w:t xml:space="preserve">Livrable de l’atelier</w:t>
      </w:r>
    </w:p>
    <w:p>
      <w:pPr>
        <w:pStyle w:val="ListParagraph"/>
        <w:numPr>
          <w:ilvl w:val="0"/>
          <w:numId w:val="2"/>
        </w:numPr>
        <w:spacing w:after="80"/>
      </w:pPr>
      <w:r>
        <w:t xml:space="preserve">La grille d’audit complète : tous les écosystèmes du projet recensés par balayage.</w:t>
      </w:r>
    </w:p>
    <w:p>
      <w:pPr>
        <w:pStyle w:val="ListParagraph"/>
        <w:numPr>
          <w:ilvl w:val="0"/>
          <w:numId w:val="2"/>
        </w:numPr>
        <w:spacing w:after="80"/>
      </w:pPr>
      <w:r>
        <w:t xml:space="preserve">L’état des trois conditions (présent / commité / respecté) pour chacun.</w:t>
      </w:r>
    </w:p>
    <w:p>
      <w:pPr>
        <w:pStyle w:val="ListParagraph"/>
        <w:numPr>
          <w:ilvl w:val="0"/>
          <w:numId w:val="2"/>
        </w:numPr>
        <w:spacing w:after="80"/>
      </w:pPr>
      <w:r>
        <w:t xml:space="preserve">Les écosystèmes manquants désormais couverts.</w:t>
      </w:r>
    </w:p>
    <w:p>
      <w:pPr>
        <w:pStyle w:val="ListParagraph"/>
        <w:numPr>
          <w:ilvl w:val="0"/>
          <w:numId w:val="2"/>
        </w:numPr>
        <w:spacing w:after="80"/>
      </w:pPr>
      <w:r>
        <w:t xml:space="preserve">La carte finale prouvant la couverture complète, et servant de référence pour les futurs ajouts.</w:t>
      </w:r>
    </w:p>
    <w:p>
      <w:pPr>
        <w:pStyle w:val="Heading2"/>
      </w:pPr>
      <w:r>
        <w:t xml:space="preserve">Articulation H02 (ce qui suit)</w:t>
      </w:r>
    </w:p>
    <w:p>
      <w:pPr>
        <w:spacing w:after="120"/>
      </w:pPr>
      <w:r>
        <w:t xml:space="preserve">Après le geste et sa couverture exhaustive, la suite verrouille et fait vivre : (s’assurer que le.gitignore n’exclut jamais un lock, le point de vigilance qui fait tomber la condition « commité »), (Renovate/Dependabot — automatiser les mises à jour de dépendances pour que la montée de version reste un choix tracé). La couverture complète établie ici est ce sur quoi ces automatisations s’appuieront.</w:t>
      </w:r>
    </w:p>
    <w:p>
      <w:pPr>
        <w:pStyle w:val="Heading2"/>
      </w:pPr>
      <w:r>
        <w:t xml:space="preserve">Critère de réussite</w:t>
      </w:r>
    </w:p>
    <w:p>
      <w:pPr>
        <w:spacing w:after="120"/>
      </w:pPr>
      <w:r>
        <w:t xml:space="preserve">Tous les écosystèmes du projet ont été recensés par balayage méthodique de l’arborescence, et chacun a son lock présent, commité et respecté par le pipeline — vérifié, pas supposé. Les écosystèmes secondaires qui échappaient sont désormais couverts au même niveau que le principal. La grille d’audit prouve qu’aucun trou ne subsiste, et sert de référence pour tout ajout futur. La reproductibilité est désormais garantie sur l’ensemble du projet : la question H02 franchit sa systématisation par l’exhaustivité, là où le mettre en place nos lock files n’avait posé que le geste.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2026-06-26T09:39:58.529Z</dcterms:created>
  <dcterms:modified xsi:type="dcterms:W3CDTF">2026-06-26T09:39:58.529Z</dcterms:modified>
</cp:coreProperties>
</file>

<file path=docProps/custom.xml><?xml version="1.0" encoding="utf-8"?>
<Properties xmlns="http://schemas.openxmlformats.org/officeDocument/2006/custom-properties" xmlns:vt="http://schemas.openxmlformats.org/officeDocument/2006/docPropsVTypes"/>
</file>