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#152 — Anticiper les patterns de grosses MR</w:t>
      </w:r>
    </w:p>
    <w:p>
      <w:pPr>
        <w:spacing w:after="160"/>
      </w:pPr>
      <w:r>
        <w:rPr>
          <w:i/>
          <w:iCs/>
        </w:rPr>
        <w:t xml:space="preserve">Axe Qualité (Review) — Question Q04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merge requests sont-elles de taille raisonnable (petites, découpées)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Formalisé 🔵 — Seuil en place : anticiper les causes récurrentes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Taille MR — clôt le gradient : identifie les types de sujets qui produisent de grosses MR pour les découper dès la conception.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historique des grosses MR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d’analyse : repérer les patterns de grosses MR et les anticiper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Seuil de taille en place</w:t>
            </w:r>
          </w:p>
        </w:tc>
      </w:tr>
    </w:tbl>
    <w:p>
      <w:pPr>
        <w:pStyle w:val="Heading2"/>
      </w:pPr>
      <w:r>
        <w:t xml:space="preserve">Problématique</w:t>
      </w:r>
    </w:p>
    <w:p>
      <w:pPr>
        <w:spacing w:after="120"/>
      </w:pPr>
      <w:r>
        <w:t xml:space="preserve">Le seuil signale les grosses MR au cas par cas. Pour aller plus loin et clore Q04, on peut anticiper : certains TYPES de sujets produisent presque toujours de grosses MR — une migration, l’ajout d’une grosse fonctionnalité transverse, un refactoring large, l’intégration d’une nouvelle dépendance. Si on les reconnaît à l’avance, on peut prévoir le découpage dès la conception (cf.), plutôt que de réagir au dépassement. Le sujet de cet atelier est d’identifier ces patterns récurrents de la squad et de définir, pour chacun, une stratégie d’anticipation. On passe du curatif (réagir à une grosse MR) au préventif (savoir qu’un sujet sera gros et le découper d’emblée).</w:t>
      </w:r>
    </w:p>
    <w:p>
      <w:pPr>
        <w:pStyle w:val="Heading2"/>
      </w:pPr>
      <w:r>
        <w:t xml:space="preserve">Pourquoi anticiper les patterns (réponse à porter)</w:t>
      </w:r>
    </w:p>
    <w:p>
      <w:pPr>
        <w:pStyle w:val="ListParagraph"/>
        <w:numPr>
          <w:ilvl w:val="0"/>
          <w:numId w:val="2"/>
        </w:numPr>
        <w:spacing w:after="80"/>
      </w:pPr>
      <w:r>
        <w:t xml:space="preserve">Les grosses MR ne sont pas aléatoires : elles viennent de types de sujets identifiables : migrations, fonctionnalités transverses, refactorings larges, intégrations de dépendances. Reconnaître ces patterns permet de les voir venir au lieu de les subir. La récurrence est une information exploitable.</w:t>
      </w:r>
    </w:p>
    <w:p>
      <w:pPr>
        <w:pStyle w:val="ListParagraph"/>
        <w:numPr>
          <w:ilvl w:val="0"/>
          <w:numId w:val="2"/>
        </w:numPr>
        <w:spacing w:after="80"/>
      </w:pPr>
      <w:r>
        <w:t xml:space="preserve">Anticiper permet de découper à la conception : si on sait dès le départ qu’un sujet sera gros, on planifie son découpage avant de coder (cf.) — au lieu de découvrir une MR de 50 fichiers une fois écrite. L’anticipation déplace le découpage au bon moment, là où il est possible.</w:t>
      </w:r>
    </w:p>
    <w:p>
      <w:pPr>
        <w:pStyle w:val="ListParagraph"/>
        <w:numPr>
          <w:ilvl w:val="0"/>
          <w:numId w:val="2"/>
        </w:numPr>
        <w:spacing w:after="80"/>
      </w:pPr>
      <w:r>
        <w:t xml:space="preserve">Chaque pattern a sa stratégie de découpage : une migration se découpe par étapes (préparer, migrer un sous-ensemble, basculer) ; une fonctionnalité transverse se tranche en valeur derrière un flag ; un refactoring large se fait par petits pas successifs. Connaître le pattern oriente vers la bonne technique de découpage.</w:t>
      </w:r>
    </w:p>
    <w:p>
      <w:pPr>
        <w:pStyle w:val="ListParagraph"/>
        <w:numPr>
          <w:ilvl w:val="0"/>
          <w:numId w:val="2"/>
        </w:numPr>
        <w:spacing w:after="80"/>
      </w:pPr>
      <w:r>
        <w:t xml:space="preserve">C’est la consolidation de Q04 : après avoir compris, appris, pratiqué et posé un seuil, anticiper les patterns rend le découpage proactif et durable. La squad ne réagit plus aux grosses MR — elle les empêche d’apparaître. C’est la maturité de l’axe.</w:t>
      </w:r>
    </w:p>
    <w:p>
      <w:pPr>
        <w:pStyle w:val="Heading2"/>
      </w:pPr>
      <w:r>
        <w:t xml:space="preserve">Identifier et anticiper (leviers concrets)</w:t>
      </w:r>
    </w:p>
    <w:p>
      <w:pPr>
        <w:pStyle w:val="ListParagraph"/>
        <w:numPr>
          <w:ilvl w:val="0"/>
          <w:numId w:val="2"/>
        </w:numPr>
        <w:spacing w:after="80"/>
      </w:pPr>
      <w:r>
        <w:t xml:space="preserve">Repérer les patterns dans l’historique : examiner les grosses MR passées de la squad et chercher ce qu’elles ont en commun — migrations ? fonctionnalités transverses ? refactorings ? Les types récurrents émergent de l’historique.</w:t>
      </w:r>
    </w:p>
    <w:p>
      <w:pPr>
        <w:pStyle w:val="ListParagraph"/>
        <w:numPr>
          <w:ilvl w:val="0"/>
          <w:numId w:val="2"/>
        </w:numPr>
        <w:spacing w:after="80"/>
      </w:pPr>
      <w:r>
        <w:t xml:space="preserve">Pour chaque pattern, définir une stratégie d’anticipation : associer à chaque type de sujet gros une façon de le découper d’emblée — migration par étapes, fonctionnalité par tranches + flag, refactoring par petits pas. On prépare la réponse avant que le sujet ne se présente.</w:t>
      </w:r>
    </w:p>
    <w:p>
      <w:pPr>
        <w:pStyle w:val="ListParagraph"/>
        <w:numPr>
          <w:ilvl w:val="0"/>
          <w:numId w:val="2"/>
        </w:numPr>
        <w:spacing w:after="80"/>
      </w:pPr>
      <w:r>
        <w:t xml:space="preserve">Créer un réflexe de planification : au moment de prendre un sujet, se demander « est-ce un de nos patterns de grosse MR ? ». Si oui, prévoir le découpage dès la conception. Le réflexe transforme l’anticipation en habitude.</w:t>
      </w:r>
    </w:p>
    <w:p>
      <w:pPr>
        <w:pStyle w:val="ListParagraph"/>
        <w:numPr>
          <w:ilvl w:val="0"/>
          <w:numId w:val="2"/>
        </w:numPr>
        <w:spacing w:after="80"/>
      </w:pPr>
      <w:r>
        <w:t xml:space="preserve">Documenter les patterns et stratégies : noter les patterns identifiés et leur stratégie de découpage (dans le wiki de la squad, à côté de la charte et du socle slicing). C’est un guide réutilisable, notamment pour les nouveaux.</w:t>
      </w:r>
    </w:p>
    <w:p>
      <w:pPr>
        <w:pStyle w:val="Heading2"/>
      </w:pPr>
      <w:r>
        <w:t xml:space="preserve">Objectif de l’atelier</w:t>
      </w:r>
    </w:p>
    <w:p>
      <w:pPr>
        <w:spacing w:after="120"/>
      </w:pPr>
      <w:r>
        <w:t xml:space="preserve">À la sortie, la squad a identifié les types de sujets qui produisent récurremment de grosses MR (migrations, fonctionnalités transverses, refactorings larges, intégrations de dépendances) et défini, pour chacun, une stratégie de découpage à appliquer dès la conception. Elle a créé le réflexe de se demander, en prenant un sujet, s’il relève d’un pattern de grosse MR, et a documenté patterns et stratégies. Le découpage devient proactif : la squad empêche les grosses MR d’apparaître au lieu d’y réagir. La mesure Taille MR du hub se maintient basse durablement. Q04 est complète.</w:t>
      </w:r>
    </w:p>
    <w:p>
      <w:pPr>
        <w:pStyle w:val="Heading2"/>
      </w:pPr>
      <w:r>
        <w:t xml:space="preserve">Board Klaxoon</w:t>
      </w:r>
    </w:p>
    <w:p>
      <w:pPr>
        <w:spacing w:after="120"/>
      </w:pPr>
      <w:r>
        <w:rPr>
          <w:b w:val="false"/>
          <w:bCs w:val="false"/>
        </w:rPr>
        <w:t xml:space="preserve">Template recommandé : Patterns de grosses MR.</w:t>
      </w:r>
    </w:p>
    <w:p>
      <w:pPr>
        <w:pStyle w:val="ListParagraph"/>
        <w:numPr>
          <w:ilvl w:val="0"/>
          <w:numId w:val="2"/>
        </w:numPr>
        <w:spacing w:after="80"/>
      </w:pPr>
      <w:r>
        <w:t xml:space="preserve">Zone « Nos patterns » — les types de sujets qui produisent de grosses MR.</w:t>
      </w:r>
    </w:p>
    <w:p>
      <w:pPr>
        <w:pStyle w:val="ListParagraph"/>
        <w:numPr>
          <w:ilvl w:val="0"/>
          <w:numId w:val="2"/>
        </w:numPr>
        <w:spacing w:after="80"/>
      </w:pPr>
      <w:r>
        <w:t xml:space="preserve">Zone « Stratégie par pattern » — comment découper chacun dès la conception.</w:t>
      </w:r>
    </w:p>
    <w:p>
      <w:pPr>
        <w:pStyle w:val="ListParagraph"/>
        <w:numPr>
          <w:ilvl w:val="0"/>
          <w:numId w:val="2"/>
        </w:numPr>
        <w:spacing w:after="80"/>
      </w:pPr>
      <w:r>
        <w:t xml:space="preserve">Zone « Le réflexe » — se demander, en prenant un sujet, s’il est un pattern.</w:t>
      </w:r>
    </w:p>
    <w:p>
      <w:pPr>
        <w:pStyle w:val="ListParagraph"/>
        <w:numPr>
          <w:ilvl w:val="0"/>
          <w:numId w:val="2"/>
        </w:numPr>
        <w:spacing w:after="80"/>
      </w:pPr>
      <w:r>
        <w:t xml:space="preserve">Zone « Documenté » — patterns et stratégies notés pour réutilisation.</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passer du curatif au préventif, anticiper les grosses MR.</w:t>
      </w:r>
    </w:p>
    <w:p>
      <w:pPr>
        <w:pStyle w:val="ListParagraph"/>
        <w:numPr>
          <w:ilvl w:val="0"/>
          <w:numId w:val="2"/>
        </w:numPr>
        <w:spacing w:after="80"/>
      </w:pPr>
      <w:r>
        <w:rPr>
          <w:b/>
          <w:bCs/>
        </w:rPr>
        <w:t xml:space="preserve">(15 min) Repérer les patterns</w:t>
      </w:r>
      <w:r>
        <w:t xml:space="preserve"> — examiner l’historique des grosses MR, trouver les types récurrents.</w:t>
      </w:r>
    </w:p>
    <w:p>
      <w:pPr>
        <w:pStyle w:val="ListParagraph"/>
        <w:numPr>
          <w:ilvl w:val="0"/>
          <w:numId w:val="2"/>
        </w:numPr>
        <w:spacing w:after="80"/>
      </w:pPr>
      <w:r>
        <w:rPr>
          <w:b/>
          <w:bCs/>
        </w:rPr>
        <w:t xml:space="preserve">(12 min) Définir les stratégies</w:t>
      </w:r>
      <w:r>
        <w:t xml:space="preserve"> — une façon de découper chaque pattern dès la conception.</w:t>
      </w:r>
    </w:p>
    <w:p>
      <w:pPr>
        <w:pStyle w:val="ListParagraph"/>
        <w:numPr>
          <w:ilvl w:val="0"/>
          <w:numId w:val="2"/>
        </w:numPr>
        <w:spacing w:after="80"/>
      </w:pPr>
      <w:r>
        <w:rPr>
          <w:b/>
          <w:bCs/>
        </w:rPr>
        <w:t xml:space="preserve">(8 min) Créer le réflexe</w:t>
      </w:r>
      <w:r>
        <w:t xml:space="preserve"> — se demander en amont si un sujet est un pattern de grosse MR.</w:t>
      </w:r>
    </w:p>
    <w:p>
      <w:pPr>
        <w:pStyle w:val="ListParagraph"/>
        <w:numPr>
          <w:ilvl w:val="0"/>
          <w:numId w:val="2"/>
        </w:numPr>
        <w:spacing w:after="80"/>
      </w:pPr>
      <w:r>
        <w:rPr>
          <w:b/>
          <w:bCs/>
        </w:rPr>
        <w:t xml:space="preserve">(5 min) Documenter</w:t>
      </w:r>
      <w:r>
        <w:t xml:space="preserve"> — noter patterns et stratégies pour réutilisation.</w:t>
      </w:r>
    </w:p>
    <w:p>
      <w:pPr>
        <w:pStyle w:val="Heading2"/>
      </w:pPr>
      <w:r>
        <w:t xml:space="preserve">Livrable de l’atelier</w:t>
      </w:r>
    </w:p>
    <w:p>
      <w:pPr>
        <w:pStyle w:val="ListParagraph"/>
        <w:numPr>
          <w:ilvl w:val="0"/>
          <w:numId w:val="2"/>
        </w:numPr>
        <w:spacing w:after="80"/>
      </w:pPr>
      <w:r>
        <w:t xml:space="preserve">Les patterns de grosses MR de la squad identifiés.</w:t>
      </w:r>
    </w:p>
    <w:p>
      <w:pPr>
        <w:pStyle w:val="ListParagraph"/>
        <w:numPr>
          <w:ilvl w:val="0"/>
          <w:numId w:val="2"/>
        </w:numPr>
        <w:spacing w:after="80"/>
      </w:pPr>
      <w:r>
        <w:t xml:space="preserve">Une stratégie de découpage par pattern, à appliquer dès la conception.</w:t>
      </w:r>
    </w:p>
    <w:p>
      <w:pPr>
        <w:pStyle w:val="ListParagraph"/>
        <w:numPr>
          <w:ilvl w:val="0"/>
          <w:numId w:val="2"/>
        </w:numPr>
        <w:spacing w:after="80"/>
      </w:pPr>
      <w:r>
        <w:t xml:space="preserve">Le réflexe de planification du découpage en amont.</w:t>
      </w:r>
    </w:p>
    <w:p>
      <w:pPr>
        <w:pStyle w:val="ListParagraph"/>
        <w:numPr>
          <w:ilvl w:val="0"/>
          <w:numId w:val="2"/>
        </w:numPr>
        <w:spacing w:after="80"/>
      </w:pPr>
      <w:r>
        <w:t xml:space="preserve">Patterns et stratégies documentés, réutilisables.</w:t>
      </w:r>
    </w:p>
    <w:p>
      <w:pPr>
        <w:pStyle w:val="Heading2"/>
      </w:pPr>
      <w:r>
        <w:t xml:space="preserve">Articulation Q04 (clôture de la question et de l’axe Review)</w:t>
      </w:r>
    </w:p>
    <w:p>
      <w:pPr>
        <w:spacing w:after="120"/>
      </w:pPr>
      <w:r>
        <w:t xml:space="preserve">Avec l’anticipation des patterns, la question Q04 est complète : comprendre, apprendre le slicing, pratiquer, poser un seuil, anticiper. La taille des MR est maîtrisée à la source et de façon proactive. L’axe Review tout entier est désormais complet : vitesse (Q01), gouvernance (Q02), qualité (Q03), taille (Q04). Le socle de slicing reste réutilisé par renvoi en Delivery (D01-55) et Résilience (R04-175).</w:t>
      </w:r>
    </w:p>
    <w:p>
      <w:pPr>
        <w:pStyle w:val="Heading2"/>
      </w:pPr>
      <w:r>
        <w:t xml:space="preserve">Critère de réussite</w:t>
      </w:r>
    </w:p>
    <w:p>
      <w:pPr>
        <w:spacing w:after="120"/>
      </w:pPr>
      <w:r>
        <w:t xml:space="preserve">La squad a identifié ses patterns récurrents de grosses MR et défini une stratégie de découpage par pattern, à appliquer dès la conception, avec un réflexe de planification en amont et une documentation réutilisable. Le découpage est devenu proactif : la squad empêche les grosses MR au lieu d’y réagir. La mesure Taille MR du hub se maintient basse. La question Q04 atteint son palier Formalisé et se clôt — et avec elle, l’axe Review est complet de bout en bout.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2026-06-26T13:24:02.147Z</dcterms:created>
  <dcterms:modified xsi:type="dcterms:W3CDTF">2026-06-26T13:24:02.147Z</dcterms:modified>
</cp:coreProperties>
</file>

<file path=docProps/custom.xml><?xml version="1.0" encoding="utf-8"?>
<Properties xmlns="http://schemas.openxmlformats.org/officeDocument/2006/custom-properties" xmlns:vt="http://schemas.openxmlformats.org/officeDocument/2006/docPropsVTypes"/>
</file>