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#160 — Pair programming ciblé : diffuser en faisant</w:t>
      </w:r>
    </w:p>
    <w:p>
      <w:pPr>
        <w:spacing w:after="160"/>
      </w:pPr>
      <w:r>
        <w:rPr>
          <w:i/>
          <w:iCs/>
        </w:rPr>
        <w:t xml:space="preserve">Axe Résilience — Question 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Résilience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(R01)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connaissance est-elle partagée (bus factor sain)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Connaissance concentrée : diffuser par le pair programming</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Bus factor — fait passer une zone de 1 à 2+ personnes qui la maîtrisent, en diffusant la connaissance en faisant.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 (+ sessions de pairing planifiées)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Binômes ciblés (expert + apprenant),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organiser le pair programming sur les zones critiques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Zones critiques identifiées</w:t>
            </w:r>
          </w:p>
        </w:tc>
      </w:tr>
    </w:tbl>
    <w:p>
      <w:pPr>
        <w:pStyle w:val="Heading2"/>
      </w:pPr>
      <w:r>
        <w:t xml:space="preserve">Problématique</w:t>
      </w:r>
    </w:p>
    <w:p>
      <w:pPr>
        <w:spacing w:after="120"/>
      </w:pPr>
      <w:r>
        <w:t xml:space="preserve">Le risque est ressenti, la liste des zones à diffuser est établie. La façon la plus efficace de transmettre une connaissance technique tacite — celle qui n’est pas dans la doc, qui vit dans la tête de l’expert — c’est de la transmettre EN FAISANT : le pair programming. Deux personnes, un clavier, sur une vraie tâche de la zone critique. L’expert montre, explique, et surtout laisse faire ; l’apprenant fait, questionne, et acquiert non seulement le « comment » mais le « pourquoi » et les réflexes. Le sujet de cet atelier est d’organiser ce pair programming ciblé : sur les zones à une seule personne identifiées, faire travailler en binôme l’expert et un futur second, jusqu’à ce que la zone soit maîtrisée par au moins deux personnes. On diffuse la connaissance par la pratique, pas par un transfert théorique.</w:t>
      </w:r>
    </w:p>
    <w:p>
      <w:pPr>
        <w:pStyle w:val="Heading2"/>
      </w:pPr>
      <w:r>
        <w:t xml:space="preserve">Pourquoi le pair programming pour diffuser (réponse à porter)</w:t>
      </w:r>
    </w:p>
    <w:p>
      <w:pPr>
        <w:pStyle w:val="ListParagraph"/>
        <w:numPr>
          <w:ilvl w:val="0"/>
          <w:numId w:val="2"/>
        </w:numPr>
        <w:spacing w:after="80"/>
      </w:pPr>
      <w:r>
        <w:t xml:space="preserve">La connaissance tacite ne se documente pas, elle se transmet en faisant : une grande part de l’expertise d’une zone n’est pas écrite — ce sont des réflexes, des « il faut faire attention à ça », des raccourcis mentaux. Seule la pratique côte à côte les transmet. Le pair programming capture ce que la doc ne peut pas capturer.</w:t>
      </w:r>
    </w:p>
    <w:p>
      <w:pPr>
        <w:pStyle w:val="ListParagraph"/>
        <w:numPr>
          <w:ilvl w:val="0"/>
          <w:numId w:val="2"/>
        </w:numPr>
        <w:spacing w:after="80"/>
      </w:pPr>
      <w:r>
        <w:t xml:space="preserve">Faire ensemble transmet le pourquoi, pas seulement le comment : en pairant, l’expert explique ses décisions au fil de l’eau — pourquoi ce choix, pourquoi cette précaution. L’apprenant comprend le raisonnement, pas seulement les gestes. Il devient capable de décider seul, pas juste de répéter.</w:t>
      </w:r>
    </w:p>
    <w:p>
      <w:pPr>
        <w:pStyle w:val="ListParagraph"/>
        <w:numPr>
          <w:ilvl w:val="0"/>
          <w:numId w:val="2"/>
        </w:numPr>
        <w:spacing w:after="80"/>
      </w:pPr>
      <w:r>
        <w:t xml:space="preserve">L’apprenant doit FAIRE, pas regarder : le pair programming efficace n’est pas une démonstration. L’apprenant tient le clavier, fait les erreurs, les corrige avec l’expert à côté. On apprend en faisant et en se trompant, pas en observant. C’est la condition d’une vraie acquisition.</w:t>
      </w:r>
    </w:p>
    <w:p>
      <w:pPr>
        <w:pStyle w:val="ListParagraph"/>
        <w:numPr>
          <w:ilvl w:val="0"/>
          <w:numId w:val="2"/>
        </w:numPr>
        <w:spacing w:after="80"/>
      </w:pPr>
      <w:r>
        <w:t xml:space="preserve">Cibler les zones critiques rentabilise l’effort : le pairing prend du temps — on le concentre là où le risque est le plus fort (les zones à une seule personne du qui sait quoi ? Diagnostic de la connaissance partagée). On ne paire pas sur tout, mais sur ce qui compte pour le bus factor. L’effort est proportionné au risque.</w:t>
      </w:r>
    </w:p>
    <w:p>
      <w:pPr>
        <w:pStyle w:val="Heading2"/>
      </w:pPr>
      <w:r>
        <w:t xml:space="preserve">Organiser le pairing ciblé (leviers concrets)</w:t>
      </w:r>
    </w:p>
    <w:p>
      <w:pPr>
        <w:pStyle w:val="ListParagraph"/>
        <w:numPr>
          <w:ilvl w:val="0"/>
          <w:numId w:val="2"/>
        </w:numPr>
        <w:spacing w:after="80"/>
      </w:pPr>
      <w:r>
        <w:t xml:space="preserve">Constituer les binômes expert + futur second : pour chaque zone critique, associer l’expert actuel et la personne qui deviendra le second détenteur de la connaissance. Choisir un second motivé et disponible.</w:t>
      </w:r>
    </w:p>
    <w:p>
      <w:pPr>
        <w:pStyle w:val="ListParagraph"/>
        <w:numPr>
          <w:ilvl w:val="0"/>
          <w:numId w:val="2"/>
        </w:numPr>
        <w:spacing w:after="80"/>
      </w:pPr>
      <w:r>
        <w:t xml:space="preserve">Pairer sur de vraies tâches de la zone : faire le pairing sur des US ou des bugs réels de la zone critique, pas sur des exemples. Le réel transmet le contexte et les cas concrets.</w:t>
      </w:r>
    </w:p>
    <w:p>
      <w:pPr>
        <w:pStyle w:val="ListParagraph"/>
        <w:numPr>
          <w:ilvl w:val="0"/>
          <w:numId w:val="2"/>
        </w:numPr>
        <w:spacing w:after="80"/>
      </w:pPr>
      <w:r>
        <w:t xml:space="preserve">Faire tenir le clavier à l’apprenant : poser comme règle que l’apprenant fait, l’expert guide. Inverser les rôles habituels (l’expert ne prend pas le clavier) force la transmission active.</w:t>
      </w:r>
    </w:p>
    <w:p>
      <w:pPr>
        <w:pStyle w:val="ListParagraph"/>
        <w:numPr>
          <w:ilvl w:val="0"/>
          <w:numId w:val="2"/>
        </w:numPr>
        <w:spacing w:after="80"/>
      </w:pPr>
      <w:r>
        <w:t xml:space="preserve">Planifier dans la durée, jusqu’à l’autonomie : une session ne suffit pas. Planifier plusieurs sessions jusqu’à ce que le second puisse travailler seul sur la zone. La zone passe de 1 à 2 quand le second est autonome, pas avant.</w:t>
      </w:r>
    </w:p>
    <w:p>
      <w:pPr>
        <w:pStyle w:val="Heading2"/>
      </w:pPr>
      <w:r>
        <w:t xml:space="preserve">Objectif de l’atelier</w:t>
      </w:r>
    </w:p>
    <w:p>
      <w:pPr>
        <w:spacing w:after="120"/>
      </w:pPr>
      <w:r>
        <w:t xml:space="preserve">À la sortie, la squad a organisé du pair programming ciblé sur ses zones critiques : pour chaque zone à une seule personne, un binôme expert + futur second travaille sur de vraies tâches, l’apprenant tenant le clavier et acquérant le pourquoi autant que le comment. Des sessions sont planifiées dans la durée, jusqu’à ce que le second soit autonome. La connaissance tacite — celle qui n’est pas documentable — se diffuse par la pratique. Les zones critiques passent progressivement de 1 à 2+ personnes : la mesure Bus factor du hub s’améliore là où le risque était le plus fort.</w:t>
      </w:r>
    </w:p>
    <w:p>
      <w:pPr>
        <w:pStyle w:val="Heading2"/>
      </w:pPr>
      <w:r>
        <w:t xml:space="preserve">Board Klaxoon</w:t>
      </w:r>
    </w:p>
    <w:p>
      <w:pPr>
        <w:spacing w:after="120"/>
      </w:pPr>
      <w:r>
        <w:rPr>
          <w:b w:val="false"/>
          <w:bCs w:val="false"/>
        </w:rPr>
        <w:t xml:space="preserve">Template recommandé : Pair programming ciblé.</w:t>
      </w:r>
    </w:p>
    <w:p>
      <w:pPr>
        <w:pStyle w:val="ListParagraph"/>
        <w:numPr>
          <w:ilvl w:val="0"/>
          <w:numId w:val="2"/>
        </w:numPr>
        <w:spacing w:after="80"/>
      </w:pPr>
      <w:r>
        <w:t xml:space="preserve">Zone « Binômes » — expert + futur second par zone critique.</w:t>
      </w:r>
    </w:p>
    <w:p>
      <w:pPr>
        <w:pStyle w:val="ListParagraph"/>
        <w:numPr>
          <w:ilvl w:val="0"/>
          <w:numId w:val="2"/>
        </w:numPr>
        <w:spacing w:after="80"/>
      </w:pPr>
      <w:r>
        <w:t xml:space="preserve">Zone « Tâches réelles » — les vraies US/bugs sur lesquels pairer.</w:t>
      </w:r>
    </w:p>
    <w:p>
      <w:pPr>
        <w:pStyle w:val="ListParagraph"/>
        <w:numPr>
          <w:ilvl w:val="0"/>
          <w:numId w:val="2"/>
        </w:numPr>
        <w:spacing w:after="80"/>
      </w:pPr>
      <w:r>
        <w:t xml:space="preserve">Zone « L’apprenant fait » — la règle : clavier à l’apprenant, expert guide.</w:t>
      </w:r>
    </w:p>
    <w:p>
      <w:pPr>
        <w:pStyle w:val="ListParagraph"/>
        <w:numPr>
          <w:ilvl w:val="0"/>
          <w:numId w:val="2"/>
        </w:numPr>
        <w:spacing w:after="80"/>
      </w:pPr>
      <w:r>
        <w:t xml:space="preserve">Zone « Jusqu’à l’autonomie » — les sessions planifiées jusqu’à 2 personnes maîtres.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principe : la connaissance tacite se transmet en faisant, pas en lisant.</w:t>
      </w:r>
    </w:p>
    <w:p>
      <w:pPr>
        <w:pStyle w:val="ListParagraph"/>
        <w:numPr>
          <w:ilvl w:val="0"/>
          <w:numId w:val="2"/>
        </w:numPr>
        <w:spacing w:after="80"/>
      </w:pPr>
      <w:r>
        <w:rPr>
          <w:b/>
          <w:bCs/>
        </w:rPr>
        <w:t xml:space="preserve">(10 min) Constituer les binômes</w:t>
      </w:r>
      <w:r>
        <w:t xml:space="preserve"> — expert + futur second par zone critique.</w:t>
      </w:r>
    </w:p>
    <w:p>
      <w:pPr>
        <w:pStyle w:val="ListParagraph"/>
        <w:numPr>
          <w:ilvl w:val="0"/>
          <w:numId w:val="2"/>
        </w:numPr>
        <w:spacing w:after="80"/>
      </w:pPr>
      <w:r>
        <w:rPr>
          <w:b/>
          <w:bCs/>
        </w:rPr>
        <w:t xml:space="preserve">(10 min) Choisir les tâches</w:t>
      </w:r>
      <w:r>
        <w:t xml:space="preserve"> — de vraies US/bugs de la zone, pas des exemples.</w:t>
      </w:r>
    </w:p>
    <w:p>
      <w:pPr>
        <w:pStyle w:val="ListParagraph"/>
        <w:numPr>
          <w:ilvl w:val="0"/>
          <w:numId w:val="2"/>
        </w:numPr>
        <w:spacing w:after="80"/>
      </w:pPr>
      <w:r>
        <w:rPr>
          <w:b/>
          <w:bCs/>
        </w:rPr>
        <w:t xml:space="preserve">(10 min) Poser les règles du pairing</w:t>
      </w:r>
      <w:r>
        <w:t xml:space="preserve"> — l’apprenant tient le clavier, l’expert explique le pourquoi.</w:t>
      </w:r>
    </w:p>
    <w:p>
      <w:pPr>
        <w:pStyle w:val="ListParagraph"/>
        <w:numPr>
          <w:ilvl w:val="0"/>
          <w:numId w:val="2"/>
        </w:numPr>
        <w:spacing w:after="80"/>
      </w:pPr>
      <w:r>
        <w:rPr>
          <w:b/>
          <w:bCs/>
        </w:rPr>
        <w:t xml:space="preserve">(8 min) Planifier dans la durée</w:t>
      </w:r>
      <w:r>
        <w:t xml:space="preserve"> — les sessions jusqu’à l’autonomie du second.</w:t>
      </w:r>
    </w:p>
    <w:p>
      <w:pPr>
        <w:pStyle w:val="ListParagraph"/>
        <w:numPr>
          <w:ilvl w:val="0"/>
          <w:numId w:val="2"/>
        </w:numPr>
        <w:spacing w:after="80"/>
      </w:pPr>
      <w:r>
        <w:rPr>
          <w:b/>
          <w:bCs/>
        </w:rPr>
        <w:t xml:space="preserve">(2 min) Débrief</w:t>
      </w:r>
      <w:r>
        <w:t xml:space="preserve"> — on constate : la diffusion par la pratique est lancée.</w:t>
      </w:r>
    </w:p>
    <w:p>
      <w:pPr>
        <w:pStyle w:val="Heading2"/>
      </w:pPr>
      <w:r>
        <w:t xml:space="preserve">Livrable de l’atelier</w:t>
      </w:r>
    </w:p>
    <w:p>
      <w:pPr>
        <w:pStyle w:val="ListParagraph"/>
        <w:numPr>
          <w:ilvl w:val="0"/>
          <w:numId w:val="2"/>
        </w:numPr>
        <w:spacing w:after="80"/>
      </w:pPr>
      <w:r>
        <w:t xml:space="preserve">Les binômes expert + futur second constitués par zone critique.</w:t>
      </w:r>
    </w:p>
    <w:p>
      <w:pPr>
        <w:pStyle w:val="ListParagraph"/>
        <w:numPr>
          <w:ilvl w:val="0"/>
          <w:numId w:val="2"/>
        </w:numPr>
        <w:spacing w:after="80"/>
      </w:pPr>
      <w:r>
        <w:t xml:space="preserve">Les vraies tâches choisies pour le pairing.</w:t>
      </w:r>
    </w:p>
    <w:p>
      <w:pPr>
        <w:pStyle w:val="ListParagraph"/>
        <w:numPr>
          <w:ilvl w:val="0"/>
          <w:numId w:val="2"/>
        </w:numPr>
        <w:spacing w:after="80"/>
      </w:pPr>
      <w:r>
        <w:t xml:space="preserve">La règle « l’apprenant fait, l’expert guide » posée.</w:t>
      </w:r>
    </w:p>
    <w:p>
      <w:pPr>
        <w:pStyle w:val="ListParagraph"/>
        <w:numPr>
          <w:ilvl w:val="0"/>
          <w:numId w:val="2"/>
        </w:numPr>
        <w:spacing w:after="80"/>
      </w:pPr>
      <w:r>
        <w:t xml:space="preserve">Un planning de sessions jusqu’à l’autonomie du second.</w:t>
      </w:r>
    </w:p>
    <w:p>
      <w:pPr>
        <w:pStyle w:val="Heading2"/>
      </w:pPr>
      <w:r>
        <w:t xml:space="preserve">Articulation R01 (ce qui suit)</w:t>
      </w:r>
    </w:p>
    <w:p>
      <w:pPr>
        <w:spacing w:after="120"/>
      </w:pPr>
      <w:r>
        <w:t xml:space="preserve">Le pairing diffuse la connaissance tacite. La suite complète : (rotation sur les US pour ancrer durablement la diffusion), (documenter ce qui peut l’être), (plan de continuité). Le pairing transmet le tacite ; la doc capture l’explicite ; ensemble ils sécurisent la zone.</w:t>
      </w:r>
    </w:p>
    <w:p>
      <w:pPr>
        <w:pStyle w:val="Heading2"/>
      </w:pPr>
      <w:r>
        <w:t xml:space="preserve">Critère de réussite</w:t>
      </w:r>
    </w:p>
    <w:p>
      <w:pPr>
        <w:spacing w:after="120"/>
      </w:pPr>
      <w:r>
        <w:t xml:space="preserve">La squad a organisé du pair programming ciblé sur ses zones critiques : binômes expert + futur second sur de vraies tâches, apprenant au clavier, sessions planifiées jusqu’à l’autonomie. La connaissance tacite se diffuse par la pratique, et les zones critiques passent progressivement de 1 à 2+ personnes maîtres. La mesure Bus factor du hub s’améliore là où le risque était fort. La question R01 agit par la pratique, prête à ancrer la diffusion par la rotation et la documentation.</w:t>
      </w:r>
    </w:p>
    <w:p>
      <w:pPr>
        <w:pStyle w:val="Heading2"/>
      </w:pPr>
      <w:r>
        <w:t xml:space="preserve">Note de mutualisation</w:t>
      </w:r>
    </w:p>
    <w:p>
      <w:pPr>
        <w:spacing w:after="120"/>
      </w:pPr>
      <w:r>
        <w:t xml:space="preserve">Le pair programming comme outil de diffusion de connaissance recoupe le mentorat par la review (Q03-147) et la formation de nouveaux reviewers (R03-171) : ce sont trois canaux de transmission complémentaires (faire ensemble, reviewer, former). On les relie sans les dupliquer — chacun a son angle.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2026-06-26T13:30:00.896Z</dcterms:created>
  <dcterms:modified xsi:type="dcterms:W3CDTF">2026-06-26T13:30:00.896Z</dcterms:modified>
</cp:coreProperties>
</file>

<file path=docProps/custom.xml><?xml version="1.0" encoding="utf-8"?>
<Properties xmlns="http://schemas.openxmlformats.org/officeDocument/2006/custom-properties" xmlns:vt="http://schemas.openxmlformats.org/officeDocument/2006/docPropsVTypes"/>
</file>