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#161 — Rotation sur les US : diffuser par l’assignation</w:t>
      </w:r>
    </w:p>
    <w:p>
      <w:pPr>
        <w:spacing w:after="160"/>
      </w:pPr>
      <w:r>
        <w:rPr>
          <w:i/>
          <w:iCs/>
        </w:rPr>
        <w:t xml:space="preserve">Axe Résilience — Question 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Résilience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(R01)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connaissance est-elle partagée (bus factor sain)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Diffusion amorcée : l’ancrer par la rotation</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Bus factor — ancre la diffusion : en assignant délibérément des US à la 2e personne, la maîtrise d’une zone se répartit durablement.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backlog et cartographie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d’organisation : mettre en place la rotation des assignations sur les zones critiques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Pair programming amorcé</w:t>
            </w:r>
          </w:p>
        </w:tc>
      </w:tr>
    </w:tbl>
    <w:p>
      <w:pPr>
        <w:pStyle w:val="Heading2"/>
      </w:pPr>
      <w:r>
        <w:t xml:space="preserve">Problématique</w:t>
      </w:r>
    </w:p>
    <w:p>
      <w:pPr>
        <w:spacing w:after="120"/>
      </w:pPr>
      <w:r>
        <w:t xml:space="preserve">Le pair programming a amorcé la diffusion, mais pour qu’une connaissance s’ancre durablement, il faut continuer à la PRATIQUER. Si, après quelques sessions de pairing, on réassigne systématiquement la zone critique à son expert d’origine (parce que « c’est plus rapide »), le second oublie et la zone retombe à une seule personne. Le sujet de cet atelier est la rotation des assignations : assigner délibérément des US de la zone critique à la DEUXIÈME personne, même si c’est un peu plus lent au début. C’est en travaillant régulièrement sur une zone qu’on en garde la maîtrise. La rotation transforme la diffusion ponctuelle (pairing) en répartition durable. On accepte un léger surcoût de vitesse à court terme pour une résilience à long terme.</w:t>
      </w:r>
    </w:p>
    <w:p>
      <w:pPr>
        <w:pStyle w:val="Heading2"/>
      </w:pPr>
      <w:r>
        <w:t xml:space="preserve">Pourquoi la rotation des assignations (réponse à porter)</w:t>
      </w:r>
    </w:p>
    <w:p>
      <w:pPr>
        <w:pStyle w:val="ListParagraph"/>
        <w:numPr>
          <w:ilvl w:val="0"/>
          <w:numId w:val="2"/>
        </w:numPr>
        <w:spacing w:after="80"/>
      </w:pPr>
      <w:r>
        <w:t xml:space="preserve">Une connaissance non pratiquée se perd : le pairing transmet, mais sans pratique régulière, le second oublie. Assigner des US de la zone au second entretient sa maîtrise. La rotation est ce qui rend la diffusion durable, pas juste ponctuelle.</w:t>
      </w:r>
    </w:p>
    <w:p>
      <w:pPr>
        <w:pStyle w:val="ListParagraph"/>
        <w:numPr>
          <w:ilvl w:val="0"/>
          <w:numId w:val="2"/>
        </w:numPr>
        <w:spacing w:after="80"/>
      </w:pPr>
      <w:r>
        <w:t xml:space="preserve">Le réflexe « c’est plus rapide que l’expert le fasse » est le piège : à court terme, oui, l’expert va plus vite. Mais ce réflexe est exactement ce qui maintient le bus factor à 1. Accepter un léger ralentissement en assignant au second est un investissement de résilience. On choisit la robustesse contre la vitesse immédiate.</w:t>
      </w:r>
    </w:p>
    <w:p>
      <w:pPr>
        <w:pStyle w:val="ListParagraph"/>
        <w:numPr>
          <w:ilvl w:val="0"/>
          <w:numId w:val="2"/>
        </w:numPr>
        <w:spacing w:after="80"/>
      </w:pPr>
      <w:r>
        <w:t xml:space="preserve">Assigner délibérément, ce n’est pas laisser au hasard : la rotation est une décision consciente — « cette US de la zone X, on l’assigne au second, pas à l’expert ». Sans intention, l’assignation va naturellement au plus rapide (l’expert), et rien ne change. La diffusion exige une volonté d’assignation.</w:t>
      </w:r>
    </w:p>
    <w:p>
      <w:pPr>
        <w:pStyle w:val="ListParagraph"/>
        <w:numPr>
          <w:ilvl w:val="0"/>
          <w:numId w:val="2"/>
        </w:numPr>
        <w:spacing w:after="80"/>
      </w:pPr>
      <w:r>
        <w:t xml:space="preserve">L’expert reste disponible en soutien, pas en exécution : la rotation ne lâche pas le second dans le vide — l’expert est là pour aider si besoin, mais ne fait pas à sa place. Le second fait, l’expert épaule. C’est le prolongement du pairing : on passe du « faire ensemble » au « faire seul avec filet ».</w:t>
      </w:r>
    </w:p>
    <w:p>
      <w:pPr>
        <w:pStyle w:val="Heading2"/>
      </w:pPr>
      <w:r>
        <w:t xml:space="preserve">Mettre en place la rotation (leviers concrets)</w:t>
      </w:r>
    </w:p>
    <w:p>
      <w:pPr>
        <w:pStyle w:val="ListParagraph"/>
        <w:numPr>
          <w:ilvl w:val="0"/>
          <w:numId w:val="2"/>
        </w:numPr>
        <w:spacing w:after="80"/>
      </w:pPr>
      <w:r>
        <w:t xml:space="preserve">Identifier les US des zones critiques à venir : repérer dans le backlog les prochaines US qui touchent les zones à risque. Ce sont les occasions de rotation.</w:t>
      </w:r>
    </w:p>
    <w:p>
      <w:pPr>
        <w:pStyle w:val="ListParagraph"/>
        <w:numPr>
          <w:ilvl w:val="0"/>
          <w:numId w:val="2"/>
        </w:numPr>
        <w:spacing w:after="80"/>
      </w:pPr>
      <w:r>
        <w:t xml:space="preserve">Les assigner délibérément au second : décider consciemment d’assigner ces US à la deuxième personne, pas à l’expert. Inscrire cette intention dans le processus d’assignation (au planning, au standup).</w:t>
      </w:r>
    </w:p>
    <w:p>
      <w:pPr>
        <w:pStyle w:val="ListParagraph"/>
        <w:numPr>
          <w:ilvl w:val="0"/>
          <w:numId w:val="2"/>
        </w:numPr>
        <w:spacing w:after="80"/>
      </w:pPr>
      <w:r>
        <w:t xml:space="preserve">Accepter et assumer le surcoût initial : reconnaître que ce sera un peu plus lent au début, et l’assumer comme un investissement. Communiquer ce choix pour qu’il ne soit pas vu comme une perte de temps mais comme de la résilience.</w:t>
      </w:r>
    </w:p>
    <w:p>
      <w:pPr>
        <w:pStyle w:val="ListParagraph"/>
        <w:numPr>
          <w:ilvl w:val="0"/>
          <w:numId w:val="2"/>
        </w:numPr>
        <w:spacing w:after="80"/>
      </w:pPr>
      <w:r>
        <w:t xml:space="preserve">Garder l’expert en soutien : l’expert reste disponible pour débloquer, répondre aux questions, reviewer — mais ne reprend pas la main. Le second fait, avec filet. Au fil des US, le second devient pleinement autonome.</w:t>
      </w:r>
    </w:p>
    <w:p>
      <w:pPr>
        <w:pStyle w:val="Heading2"/>
      </w:pPr>
      <w:r>
        <w:t xml:space="preserve">Objectif de l’atelier</w:t>
      </w:r>
    </w:p>
    <w:p>
      <w:pPr>
        <w:spacing w:after="120"/>
      </w:pPr>
      <w:r>
        <w:t xml:space="preserve">À la sortie, la squad a mis en place une rotation des assignations sur ses zones critiques : les US de ces zones sont délibérément assignées à la deuxième personne, avec l’expert en soutien et non en exécution, en assumant un léger surcoût de vitesse comme investissement de résilience. La diffusion amorcée par le pairing s’ancre par la pratique régulière : la maîtrise des zones critiques se répartit durablement au lieu de retomber sur l’expert. La squad a déjoué le réflexe « plus rapide que l’expert le fasse » qui maintenait le bus factor à 1. La mesure Bus factor du hub s’améliore durablement.</w:t>
      </w:r>
    </w:p>
    <w:p>
      <w:pPr>
        <w:pStyle w:val="Heading2"/>
      </w:pPr>
      <w:r>
        <w:t xml:space="preserve">Board Klaxoon</w:t>
      </w:r>
    </w:p>
    <w:p>
      <w:pPr>
        <w:spacing w:after="120"/>
      </w:pPr>
      <w:r>
        <w:rPr>
          <w:b w:val="false"/>
          <w:bCs w:val="false"/>
        </w:rPr>
        <w:t xml:space="preserve">Template recommandé : Rotation sur les US.</w:t>
      </w:r>
    </w:p>
    <w:p>
      <w:pPr>
        <w:pStyle w:val="ListParagraph"/>
        <w:numPr>
          <w:ilvl w:val="0"/>
          <w:numId w:val="2"/>
        </w:numPr>
        <w:spacing w:after="80"/>
      </w:pPr>
      <w:r>
        <w:t xml:space="preserve">Zone « US des zones critiques » — les prochaines US touchant les zones à risque.</w:t>
      </w:r>
    </w:p>
    <w:p>
      <w:pPr>
        <w:pStyle w:val="ListParagraph"/>
        <w:numPr>
          <w:ilvl w:val="0"/>
          <w:numId w:val="2"/>
        </w:numPr>
        <w:spacing w:after="80"/>
      </w:pPr>
      <w:r>
        <w:t xml:space="preserve">Zone « Assignées au second » — l’intention délibérée d’assignation.</w:t>
      </w:r>
    </w:p>
    <w:p>
      <w:pPr>
        <w:pStyle w:val="ListParagraph"/>
        <w:numPr>
          <w:ilvl w:val="0"/>
          <w:numId w:val="2"/>
        </w:numPr>
        <w:spacing w:after="80"/>
      </w:pPr>
      <w:r>
        <w:t xml:space="preserve">Zone « Surcoût assumé » — le ralentissement accepté comme investissement.</w:t>
      </w:r>
    </w:p>
    <w:p>
      <w:pPr>
        <w:pStyle w:val="ListParagraph"/>
        <w:numPr>
          <w:ilvl w:val="0"/>
          <w:numId w:val="2"/>
        </w:numPr>
        <w:spacing w:after="80"/>
      </w:pPr>
      <w:r>
        <w:t xml:space="preserve">Zone « Expert en soutien » — disponible pour épauler, pas pour exécuter.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l’enjeu : une connaissance non pratiquée se perd ; il faut continuer à faire.</w:t>
      </w:r>
    </w:p>
    <w:p>
      <w:pPr>
        <w:pStyle w:val="ListParagraph"/>
        <w:numPr>
          <w:ilvl w:val="0"/>
          <w:numId w:val="2"/>
        </w:numPr>
        <w:spacing w:after="80"/>
      </w:pPr>
      <w:r>
        <w:rPr>
          <w:b/>
          <w:bCs/>
        </w:rPr>
        <w:t xml:space="preserve">(10 min) Repérer les US des zones critiques</w:t>
      </w:r>
      <w:r>
        <w:t xml:space="preserve"> — dans le backlog, les prochaines occasions de rotation.</w:t>
      </w:r>
    </w:p>
    <w:p>
      <w:pPr>
        <w:pStyle w:val="ListParagraph"/>
        <w:numPr>
          <w:ilvl w:val="0"/>
          <w:numId w:val="2"/>
        </w:numPr>
        <w:spacing w:after="80"/>
      </w:pPr>
      <w:r>
        <w:rPr>
          <w:b/>
          <w:bCs/>
        </w:rPr>
        <w:t xml:space="preserve">(12 min) Assigner au second</w:t>
      </w:r>
      <w:r>
        <w:t xml:space="preserve"> — décider délibérément d’assigner ces US à la deuxième personne.</w:t>
      </w:r>
    </w:p>
    <w:p>
      <w:pPr>
        <w:pStyle w:val="ListParagraph"/>
        <w:numPr>
          <w:ilvl w:val="0"/>
          <w:numId w:val="2"/>
        </w:numPr>
        <w:spacing w:after="80"/>
      </w:pPr>
      <w:r>
        <w:rPr>
          <w:b/>
          <w:bCs/>
        </w:rPr>
        <w:t xml:space="preserve">(10 min) Assumer le surcoût</w:t>
      </w:r>
      <w:r>
        <w:t xml:space="preserve"> — reconnaître et communiquer le léger ralentissement comme investissement.</w:t>
      </w:r>
    </w:p>
    <w:p>
      <w:pPr>
        <w:pStyle w:val="ListParagraph"/>
        <w:numPr>
          <w:ilvl w:val="0"/>
          <w:numId w:val="2"/>
        </w:numPr>
        <w:spacing w:after="80"/>
      </w:pPr>
      <w:r>
        <w:rPr>
          <w:b/>
          <w:bCs/>
        </w:rPr>
        <w:t xml:space="preserve">(5 min) Cadrer le soutien</w:t>
      </w:r>
      <w:r>
        <w:t xml:space="preserve"> — l’expert épaule sans reprendre la main.</w:t>
      </w:r>
    </w:p>
    <w:p>
      <w:pPr>
        <w:pStyle w:val="ListParagraph"/>
        <w:numPr>
          <w:ilvl w:val="0"/>
          <w:numId w:val="2"/>
        </w:numPr>
        <w:spacing w:after="80"/>
      </w:pPr>
      <w:r>
        <w:rPr>
          <w:b/>
          <w:bCs/>
        </w:rPr>
        <w:t xml:space="preserve">(3 min) Débrief</w:t>
      </w:r>
      <w:r>
        <w:t xml:space="preserve"> — on constate : la diffusion s’ancre, le bus factor se répartit durablement.</w:t>
      </w:r>
    </w:p>
    <w:p>
      <w:pPr>
        <w:pStyle w:val="Heading2"/>
      </w:pPr>
      <w:r>
        <w:t xml:space="preserve">Livrable de l’atelier</w:t>
      </w:r>
    </w:p>
    <w:p>
      <w:pPr>
        <w:pStyle w:val="ListParagraph"/>
        <w:numPr>
          <w:ilvl w:val="0"/>
          <w:numId w:val="2"/>
        </w:numPr>
        <w:spacing w:after="80"/>
      </w:pPr>
      <w:r>
        <w:t xml:space="preserve">Une rotation des assignations sur les zones critiques, délibérée.</w:t>
      </w:r>
    </w:p>
    <w:p>
      <w:pPr>
        <w:pStyle w:val="ListParagraph"/>
        <w:numPr>
          <w:ilvl w:val="0"/>
          <w:numId w:val="2"/>
        </w:numPr>
        <w:spacing w:after="80"/>
      </w:pPr>
      <w:r>
        <w:t xml:space="preserve">Les US de zones critiques assignées à la deuxième personne.</w:t>
      </w:r>
    </w:p>
    <w:p>
      <w:pPr>
        <w:pStyle w:val="ListParagraph"/>
        <w:numPr>
          <w:ilvl w:val="0"/>
          <w:numId w:val="2"/>
        </w:numPr>
        <w:spacing w:after="80"/>
      </w:pPr>
      <w:r>
        <w:t xml:space="preserve">Le surcoût initial assumé comme investissement de résilience.</w:t>
      </w:r>
    </w:p>
    <w:p>
      <w:pPr>
        <w:pStyle w:val="ListParagraph"/>
        <w:numPr>
          <w:ilvl w:val="0"/>
          <w:numId w:val="2"/>
        </w:numPr>
        <w:spacing w:after="80"/>
      </w:pPr>
      <w:r>
        <w:t xml:space="preserve">L’expert positionné en soutien, pas en exécution.</w:t>
      </w:r>
    </w:p>
    <w:p>
      <w:pPr>
        <w:pStyle w:val="Heading2"/>
      </w:pPr>
      <w:r>
        <w:t xml:space="preserve">Articulation R01 (ce qui suit)</w:t>
      </w:r>
    </w:p>
    <w:p>
      <w:pPr>
        <w:spacing w:after="120"/>
      </w:pPr>
      <w:r>
        <w:t xml:space="preserve">La rotation ancre la diffusion par la pratique. La suite complète : (documenter ce que seul l’expert sait — capturer l’explicite), (plan de continuité). Le pairing et la rotation transmettent le tacite par la pratique ; la doc fixe l’explicite ; le plan organise le tout.</w:t>
      </w:r>
    </w:p>
    <w:p>
      <w:pPr>
        <w:pStyle w:val="Heading2"/>
      </w:pPr>
      <w:r>
        <w:t xml:space="preserve">Critère de réussite</w:t>
      </w:r>
    </w:p>
    <w:p>
      <w:pPr>
        <w:spacing w:after="120"/>
      </w:pPr>
      <w:r>
        <w:t xml:space="preserve">La squad a mis en place une rotation des assignations sur ses zones critiques : US assignées délibérément à la deuxième personne, expert en soutien, surcoût initial assumé comme investissement. La diffusion s’ancre par la pratique régulière et la maîtrise se répartit durablement, déjouant le réflexe « plus rapide que l’expert le fasse ». La mesure Bus factor du hub s’améliore durablement. La question R01 ancre sa diffusion, prête à être complétée par la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2026-06-26T13:30:01.152Z</dcterms:created>
  <dcterms:modified xsi:type="dcterms:W3CDTF">2026-06-26T13:30:01.152Z</dcterms:modified>
</cp:coreProperties>
</file>

<file path=docProps/custom.xml><?xml version="1.0" encoding="utf-8"?>
<Properties xmlns="http://schemas.openxmlformats.org/officeDocument/2006/custom-properties" xmlns:vt="http://schemas.openxmlformats.org/officeDocument/2006/docPropsVTypes"/>
</file>